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458B" w:rsidRDefault="00C7458B" w:rsidP="00C7458B">
      <w:pPr>
        <w:jc w:val="center"/>
        <w:rPr>
          <w:rFonts w:ascii="Broadway" w:hAnsi="Broadway"/>
          <w:color w:val="FF0000"/>
          <w:sz w:val="96"/>
          <w:szCs w:val="96"/>
        </w:rPr>
      </w:pPr>
      <w:r>
        <w:rPr>
          <w:rFonts w:ascii="Broadway" w:hAnsi="Broadway"/>
          <w:color w:val="FF0000"/>
          <w:sz w:val="96"/>
          <w:szCs w:val="96"/>
        </w:rPr>
        <w:t>OSSERVATORIO LEGISLATIVO SOCIO-SANITARIO SUNAS</w:t>
      </w:r>
    </w:p>
    <w:p w:rsidR="00C7458B" w:rsidRDefault="00C7458B" w:rsidP="00C7458B">
      <w:pPr>
        <w:shd w:val="clear" w:color="auto" w:fill="FFFFFF"/>
        <w:jc w:val="center"/>
        <w:rPr>
          <w:b/>
          <w:color w:val="FF0000"/>
          <w:spacing w:val="-18"/>
          <w:w w:val="111"/>
          <w:sz w:val="52"/>
          <w:szCs w:val="52"/>
        </w:rPr>
      </w:pPr>
      <w:r>
        <w:rPr>
          <w:b/>
          <w:color w:val="FF0000"/>
          <w:spacing w:val="-18"/>
          <w:w w:val="111"/>
          <w:sz w:val="52"/>
          <w:szCs w:val="52"/>
        </w:rPr>
        <w:t>Sindacato Unitario Assistenti Sociali</w:t>
      </w:r>
    </w:p>
    <w:p w:rsidR="00C7458B" w:rsidRDefault="00C7458B" w:rsidP="00C7458B">
      <w:pPr>
        <w:jc w:val="center"/>
        <w:rPr>
          <w:rFonts w:ascii="Broadway" w:hAnsi="Broadway"/>
          <w:sz w:val="52"/>
          <w:szCs w:val="52"/>
        </w:rPr>
      </w:pPr>
      <w:r>
        <w:rPr>
          <w:rFonts w:ascii="Broadway" w:hAnsi="Broadway"/>
          <w:sz w:val="52"/>
          <w:szCs w:val="52"/>
        </w:rPr>
        <w:t>PRESENTAZIONE</w:t>
      </w:r>
    </w:p>
    <w:p w:rsidR="00C7458B" w:rsidRDefault="00C7458B" w:rsidP="00C7458B">
      <w:pPr>
        <w:shd w:val="clear" w:color="auto" w:fill="FFFFFF"/>
        <w:jc w:val="both"/>
        <w:rPr>
          <w:rFonts w:ascii="Algerian" w:hAnsi="Algerian"/>
          <w:b/>
          <w:color w:val="294D97"/>
          <w:sz w:val="32"/>
          <w:szCs w:val="32"/>
        </w:rPr>
      </w:pPr>
      <w:r>
        <w:rPr>
          <w:rFonts w:ascii="Broadway" w:hAnsi="Broadway"/>
          <w:sz w:val="32"/>
          <w:szCs w:val="32"/>
        </w:rPr>
        <w:tab/>
      </w:r>
      <w:r>
        <w:rPr>
          <w:rFonts w:ascii="Algerian" w:hAnsi="Algerian"/>
          <w:b/>
          <w:sz w:val="32"/>
          <w:szCs w:val="32"/>
        </w:rPr>
        <w:t xml:space="preserve">Il SUNAS è nato a Roma nel 1990, come associazione sindacale, su felice intuizione ed iniziativa di un gruppo di assistenti sociali che, unendosi a colleghi di varie realtà territoriali piuttosto amareggiati per gli insuccessi e delusi dalle vane promesse fatte dalle maggiori organizzazioni sindacali e dalle rappresentanze associative alle quali all’epoca aderivano, avevano deciso di fare una “scommessa”, con sé stessi e con il gruppo professionale: riuscire a cambiare la storia della professione (aggregando LE assistenti sociali E GLI ASSISTENTI SOCIALI di ogni settore), facendola riconoscere sul piano giuridico-contrattuale, valorizzandone e tutelandone in ogni modo e contesto il patrimonio ed il valore (con l’Ordine, presso le Università, le Istituzioni, la Società, ecc.), ed al tempo stesso intervenire, in modo diretto, in azioni di tutela sindacale e negoziazione, oltre che per collaborare </w:t>
      </w:r>
      <w:r>
        <w:rPr>
          <w:rFonts w:ascii="Algerian" w:hAnsi="Algerian"/>
          <w:b/>
          <w:sz w:val="32"/>
          <w:szCs w:val="32"/>
        </w:rPr>
        <w:lastRenderedPageBreak/>
        <w:t>allo sviluppo più equilibrato delle politiche sociali, sociosanitarie, di lotta all’esclusione e per l’inclusione delle fasce di popolazione più disagiate e quindi di sviluppo del sistema integrato</w:t>
      </w:r>
      <w:r>
        <w:rPr>
          <w:rFonts w:ascii="Algerian" w:hAnsi="Algerian"/>
          <w:b/>
          <w:sz w:val="32"/>
          <w:szCs w:val="32"/>
        </w:rPr>
        <w:br/>
        <w:t>di welfare nel ns. Paese</w:t>
      </w:r>
      <w:r>
        <w:rPr>
          <w:rFonts w:ascii="Algerian" w:hAnsi="Algerian"/>
          <w:b/>
          <w:color w:val="294D97"/>
          <w:sz w:val="32"/>
          <w:szCs w:val="32"/>
        </w:rPr>
        <w:t>.</w:t>
      </w:r>
    </w:p>
    <w:p w:rsidR="00C7458B" w:rsidRDefault="00C7458B" w:rsidP="00C7458B">
      <w:pPr>
        <w:pStyle w:val="NormaleWeb"/>
        <w:jc w:val="both"/>
        <w:rPr>
          <w:rFonts w:ascii="Algerian" w:hAnsi="Algerian"/>
          <w:b/>
          <w:sz w:val="32"/>
          <w:szCs w:val="32"/>
        </w:rPr>
      </w:pPr>
      <w:proofErr w:type="gramStart"/>
      <w:r>
        <w:rPr>
          <w:rFonts w:ascii="Algerian" w:hAnsi="Algerian"/>
          <w:b/>
          <w:sz w:val="32"/>
          <w:szCs w:val="32"/>
        </w:rPr>
        <w:t>NEL  CORSO</w:t>
      </w:r>
      <w:proofErr w:type="gramEnd"/>
      <w:r>
        <w:rPr>
          <w:rFonts w:ascii="Algerian" w:hAnsi="Algerian"/>
          <w:b/>
          <w:sz w:val="32"/>
          <w:szCs w:val="32"/>
        </w:rPr>
        <w:t xml:space="preserve"> DI  CIRCA TRENTA ANNI, NEL NOSTRO PAESE, SONO INTERVENUTE PROFONDE RIFORME COSTITUZIONALI LEGGE COSTITUZIONALE N. 3/2001)  E ALTRETTANTE  RIFORME  che hanno mutato l’assetto   istituzionale  nel sistema della pubblica amministrazione, delle regioni, degli enti locali, nonché  dell’intero sistema  del welfare (assistenza, sanità. Previdenza</w:t>
      </w:r>
      <w:proofErr w:type="gramStart"/>
      <w:r>
        <w:rPr>
          <w:rFonts w:ascii="Algerian" w:hAnsi="Algerian"/>
          <w:b/>
          <w:sz w:val="32"/>
          <w:szCs w:val="32"/>
        </w:rPr>
        <w:t>),  e</w:t>
      </w:r>
      <w:proofErr w:type="gramEnd"/>
      <w:r>
        <w:rPr>
          <w:rFonts w:ascii="Algerian" w:hAnsi="Algerian"/>
          <w:b/>
          <w:sz w:val="32"/>
          <w:szCs w:val="32"/>
        </w:rPr>
        <w:t xml:space="preserve"> del ruolo e della funzione della società civile, con il riconoscimento  Del terzo settore.</w:t>
      </w:r>
    </w:p>
    <w:p w:rsidR="00C7458B" w:rsidRDefault="00C7458B" w:rsidP="00C7458B">
      <w:pPr>
        <w:pStyle w:val="NormaleWeb"/>
        <w:jc w:val="both"/>
        <w:rPr>
          <w:rFonts w:ascii="Algerian" w:hAnsi="Algerian"/>
          <w:b/>
          <w:sz w:val="32"/>
          <w:szCs w:val="32"/>
        </w:rPr>
      </w:pPr>
      <w:r>
        <w:rPr>
          <w:rFonts w:ascii="Algerian" w:hAnsi="Algerian"/>
          <w:b/>
          <w:sz w:val="32"/>
          <w:szCs w:val="32"/>
        </w:rPr>
        <w:t xml:space="preserve">PERTANTO IL SUNAS CON IL PRESENTE NUMERO </w:t>
      </w:r>
      <w:proofErr w:type="gramStart"/>
      <w:r>
        <w:rPr>
          <w:rFonts w:ascii="Algerian" w:hAnsi="Algerian"/>
          <w:b/>
          <w:sz w:val="32"/>
          <w:szCs w:val="32"/>
        </w:rPr>
        <w:t>CONTINUA  LA</w:t>
      </w:r>
      <w:proofErr w:type="gramEnd"/>
      <w:r>
        <w:rPr>
          <w:rFonts w:ascii="Algerian" w:hAnsi="Algerian"/>
          <w:b/>
          <w:sz w:val="32"/>
          <w:szCs w:val="32"/>
        </w:rPr>
        <w:t xml:space="preserve"> PUBBLICAZIONE DI osservatorio legislativo socio-sanitario, che si propone di illustrate quanto sul piano legislativo, programmatico ed attuativo viene operato dallo stato e dalle regioni.</w:t>
      </w:r>
    </w:p>
    <w:p w:rsidR="00C7458B" w:rsidRDefault="00C7458B" w:rsidP="00C7458B">
      <w:pPr>
        <w:pStyle w:val="NormaleWeb"/>
        <w:jc w:val="both"/>
        <w:rPr>
          <w:rFonts w:ascii="Algerian" w:hAnsi="Algerian"/>
          <w:b/>
          <w:sz w:val="32"/>
          <w:szCs w:val="32"/>
        </w:rPr>
      </w:pPr>
      <w:r>
        <w:rPr>
          <w:rFonts w:ascii="Algerian" w:hAnsi="Algerian"/>
          <w:b/>
          <w:sz w:val="32"/>
          <w:szCs w:val="32"/>
        </w:rPr>
        <w:t xml:space="preserve">IN TALE CONTESTO ASSUME </w:t>
      </w:r>
      <w:proofErr w:type="gramStart"/>
      <w:r>
        <w:rPr>
          <w:rFonts w:ascii="Algerian" w:hAnsi="Algerian"/>
          <w:b/>
          <w:sz w:val="32"/>
          <w:szCs w:val="32"/>
        </w:rPr>
        <w:t>ESTREMA  E</w:t>
      </w:r>
      <w:proofErr w:type="gramEnd"/>
      <w:r>
        <w:rPr>
          <w:rFonts w:ascii="Algerian" w:hAnsi="Algerian"/>
          <w:b/>
          <w:sz w:val="32"/>
          <w:szCs w:val="32"/>
        </w:rPr>
        <w:t xml:space="preserve"> FONDAMENTALE IMPORTANZA LA CONOSCENZA E LA ASSIMILAZIONE DELLE NORMATIVE  E DEGLI ATTI AMMINISTRATIVI STATALI E REGIONALI  IN ORDINE ALLO STESSO MODO DI DISPIEGARSI  DELLE POLITICHE DI WELFARE.</w:t>
      </w:r>
    </w:p>
    <w:p w:rsidR="00C7458B" w:rsidRDefault="00C7458B" w:rsidP="00C7458B">
      <w:pPr>
        <w:spacing w:line="20" w:lineRule="atLeast"/>
        <w:jc w:val="both"/>
        <w:rPr>
          <w:rFonts w:ascii="Algerian" w:hAnsi="Algerian" w:cs="Times New Roman"/>
          <w:b/>
          <w:bCs/>
          <w:sz w:val="28"/>
          <w:szCs w:val="28"/>
        </w:rPr>
      </w:pPr>
      <w:proofErr w:type="gramStart"/>
      <w:r>
        <w:rPr>
          <w:rFonts w:ascii="Algerian" w:hAnsi="Algerian" w:cs="Times New Roman"/>
          <w:b/>
          <w:bCs/>
          <w:sz w:val="28"/>
          <w:szCs w:val="28"/>
        </w:rPr>
        <w:t>Pertanto  IN</w:t>
      </w:r>
      <w:proofErr w:type="gramEnd"/>
      <w:r>
        <w:rPr>
          <w:rFonts w:ascii="Algerian" w:hAnsi="Algerian" w:cs="Times New Roman"/>
          <w:b/>
          <w:bCs/>
          <w:sz w:val="28"/>
          <w:szCs w:val="28"/>
        </w:rPr>
        <w:t xml:space="preserve"> OSSERVATORIO  LEGISLATIVO SOCIo-sanitario SUNAS  sono illustrati e commentati (per gli atti più importanti e significativi):</w:t>
      </w:r>
    </w:p>
    <w:p w:rsidR="00C7458B" w:rsidRDefault="00C7458B" w:rsidP="00C7458B">
      <w:pPr>
        <w:pStyle w:val="Paragrafoelenco"/>
        <w:numPr>
          <w:ilvl w:val="0"/>
          <w:numId w:val="1"/>
        </w:numPr>
        <w:spacing w:line="20" w:lineRule="atLeast"/>
        <w:jc w:val="both"/>
        <w:rPr>
          <w:rFonts w:ascii="Algerian" w:hAnsi="Algerian" w:cs="Times New Roman"/>
          <w:b/>
          <w:bCs/>
          <w:sz w:val="28"/>
          <w:szCs w:val="28"/>
        </w:rPr>
      </w:pPr>
      <w:r>
        <w:rPr>
          <w:rFonts w:ascii="Algerian" w:hAnsi="Algerian" w:cs="Times New Roman"/>
          <w:b/>
          <w:bCs/>
          <w:sz w:val="28"/>
          <w:szCs w:val="28"/>
        </w:rPr>
        <w:t xml:space="preserve"> </w:t>
      </w:r>
      <w:proofErr w:type="gramStart"/>
      <w:r>
        <w:rPr>
          <w:rFonts w:ascii="Algerian" w:hAnsi="Algerian" w:cs="Times New Roman"/>
          <w:b/>
          <w:bCs/>
          <w:sz w:val="28"/>
          <w:szCs w:val="28"/>
        </w:rPr>
        <w:t>la</w:t>
      </w:r>
      <w:proofErr w:type="gramEnd"/>
      <w:r>
        <w:rPr>
          <w:rFonts w:ascii="Algerian" w:hAnsi="Algerian" w:cs="Times New Roman"/>
          <w:b/>
          <w:bCs/>
          <w:sz w:val="28"/>
          <w:szCs w:val="28"/>
        </w:rPr>
        <w:t xml:space="preserve"> legislazione e gli atti amministrativi statali </w:t>
      </w:r>
    </w:p>
    <w:p w:rsidR="00C7458B" w:rsidRDefault="00C7458B" w:rsidP="00C7458B">
      <w:pPr>
        <w:pStyle w:val="Paragrafoelenco"/>
        <w:numPr>
          <w:ilvl w:val="0"/>
          <w:numId w:val="1"/>
        </w:numPr>
        <w:spacing w:line="20" w:lineRule="atLeast"/>
        <w:jc w:val="both"/>
        <w:rPr>
          <w:rFonts w:ascii="Algerian" w:hAnsi="Algerian" w:cs="Times New Roman"/>
          <w:b/>
          <w:bCs/>
          <w:sz w:val="28"/>
          <w:szCs w:val="28"/>
        </w:rPr>
      </w:pPr>
      <w:proofErr w:type="gramStart"/>
      <w:r>
        <w:rPr>
          <w:rFonts w:ascii="Algerian" w:hAnsi="Algerian" w:cs="Times New Roman"/>
          <w:b/>
          <w:bCs/>
          <w:sz w:val="28"/>
          <w:szCs w:val="28"/>
        </w:rPr>
        <w:t>la</w:t>
      </w:r>
      <w:proofErr w:type="gramEnd"/>
      <w:r>
        <w:rPr>
          <w:rFonts w:ascii="Algerian" w:hAnsi="Algerian" w:cs="Times New Roman"/>
          <w:b/>
          <w:bCs/>
          <w:sz w:val="28"/>
          <w:szCs w:val="28"/>
        </w:rPr>
        <w:t xml:space="preserve"> legislazione e degli atti amministrativi delle Regioni.</w:t>
      </w:r>
    </w:p>
    <w:p w:rsidR="00C7458B" w:rsidRDefault="00C7458B" w:rsidP="00C7458B">
      <w:pPr>
        <w:spacing w:line="20" w:lineRule="atLeast"/>
        <w:ind w:left="360"/>
        <w:jc w:val="both"/>
        <w:rPr>
          <w:rFonts w:ascii="Algerian" w:hAnsi="Algerian" w:cs="Times New Roman"/>
          <w:b/>
          <w:bCs/>
          <w:sz w:val="28"/>
          <w:szCs w:val="28"/>
        </w:rPr>
      </w:pPr>
      <w:r>
        <w:rPr>
          <w:rFonts w:ascii="Algerian" w:hAnsi="Algerian" w:cs="Times New Roman"/>
          <w:b/>
          <w:bCs/>
          <w:sz w:val="28"/>
          <w:szCs w:val="28"/>
        </w:rPr>
        <w:lastRenderedPageBreak/>
        <w:t xml:space="preserve">L’ articolazione </w:t>
      </w:r>
      <w:proofErr w:type="gramStart"/>
      <w:r>
        <w:rPr>
          <w:rFonts w:ascii="Algerian" w:hAnsi="Algerian" w:cs="Times New Roman"/>
          <w:b/>
          <w:bCs/>
          <w:sz w:val="28"/>
          <w:szCs w:val="28"/>
        </w:rPr>
        <w:t>di  osservatorio</w:t>
      </w:r>
      <w:proofErr w:type="gramEnd"/>
      <w:r>
        <w:rPr>
          <w:rFonts w:ascii="Algerian" w:hAnsi="Algerian" w:cs="Times New Roman"/>
          <w:b/>
          <w:bCs/>
          <w:sz w:val="28"/>
          <w:szCs w:val="28"/>
        </w:rPr>
        <w:t xml:space="preserve"> legislativo socio-sanitario si sviluppa  per aree tematiche riferite sia alla articolazione funzionale che si collega alle materie indicate nel dlgs.112/98, sia a più specifici approfondimenti di campi più “mirati” in rapporto alle realizzazione delle politiche sociali e di welfare.</w:t>
      </w:r>
    </w:p>
    <w:p w:rsidR="00C7458B" w:rsidRDefault="00C7458B" w:rsidP="00C7458B">
      <w:pPr>
        <w:pStyle w:val="NormaleWeb"/>
        <w:jc w:val="both"/>
        <w:rPr>
          <w:rFonts w:ascii="Algerian" w:hAnsi="Algerian"/>
          <w:b/>
          <w:sz w:val="32"/>
          <w:szCs w:val="32"/>
        </w:rPr>
      </w:pPr>
      <w:r>
        <w:rPr>
          <w:rFonts w:ascii="Algerian" w:hAnsi="Algerian"/>
          <w:b/>
          <w:sz w:val="32"/>
          <w:szCs w:val="32"/>
        </w:rPr>
        <w:t xml:space="preserve">OSSERVATORIO LEGISLATIVO SOCIALE SUNAS SI RIVOLGE NON SOLO ALLE ASSISTENTI SOCIALI ED AGLI ASSISTENTI SOCIALI, MA A TUTTI GLI ALTRI OPERATORI SANITARI, SOCIO-SANITARI, EDUCATIVI, ACCOMUNATI DALL’OBIETTIVO DI COSTRUIRE IL SISTEMA DI WELFARE, RISPETTOSO DEI </w:t>
      </w:r>
      <w:proofErr w:type="gramStart"/>
      <w:r>
        <w:rPr>
          <w:rFonts w:ascii="Algerian" w:hAnsi="Algerian"/>
          <w:b/>
          <w:sz w:val="32"/>
          <w:szCs w:val="32"/>
        </w:rPr>
        <w:t>DIRITTI  CIVILI</w:t>
      </w:r>
      <w:proofErr w:type="gramEnd"/>
      <w:r>
        <w:rPr>
          <w:rFonts w:ascii="Algerian" w:hAnsi="Algerian"/>
          <w:b/>
          <w:sz w:val="32"/>
          <w:szCs w:val="32"/>
        </w:rPr>
        <w:t xml:space="preserve"> E SOCIALI E PROMOTORE DI OPPORTUNITà E DI REALIZZAZIONE DELLE PERSONE, DELLE FAMIGLIE E DELLA COMUNITà. </w:t>
      </w:r>
    </w:p>
    <w:p w:rsidR="00C7458B" w:rsidRDefault="00C7458B" w:rsidP="00C7458B">
      <w:pPr>
        <w:pStyle w:val="NormaleWeb"/>
        <w:jc w:val="both"/>
        <w:rPr>
          <w:rFonts w:ascii="Algerian" w:hAnsi="Algerian"/>
          <w:b/>
          <w:sz w:val="32"/>
          <w:szCs w:val="32"/>
        </w:rPr>
      </w:pPr>
      <w:r>
        <w:rPr>
          <w:rFonts w:ascii="Algerian" w:hAnsi="Algerian"/>
          <w:b/>
          <w:sz w:val="32"/>
          <w:szCs w:val="32"/>
        </w:rPr>
        <w:t xml:space="preserve">INFATTI </w:t>
      </w:r>
      <w:proofErr w:type="gramStart"/>
      <w:r>
        <w:rPr>
          <w:rFonts w:ascii="Algerian" w:hAnsi="Algerian"/>
          <w:b/>
          <w:sz w:val="32"/>
          <w:szCs w:val="32"/>
        </w:rPr>
        <w:t>TUTTI  I</w:t>
      </w:r>
      <w:proofErr w:type="gramEnd"/>
      <w:r>
        <w:rPr>
          <w:rFonts w:ascii="Algerian" w:hAnsi="Algerian"/>
          <w:b/>
          <w:sz w:val="32"/>
          <w:szCs w:val="32"/>
        </w:rPr>
        <w:t xml:space="preserve"> PROFESSIONISTI DEL “sociale”  rappresentano la testa, il cuore e gli arti per l’effettiva realizzazione degli interventi e dei servizi sociali.</w:t>
      </w:r>
    </w:p>
    <w:p w:rsidR="00C7458B" w:rsidRDefault="00C7458B" w:rsidP="00C7458B">
      <w:pPr>
        <w:spacing w:line="20" w:lineRule="atLeast"/>
        <w:jc w:val="both"/>
        <w:rPr>
          <w:rFonts w:ascii="Algerian" w:hAnsi="Algerian" w:cs="Times New Roman"/>
          <w:b/>
          <w:bCs/>
          <w:sz w:val="28"/>
          <w:szCs w:val="28"/>
        </w:rPr>
      </w:pPr>
      <w:r>
        <w:rPr>
          <w:rFonts w:ascii="Algerian" w:hAnsi="Algerian" w:cs="Times New Roman"/>
          <w:b/>
          <w:bCs/>
          <w:sz w:val="28"/>
          <w:szCs w:val="28"/>
        </w:rPr>
        <w:t xml:space="preserve">La fonte primaria per la </w:t>
      </w:r>
      <w:proofErr w:type="gramStart"/>
      <w:r>
        <w:rPr>
          <w:rFonts w:ascii="Algerian" w:hAnsi="Algerian" w:cs="Times New Roman"/>
          <w:b/>
          <w:bCs/>
          <w:sz w:val="28"/>
          <w:szCs w:val="28"/>
        </w:rPr>
        <w:t>redazione  DI</w:t>
      </w:r>
      <w:proofErr w:type="gramEnd"/>
      <w:r>
        <w:rPr>
          <w:rFonts w:ascii="Algerian" w:hAnsi="Algerian" w:cs="Times New Roman"/>
          <w:b/>
          <w:bCs/>
          <w:sz w:val="28"/>
          <w:szCs w:val="28"/>
        </w:rPr>
        <w:t xml:space="preserve"> OSSERVATORIO LEGISLATIVO socio-sanitario  SUNAS  è data:</w:t>
      </w:r>
    </w:p>
    <w:p w:rsidR="00C7458B" w:rsidRDefault="00C7458B" w:rsidP="00C7458B">
      <w:pPr>
        <w:pStyle w:val="Paragrafoelenco"/>
        <w:numPr>
          <w:ilvl w:val="0"/>
          <w:numId w:val="1"/>
        </w:numPr>
        <w:spacing w:line="20" w:lineRule="atLeast"/>
        <w:jc w:val="both"/>
        <w:rPr>
          <w:rFonts w:ascii="Algerian" w:hAnsi="Algerian" w:cs="Times New Roman"/>
          <w:b/>
          <w:bCs/>
          <w:sz w:val="28"/>
          <w:szCs w:val="28"/>
        </w:rPr>
      </w:pPr>
      <w:r>
        <w:rPr>
          <w:rFonts w:ascii="Algerian" w:hAnsi="Algerian" w:cs="Times New Roman"/>
          <w:b/>
          <w:bCs/>
          <w:sz w:val="28"/>
          <w:szCs w:val="28"/>
        </w:rPr>
        <w:t xml:space="preserve"> </w:t>
      </w:r>
      <w:proofErr w:type="gramStart"/>
      <w:r>
        <w:rPr>
          <w:rFonts w:ascii="Algerian" w:hAnsi="Algerian" w:cs="Times New Roman"/>
          <w:b/>
          <w:bCs/>
          <w:sz w:val="28"/>
          <w:szCs w:val="28"/>
        </w:rPr>
        <w:t>dalla</w:t>
      </w:r>
      <w:proofErr w:type="gramEnd"/>
      <w:r>
        <w:rPr>
          <w:rFonts w:ascii="Algerian" w:hAnsi="Algerian" w:cs="Times New Roman"/>
          <w:b/>
          <w:bCs/>
          <w:sz w:val="28"/>
          <w:szCs w:val="28"/>
        </w:rPr>
        <w:t xml:space="preserve"> Gazzetta Ufficiale della Repubblica, per lo Stato, per ciò che concerne le leggi, i decreti-legge, i decreti legislativi. I decreti, gli accordi e le intese stato-regioni.</w:t>
      </w:r>
    </w:p>
    <w:p w:rsidR="00C7458B" w:rsidRDefault="00C7458B" w:rsidP="00C7458B">
      <w:pPr>
        <w:pStyle w:val="Paragrafoelenco"/>
        <w:numPr>
          <w:ilvl w:val="0"/>
          <w:numId w:val="1"/>
        </w:numPr>
        <w:spacing w:line="20" w:lineRule="atLeast"/>
        <w:jc w:val="both"/>
        <w:rPr>
          <w:rFonts w:ascii="Algerian" w:hAnsi="Algerian" w:cs="Times New Roman"/>
          <w:b/>
          <w:bCs/>
          <w:sz w:val="28"/>
          <w:szCs w:val="28"/>
        </w:rPr>
      </w:pPr>
      <w:proofErr w:type="gramStart"/>
      <w:r>
        <w:rPr>
          <w:rFonts w:ascii="Algerian" w:hAnsi="Algerian" w:cs="Times New Roman"/>
          <w:b/>
          <w:bCs/>
          <w:sz w:val="28"/>
          <w:szCs w:val="28"/>
        </w:rPr>
        <w:t>dai</w:t>
      </w:r>
      <w:proofErr w:type="gramEnd"/>
      <w:r>
        <w:rPr>
          <w:rFonts w:ascii="Algerian" w:hAnsi="Algerian" w:cs="Times New Roman"/>
          <w:b/>
          <w:bCs/>
          <w:sz w:val="28"/>
          <w:szCs w:val="28"/>
        </w:rPr>
        <w:t xml:space="preserve"> Bollettini Ufficiali Regionali delle Regioni per ciò che concerne le leggi regionali, gli atti di programmazione, gli atti di indirizzo e di  ALTA amministrazione.</w:t>
      </w:r>
    </w:p>
    <w:p w:rsidR="00C7458B" w:rsidRDefault="00C7458B" w:rsidP="00C7458B">
      <w:pPr>
        <w:spacing w:line="20" w:lineRule="atLeast"/>
        <w:jc w:val="both"/>
        <w:rPr>
          <w:rFonts w:ascii="Times New Roman" w:hAnsi="Times New Roman" w:cs="Times New Roman"/>
          <w:b/>
          <w:bCs/>
        </w:rPr>
      </w:pPr>
    </w:p>
    <w:p w:rsidR="00C7458B" w:rsidRDefault="00C7458B" w:rsidP="00C7458B">
      <w:pPr>
        <w:tabs>
          <w:tab w:val="left" w:pos="8460"/>
        </w:tabs>
        <w:spacing w:line="20" w:lineRule="atLeast"/>
        <w:jc w:val="both"/>
        <w:rPr>
          <w:rFonts w:ascii="Algerian" w:hAnsi="Algerian" w:cs="Times New Roman"/>
          <w:b/>
          <w:bCs/>
          <w:sz w:val="28"/>
          <w:szCs w:val="28"/>
        </w:rPr>
      </w:pPr>
      <w:r>
        <w:rPr>
          <w:rFonts w:ascii="Algerian" w:hAnsi="Algerian" w:cs="Times New Roman"/>
          <w:b/>
          <w:bCs/>
          <w:sz w:val="28"/>
          <w:szCs w:val="28"/>
        </w:rPr>
        <w:t xml:space="preserve">La cadenza </w:t>
      </w:r>
      <w:proofErr w:type="gramStart"/>
      <w:r>
        <w:rPr>
          <w:rFonts w:ascii="Algerian" w:hAnsi="Algerian" w:cs="Times New Roman"/>
          <w:b/>
          <w:bCs/>
          <w:sz w:val="28"/>
          <w:szCs w:val="28"/>
        </w:rPr>
        <w:t>di  OSSERVATORIO</w:t>
      </w:r>
      <w:proofErr w:type="gramEnd"/>
      <w:r>
        <w:rPr>
          <w:rFonts w:ascii="Algerian" w:hAnsi="Algerian" w:cs="Times New Roman"/>
          <w:b/>
          <w:bCs/>
          <w:sz w:val="28"/>
          <w:szCs w:val="28"/>
        </w:rPr>
        <w:t xml:space="preserve">  LEGISLATIVO SOCio-sanitario SUNAS  ha  una frequenza  MENSILE  e viene edito di norma il PRIMO  di ogni mese.</w:t>
      </w:r>
    </w:p>
    <w:p w:rsidR="00C7458B" w:rsidRDefault="00C7458B" w:rsidP="00C7458B">
      <w:pPr>
        <w:tabs>
          <w:tab w:val="left" w:pos="8460"/>
        </w:tabs>
        <w:spacing w:line="20" w:lineRule="atLeast"/>
        <w:jc w:val="both"/>
        <w:rPr>
          <w:rFonts w:ascii="Algerian" w:hAnsi="Algerian" w:cs="Times New Roman"/>
          <w:b/>
          <w:bCs/>
          <w:sz w:val="28"/>
          <w:szCs w:val="28"/>
        </w:rPr>
      </w:pPr>
    </w:p>
    <w:p w:rsidR="00C7458B" w:rsidRDefault="00C7458B" w:rsidP="00C7458B">
      <w:pPr>
        <w:tabs>
          <w:tab w:val="left" w:pos="8460"/>
        </w:tabs>
        <w:spacing w:line="20" w:lineRule="atLeast"/>
        <w:jc w:val="both"/>
        <w:rPr>
          <w:rFonts w:ascii="Algerian" w:hAnsi="Algerian" w:cs="Times New Roman"/>
          <w:b/>
          <w:bCs/>
          <w:sz w:val="28"/>
          <w:szCs w:val="28"/>
        </w:rPr>
      </w:pPr>
    </w:p>
    <w:p w:rsidR="00C7458B" w:rsidRDefault="00C7458B" w:rsidP="00C7458B">
      <w:pPr>
        <w:tabs>
          <w:tab w:val="left" w:pos="8460"/>
        </w:tabs>
        <w:spacing w:line="20" w:lineRule="atLeast"/>
        <w:jc w:val="both"/>
        <w:rPr>
          <w:rFonts w:ascii="Algerian" w:hAnsi="Algerian" w:cs="Times New Roman"/>
          <w:b/>
          <w:bCs/>
          <w:color w:val="FF0000"/>
          <w:sz w:val="28"/>
          <w:szCs w:val="28"/>
        </w:rPr>
      </w:pPr>
      <w:r>
        <w:rPr>
          <w:rFonts w:ascii="Algerian" w:hAnsi="Algerian" w:cs="Times New Roman"/>
          <w:b/>
          <w:bCs/>
          <w:color w:val="FF0000"/>
          <w:sz w:val="28"/>
          <w:szCs w:val="28"/>
        </w:rPr>
        <w:lastRenderedPageBreak/>
        <w:t>OSSERVATORIO LEGISLATIVO SOCIo-</w:t>
      </w:r>
      <w:proofErr w:type="gramStart"/>
      <w:r>
        <w:rPr>
          <w:rFonts w:ascii="Algerian" w:hAnsi="Algerian" w:cs="Times New Roman"/>
          <w:b/>
          <w:bCs/>
          <w:color w:val="FF0000"/>
          <w:sz w:val="28"/>
          <w:szCs w:val="28"/>
        </w:rPr>
        <w:t>sanitario  è</w:t>
      </w:r>
      <w:proofErr w:type="gramEnd"/>
      <w:r>
        <w:rPr>
          <w:rFonts w:ascii="Algerian" w:hAnsi="Algerian" w:cs="Times New Roman"/>
          <w:b/>
          <w:bCs/>
          <w:color w:val="FF0000"/>
          <w:sz w:val="28"/>
          <w:szCs w:val="28"/>
        </w:rPr>
        <w:t xml:space="preserve"> REDATTO, COMMENTATO ED IMPAGINATO DA LUIGI COLOMBINI*</w:t>
      </w:r>
    </w:p>
    <w:p w:rsidR="00C7458B" w:rsidRDefault="00C7458B" w:rsidP="00C7458B">
      <w:pPr>
        <w:tabs>
          <w:tab w:val="left" w:pos="8460"/>
        </w:tabs>
        <w:spacing w:line="20" w:lineRule="atLeast"/>
        <w:jc w:val="both"/>
        <w:rPr>
          <w:rFonts w:ascii="Algerian" w:hAnsi="Algerian" w:cs="Times New Roman"/>
          <w:b/>
          <w:bCs/>
          <w:color w:val="FF0000"/>
          <w:sz w:val="28"/>
          <w:szCs w:val="28"/>
        </w:rPr>
      </w:pPr>
      <w:proofErr w:type="gramStart"/>
      <w:r>
        <w:rPr>
          <w:rFonts w:ascii="Algerian" w:hAnsi="Algerian" w:cs="Times New Roman"/>
          <w:b/>
          <w:bCs/>
          <w:color w:val="FF0000"/>
          <w:sz w:val="28"/>
          <w:szCs w:val="28"/>
        </w:rPr>
        <w:t>+  già</w:t>
      </w:r>
      <w:proofErr w:type="gramEnd"/>
      <w:r>
        <w:rPr>
          <w:rFonts w:ascii="Algerian" w:hAnsi="Algerian" w:cs="Times New Roman"/>
          <w:b/>
          <w:bCs/>
          <w:color w:val="FF0000"/>
          <w:sz w:val="28"/>
          <w:szCs w:val="28"/>
        </w:rPr>
        <w:t xml:space="preserve"> docente di legislazione  ed organizzazione dei servizi sociali presso l’università  statale roma tre – corsi dissaife e massife </w:t>
      </w:r>
    </w:p>
    <w:p w:rsidR="00C7458B" w:rsidRPr="00E21052" w:rsidRDefault="00C7458B" w:rsidP="00C7458B">
      <w:pPr>
        <w:tabs>
          <w:tab w:val="left" w:pos="8460"/>
        </w:tabs>
        <w:spacing w:line="20" w:lineRule="atLeast"/>
        <w:jc w:val="both"/>
        <w:rPr>
          <w:rFonts w:ascii="Algerian" w:hAnsi="Algerian" w:cs="Times New Roman"/>
          <w:b/>
          <w:bCs/>
          <w:color w:val="FF0000"/>
          <w:sz w:val="28"/>
          <w:szCs w:val="28"/>
          <w:u w:val="single"/>
        </w:rPr>
      </w:pPr>
      <w:r>
        <w:rPr>
          <w:rFonts w:ascii="Algerian" w:hAnsi="Algerian" w:cs="Times New Roman"/>
          <w:b/>
          <w:bCs/>
          <w:color w:val="FF0000"/>
          <w:sz w:val="28"/>
          <w:szCs w:val="28"/>
          <w:u w:val="single"/>
        </w:rPr>
        <w:t xml:space="preserve">ANTECEDENTEMENTE A “OSSERVATORIO LEGISLATIVO SOCIO-SANITARIO </w:t>
      </w:r>
      <w:proofErr w:type="gramStart"/>
      <w:r>
        <w:rPr>
          <w:rFonts w:ascii="Algerian" w:hAnsi="Algerian" w:cs="Times New Roman"/>
          <w:b/>
          <w:bCs/>
          <w:color w:val="FF0000"/>
          <w:sz w:val="28"/>
          <w:szCs w:val="28"/>
          <w:u w:val="single"/>
        </w:rPr>
        <w:t>SUNAS”  SI</w:t>
      </w:r>
      <w:proofErr w:type="gramEnd"/>
      <w:r>
        <w:rPr>
          <w:rFonts w:ascii="Algerian" w:hAnsi="Algerian" w:cs="Times New Roman"/>
          <w:b/>
          <w:bCs/>
          <w:color w:val="FF0000"/>
          <w:sz w:val="28"/>
          <w:szCs w:val="28"/>
          <w:u w:val="single"/>
        </w:rPr>
        <w:t xml:space="preserve">   RICHIAMA L’ATTENZIONE     CHE   SUL   SITO   </w:t>
      </w:r>
      <w:hyperlink r:id="rId7" w:history="1">
        <w:r>
          <w:rPr>
            <w:rStyle w:val="Collegamentoipertestuale"/>
            <w:rFonts w:ascii="Algerian" w:hAnsi="Algerian"/>
            <w:b/>
            <w:bCs/>
            <w:sz w:val="28"/>
            <w:szCs w:val="28"/>
          </w:rPr>
          <w:t>WWW.ISTISSS.IT</w:t>
        </w:r>
      </w:hyperlink>
      <w:r>
        <w:rPr>
          <w:rFonts w:ascii="Algerian" w:hAnsi="Algerian" w:cs="Times New Roman"/>
          <w:b/>
          <w:bCs/>
          <w:color w:val="FF0000"/>
          <w:sz w:val="28"/>
          <w:szCs w:val="28"/>
          <w:u w:val="single"/>
        </w:rPr>
        <w:t xml:space="preserve"> E’ PRESENTE  “PANORAMA LEGISLATIVO  ISTISSS”, CURATO DA LUIGI COLOMBINI,  CHE DAL 2007 AL 2018  E’ DISPONIBILE DAL N. 1 AL N. 260  DOVE SONO PUBBLICATI GLI ATTI NORMATIVI E AMNISTRATIVI SULLE POLITICHE  SOCIALI STATALI E REGIONALI</w:t>
      </w:r>
    </w:p>
    <w:p w:rsidR="00C7458B" w:rsidRDefault="00C7458B" w:rsidP="00C7458B">
      <w:pPr>
        <w:tabs>
          <w:tab w:val="left" w:pos="8460"/>
        </w:tabs>
        <w:spacing w:line="20" w:lineRule="atLeast"/>
        <w:jc w:val="both"/>
        <w:rPr>
          <w:rFonts w:ascii="Algerian" w:hAnsi="Algerian" w:cs="Times New Roman"/>
          <w:b/>
          <w:bCs/>
          <w:sz w:val="28"/>
          <w:szCs w:val="28"/>
        </w:rPr>
      </w:pPr>
      <w:r>
        <w:rPr>
          <w:rFonts w:ascii="Algerian" w:hAnsi="Algerian" w:cs="Times New Roman"/>
          <w:b/>
          <w:bCs/>
          <w:sz w:val="28"/>
          <w:szCs w:val="28"/>
        </w:rPr>
        <w:t>NB</w:t>
      </w:r>
    </w:p>
    <w:p w:rsidR="00C7458B" w:rsidRDefault="00C7458B" w:rsidP="00C7458B">
      <w:pPr>
        <w:tabs>
          <w:tab w:val="left" w:pos="8460"/>
        </w:tabs>
        <w:spacing w:line="20" w:lineRule="atLeast"/>
        <w:jc w:val="both"/>
        <w:rPr>
          <w:rFonts w:ascii="Algerian" w:hAnsi="Algerian" w:cs="Times New Roman"/>
          <w:b/>
          <w:bCs/>
          <w:sz w:val="28"/>
          <w:szCs w:val="28"/>
        </w:rPr>
      </w:pPr>
      <w:r>
        <w:rPr>
          <w:rFonts w:ascii="Algerian" w:hAnsi="Algerian" w:cs="Times New Roman"/>
          <w:b/>
          <w:bCs/>
          <w:sz w:val="28"/>
          <w:szCs w:val="28"/>
        </w:rPr>
        <w:t xml:space="preserve">LE LEGGI ED I </w:t>
      </w:r>
      <w:proofErr w:type="gramStart"/>
      <w:r>
        <w:rPr>
          <w:rFonts w:ascii="Algerian" w:hAnsi="Algerian" w:cs="Times New Roman"/>
          <w:b/>
          <w:bCs/>
          <w:sz w:val="28"/>
          <w:szCs w:val="28"/>
        </w:rPr>
        <w:t>PROVVEDIMENTI  DI</w:t>
      </w:r>
      <w:proofErr w:type="gramEnd"/>
      <w:r>
        <w:rPr>
          <w:rFonts w:ascii="Algerian" w:hAnsi="Algerian" w:cs="Times New Roman"/>
          <w:b/>
          <w:bCs/>
          <w:sz w:val="28"/>
          <w:szCs w:val="28"/>
        </w:rPr>
        <w:t xml:space="preserve"> ALTA AMMINISTRAZIONE RIPORTTATI  HANNO VALORE UNICAMENTE INFORMATIVO, E  IN OGNI CASO SI RIMANDA ALLA FONTE UFFICIALE (gazzetta ufficiale  dello stato e bollettini ufficiali regionali)</w:t>
      </w:r>
    </w:p>
    <w:p w:rsidR="00C7458B" w:rsidRDefault="00C7458B" w:rsidP="00C7458B">
      <w:pPr>
        <w:tabs>
          <w:tab w:val="left" w:pos="8460"/>
        </w:tabs>
        <w:spacing w:line="20" w:lineRule="atLeast"/>
        <w:jc w:val="both"/>
        <w:rPr>
          <w:rFonts w:ascii="Algerian" w:hAnsi="Algerian" w:cs="Times New Roman"/>
          <w:b/>
          <w:bCs/>
          <w:sz w:val="28"/>
          <w:szCs w:val="28"/>
        </w:rPr>
      </w:pPr>
    </w:p>
    <w:p w:rsidR="008B746C" w:rsidRPr="00B803C7" w:rsidRDefault="008B746C" w:rsidP="008B746C">
      <w:pPr>
        <w:tabs>
          <w:tab w:val="left" w:pos="8460"/>
        </w:tabs>
        <w:spacing w:line="20" w:lineRule="atLeast"/>
        <w:jc w:val="center"/>
        <w:rPr>
          <w:rFonts w:ascii="Algerian" w:hAnsi="Algerian" w:cs="Times New Roman"/>
          <w:b/>
          <w:bCs/>
          <w:sz w:val="52"/>
          <w:szCs w:val="52"/>
        </w:rPr>
      </w:pPr>
      <w:r>
        <w:rPr>
          <w:rFonts w:ascii="Algerian" w:hAnsi="Algerian" w:cs="Times New Roman"/>
          <w:b/>
          <w:bCs/>
          <w:sz w:val="52"/>
          <w:szCs w:val="52"/>
        </w:rPr>
        <w:t>i</w:t>
      </w:r>
      <w:r w:rsidRPr="00B803C7">
        <w:rPr>
          <w:rFonts w:ascii="Algerian" w:hAnsi="Algerian" w:cs="Times New Roman"/>
          <w:b/>
          <w:bCs/>
          <w:sz w:val="52"/>
          <w:szCs w:val="52"/>
        </w:rPr>
        <w:t xml:space="preserve">NDICE DI OSSERVATORIO LEGISLATIVO SOCIO-SANITARIO SUNAS N. </w:t>
      </w:r>
      <w:r>
        <w:rPr>
          <w:rFonts w:ascii="Algerian" w:hAnsi="Algerian" w:cs="Times New Roman"/>
          <w:b/>
          <w:bCs/>
          <w:sz w:val="52"/>
          <w:szCs w:val="52"/>
        </w:rPr>
        <w:t>12</w:t>
      </w:r>
    </w:p>
    <w:p w:rsidR="008B746C" w:rsidRDefault="008B746C" w:rsidP="008B746C">
      <w:pPr>
        <w:spacing w:after="0" w:line="20" w:lineRule="atLeast"/>
        <w:jc w:val="center"/>
        <w:rPr>
          <w:rFonts w:cstheme="minorHAnsi"/>
          <w:b/>
          <w:color w:val="FF0000"/>
          <w:u w:val="single"/>
        </w:rPr>
      </w:pPr>
      <w:r w:rsidRPr="00FE24E6">
        <w:rPr>
          <w:rFonts w:cstheme="minorHAnsi"/>
          <w:b/>
          <w:color w:val="FF0000"/>
          <w:u w:val="single"/>
        </w:rPr>
        <w:t>UNO   SGUARDO D’INSIEME</w:t>
      </w:r>
    </w:p>
    <w:p w:rsidR="008B746C" w:rsidRDefault="008B746C" w:rsidP="008B746C">
      <w:pPr>
        <w:spacing w:after="0" w:line="20" w:lineRule="atLeast"/>
        <w:jc w:val="center"/>
        <w:rPr>
          <w:rFonts w:cstheme="minorHAnsi"/>
          <w:b/>
          <w:color w:val="FF0000"/>
          <w:u w:val="single"/>
        </w:rPr>
      </w:pPr>
    </w:p>
    <w:p w:rsidR="008B746C" w:rsidRPr="00BB0A41" w:rsidRDefault="008B746C" w:rsidP="008B746C">
      <w:pPr>
        <w:spacing w:after="0" w:line="20" w:lineRule="atLeast"/>
        <w:jc w:val="both"/>
        <w:rPr>
          <w:rFonts w:cstheme="minorHAnsi"/>
          <w:b/>
          <w:color w:val="FF0000"/>
        </w:rPr>
      </w:pPr>
      <w:proofErr w:type="gramStart"/>
      <w:r w:rsidRPr="00BB0A41">
        <w:rPr>
          <w:rFonts w:cstheme="minorHAnsi"/>
          <w:b/>
          <w:color w:val="FF0000"/>
        </w:rPr>
        <w:t>NEL  SETTORE</w:t>
      </w:r>
      <w:proofErr w:type="gramEnd"/>
      <w:r w:rsidRPr="00BB0A41">
        <w:rPr>
          <w:rFonts w:cstheme="minorHAnsi"/>
          <w:b/>
          <w:color w:val="FF0000"/>
        </w:rPr>
        <w:t xml:space="preserve"> DELLO STATO,  E’ STATO EMANATO  IL   REGOLAMENTO CONCERNENTE LA DETERMINAZIONE DELLA STRUTTURA E DELLA COMPOSIZIONE DELL’UFFICIO POSTO ALLE DIPENDENZE DEL GARANTE NAZIONALE DEI DIRITTI DELLE PERSONE DETENUTE O PRIVATE DELLA LIBERTÀ PERSONALE.</w:t>
      </w:r>
    </w:p>
    <w:p w:rsidR="008B746C" w:rsidRPr="00BB0A41" w:rsidRDefault="008B746C" w:rsidP="008B746C">
      <w:pPr>
        <w:spacing w:after="0" w:line="20" w:lineRule="atLeast"/>
        <w:jc w:val="both"/>
        <w:rPr>
          <w:rFonts w:cstheme="minorHAnsi"/>
          <w:b/>
          <w:color w:val="FF0000"/>
        </w:rPr>
      </w:pPr>
    </w:p>
    <w:p w:rsidR="008B746C" w:rsidRPr="00BB0A41" w:rsidRDefault="008B746C" w:rsidP="008B746C">
      <w:pPr>
        <w:spacing w:after="0" w:line="20" w:lineRule="atLeast"/>
        <w:jc w:val="both"/>
        <w:rPr>
          <w:rFonts w:cstheme="minorHAnsi"/>
          <w:b/>
          <w:color w:val="FF0000"/>
        </w:rPr>
      </w:pPr>
      <w:r w:rsidRPr="00BB0A41">
        <w:rPr>
          <w:rFonts w:cstheme="minorHAnsi"/>
          <w:b/>
          <w:color w:val="FF0000"/>
        </w:rPr>
        <w:t xml:space="preserve">PER GLI ENTI LOCALI </w:t>
      </w:r>
      <w:proofErr w:type="gramStart"/>
      <w:r w:rsidRPr="00BB0A41">
        <w:rPr>
          <w:rFonts w:cstheme="minorHAnsi"/>
          <w:b/>
          <w:color w:val="FF0000"/>
        </w:rPr>
        <w:t>LA  CORTE</w:t>
      </w:r>
      <w:proofErr w:type="gramEnd"/>
      <w:r w:rsidRPr="00BB0A41">
        <w:rPr>
          <w:rFonts w:cstheme="minorHAnsi"/>
          <w:b/>
          <w:color w:val="FF0000"/>
        </w:rPr>
        <w:t xml:space="preserve"> DEI CONTI HA EMANATO APPOSITE LINEE GUIDA IN ORDINE AI VARI ASPETTI CHE RIGUARDANO L’ANDAMENTO DEI BILANCI E DEI RELATIVI CONTROLLI,  CON APPROFONFONDITE  ARGOMENTAZIONI  E MODALITÀ  DI REDAZIONE DELLE RELAZIONI, CON RIFERIMENTO SPECIFICO ALLA INDIVIDUAZIONE DELLE AZIONI PER LA SPENDING REVIEW, CON I RELATIVI QUESTIONARI.</w:t>
      </w:r>
    </w:p>
    <w:p w:rsidR="008B746C" w:rsidRPr="00BB0A41" w:rsidRDefault="008B746C" w:rsidP="008B746C">
      <w:pPr>
        <w:spacing w:after="0" w:line="20" w:lineRule="atLeast"/>
        <w:jc w:val="both"/>
        <w:rPr>
          <w:rFonts w:cstheme="minorHAnsi"/>
          <w:b/>
          <w:color w:val="FF0000"/>
        </w:rPr>
      </w:pPr>
    </w:p>
    <w:p w:rsidR="008B746C" w:rsidRPr="00BB0A41" w:rsidRDefault="008B746C" w:rsidP="008B746C">
      <w:pPr>
        <w:shd w:val="clear" w:color="auto" w:fill="FEFEFE"/>
        <w:spacing w:after="0" w:line="20" w:lineRule="atLeast"/>
        <w:jc w:val="both"/>
        <w:outlineLvl w:val="1"/>
        <w:rPr>
          <w:rFonts w:cstheme="minorHAnsi"/>
          <w:b/>
          <w:color w:val="FF0000"/>
        </w:rPr>
      </w:pPr>
      <w:r w:rsidRPr="00BB0A41">
        <w:rPr>
          <w:rFonts w:cstheme="minorHAnsi"/>
          <w:b/>
          <w:color w:val="FF0000"/>
        </w:rPr>
        <w:t xml:space="preserve">CON SPECIFICO </w:t>
      </w:r>
      <w:proofErr w:type="gramStart"/>
      <w:r w:rsidRPr="00BB0A41">
        <w:rPr>
          <w:rFonts w:cstheme="minorHAnsi"/>
          <w:b/>
          <w:color w:val="FF0000"/>
        </w:rPr>
        <w:t>DECRETO  SONO</w:t>
      </w:r>
      <w:proofErr w:type="gramEnd"/>
      <w:r w:rsidRPr="00BB0A41">
        <w:rPr>
          <w:rFonts w:cstheme="minorHAnsi"/>
          <w:b/>
          <w:color w:val="FF0000"/>
        </w:rPr>
        <w:t xml:space="preserve"> STATE EMANATE LE MODALITÀ  PER IL RILASCIO DELLA CARTA FAMIGLIA,  DESTINATA ALLE   FAMIGLIE COSTITUITE DA CITTADINI ITALIANI OVVERO  IN PAESI UE RESIDENTI, CON ALMENO TRE FIGLI CONVIVENTI DI ETÀ NON SUPERIORE A VENTISEI ANNI. LA RICHIESTA DELLA CARTA È PRESENTATA DA UNO DEI GENITORI DEL NUCLEO FAMILIARE ED EMESSA DAL DIPARTIMENTO PER LE POLITICHE DELLA FAMIGLIA DELLA PRESIDENZA DEL CONSIGLIO DEI MINISTRI MEDIANTE UNA PIATTAFORMA DIGITALE. </w:t>
      </w:r>
    </w:p>
    <w:p w:rsidR="008B746C" w:rsidRPr="00BB0A41" w:rsidRDefault="008B746C" w:rsidP="008B746C">
      <w:pPr>
        <w:shd w:val="clear" w:color="auto" w:fill="FEFEFE"/>
        <w:spacing w:after="0" w:line="20" w:lineRule="atLeast"/>
        <w:jc w:val="both"/>
        <w:outlineLvl w:val="1"/>
        <w:rPr>
          <w:rFonts w:cstheme="minorHAnsi"/>
          <w:b/>
          <w:color w:val="FF0000"/>
        </w:rPr>
      </w:pPr>
    </w:p>
    <w:p w:rsidR="008B746C" w:rsidRPr="00BB0A41" w:rsidRDefault="008B746C" w:rsidP="008B746C">
      <w:pPr>
        <w:shd w:val="clear" w:color="auto" w:fill="FEFEFE"/>
        <w:spacing w:after="0" w:line="20" w:lineRule="atLeast"/>
        <w:jc w:val="both"/>
        <w:outlineLvl w:val="1"/>
        <w:rPr>
          <w:rFonts w:cstheme="minorHAnsi"/>
          <w:b/>
          <w:color w:val="FF0000"/>
        </w:rPr>
      </w:pPr>
      <w:r w:rsidRPr="00BB0A41">
        <w:rPr>
          <w:rFonts w:cstheme="minorHAnsi"/>
          <w:b/>
          <w:color w:val="FF0000"/>
        </w:rPr>
        <w:lastRenderedPageBreak/>
        <w:t xml:space="preserve">CON SPECIFICA LEGGE E’ </w:t>
      </w:r>
      <w:proofErr w:type="gramStart"/>
      <w:r w:rsidRPr="00BB0A41">
        <w:rPr>
          <w:rFonts w:cstheme="minorHAnsi"/>
          <w:b/>
          <w:color w:val="FF0000"/>
        </w:rPr>
        <w:t>STATA  INTRODOTTO</w:t>
      </w:r>
      <w:proofErr w:type="gramEnd"/>
      <w:r w:rsidRPr="00BB0A41">
        <w:rPr>
          <w:rFonts w:cstheme="minorHAnsi"/>
          <w:b/>
          <w:color w:val="FF0000"/>
        </w:rPr>
        <w:t xml:space="preserve"> L’INSEGNAMENTO SCOLASTICO DELL’EDUCAZIONE CIVICA, CON SPEFICICHE DISPOSIZIONI.</w:t>
      </w:r>
    </w:p>
    <w:p w:rsidR="008B746C" w:rsidRPr="00BB0A41" w:rsidRDefault="008B746C" w:rsidP="008B746C">
      <w:pPr>
        <w:shd w:val="clear" w:color="auto" w:fill="FEFEFE"/>
        <w:spacing w:after="0" w:line="20" w:lineRule="atLeast"/>
        <w:jc w:val="both"/>
        <w:outlineLvl w:val="1"/>
        <w:rPr>
          <w:rFonts w:cstheme="minorHAnsi"/>
          <w:b/>
          <w:color w:val="FF0000"/>
        </w:rPr>
      </w:pPr>
    </w:p>
    <w:p w:rsidR="008B746C" w:rsidRPr="00BB0A41" w:rsidRDefault="008B746C" w:rsidP="008B746C">
      <w:pPr>
        <w:shd w:val="clear" w:color="auto" w:fill="FEFEFE"/>
        <w:spacing w:after="0" w:line="20" w:lineRule="atLeast"/>
        <w:jc w:val="both"/>
        <w:outlineLvl w:val="1"/>
        <w:rPr>
          <w:rFonts w:cstheme="minorHAnsi"/>
          <w:b/>
          <w:color w:val="FF0000"/>
        </w:rPr>
      </w:pPr>
      <w:r w:rsidRPr="00BB0A41">
        <w:rPr>
          <w:rFonts w:cstheme="minorHAnsi"/>
          <w:b/>
          <w:color w:val="FF0000"/>
        </w:rPr>
        <w:t xml:space="preserve">DI RILIEVO IL REGOLAMENTO DI ORGANIZZAZIONE DEL CNEL, CON RIFERIMENTO ALLA SUA FUNZIONE COSTITUZIONALE DI PROPOSIZIONE DI PROPOSTE DI LEGGE NELL’AMBITO DELLE POLITICHE SOCIALI, E LA SUA ESPRESSIONE DI </w:t>
      </w:r>
      <w:proofErr w:type="gramStart"/>
      <w:r w:rsidRPr="00BB0A41">
        <w:rPr>
          <w:rFonts w:cstheme="minorHAnsi"/>
          <w:b/>
          <w:color w:val="FF0000"/>
        </w:rPr>
        <w:t>PARERI  IN</w:t>
      </w:r>
      <w:proofErr w:type="gramEnd"/>
      <w:r w:rsidRPr="00BB0A41">
        <w:rPr>
          <w:rFonts w:cstheme="minorHAnsi"/>
          <w:b/>
          <w:color w:val="FF0000"/>
        </w:rPr>
        <w:t xml:space="preserve"> MERITO. SONO ALTRESI’ SPECIFICATE LE MODALITA’ RELAZIONE E DI PARTECIPAZIONE E DI RAPPRESENTANZA DELLA SOCIETA’ CIVILE.</w:t>
      </w:r>
    </w:p>
    <w:p w:rsidR="008B746C" w:rsidRPr="00BB0A41" w:rsidRDefault="008B746C" w:rsidP="008B746C">
      <w:pPr>
        <w:shd w:val="clear" w:color="auto" w:fill="FEFEFE"/>
        <w:spacing w:after="0" w:line="20" w:lineRule="atLeast"/>
        <w:jc w:val="both"/>
        <w:outlineLvl w:val="1"/>
        <w:rPr>
          <w:rFonts w:cstheme="minorHAnsi"/>
          <w:b/>
          <w:color w:val="FF0000"/>
        </w:rPr>
      </w:pPr>
    </w:p>
    <w:p w:rsidR="008B746C" w:rsidRPr="00BB0A41" w:rsidRDefault="008B746C" w:rsidP="008B746C">
      <w:pPr>
        <w:shd w:val="clear" w:color="auto" w:fill="FEFEFE"/>
        <w:spacing w:after="0" w:line="20" w:lineRule="atLeast"/>
        <w:jc w:val="both"/>
        <w:outlineLvl w:val="1"/>
        <w:rPr>
          <w:rFonts w:cstheme="minorHAnsi"/>
          <w:b/>
          <w:color w:val="FF0000"/>
        </w:rPr>
      </w:pPr>
      <w:r w:rsidRPr="00BB0A41">
        <w:rPr>
          <w:rFonts w:cstheme="minorHAnsi"/>
          <w:b/>
          <w:color w:val="FF0000"/>
        </w:rPr>
        <w:t>PER GLI INTERVENTI A COMPLETAMENTO DEL RDC, E’ STATO DISPOSTO UN PIANO STRAORDINARIO DI POTENZIAMENTO DEI CENTRI PER L’IMPIEGO, E DELLE POLITICHE ATTIVE DEL LAVORO,</w:t>
      </w:r>
    </w:p>
    <w:p w:rsidR="008B746C" w:rsidRPr="00BB0A41" w:rsidRDefault="008B746C" w:rsidP="008B746C">
      <w:pPr>
        <w:shd w:val="clear" w:color="auto" w:fill="FEFEFE"/>
        <w:spacing w:after="0" w:line="20" w:lineRule="atLeast"/>
        <w:jc w:val="both"/>
        <w:outlineLvl w:val="1"/>
        <w:rPr>
          <w:rFonts w:cstheme="minorHAnsi"/>
          <w:b/>
          <w:color w:val="FF0000"/>
        </w:rPr>
      </w:pPr>
      <w:r w:rsidRPr="00BB0A41">
        <w:rPr>
          <w:rFonts w:cstheme="minorHAnsi"/>
          <w:b/>
          <w:color w:val="FF0000"/>
        </w:rPr>
        <w:t xml:space="preserve"> </w:t>
      </w:r>
      <w:proofErr w:type="gramStart"/>
      <w:r w:rsidRPr="00BB0A41">
        <w:rPr>
          <w:rFonts w:cstheme="minorHAnsi"/>
          <w:b/>
          <w:color w:val="FF0000"/>
        </w:rPr>
        <w:t>NELL’AMBITO  DELLA</w:t>
      </w:r>
      <w:proofErr w:type="gramEnd"/>
      <w:r w:rsidRPr="00BB0A41">
        <w:rPr>
          <w:rFonts w:cstheme="minorHAnsi"/>
          <w:b/>
          <w:color w:val="FF0000"/>
        </w:rPr>
        <w:t xml:space="preserve"> PREVIDENZA, PROSEGUONO  VARI PROVVEDIMENTI DELLE CASSE PREVIDENZALI CHE CONFERMANO  LA PROGRESSIVA TENDENZA A ULTERORMENTE QUALFICARE IN EFFETTI  INTERVENTI  AGGIUNTIVI DI WELFARE.</w:t>
      </w:r>
    </w:p>
    <w:p w:rsidR="008B746C" w:rsidRPr="00BB0A41" w:rsidRDefault="008B746C" w:rsidP="008B746C">
      <w:pPr>
        <w:shd w:val="clear" w:color="auto" w:fill="FEFEFE"/>
        <w:spacing w:after="0" w:line="20" w:lineRule="atLeast"/>
        <w:jc w:val="both"/>
        <w:outlineLvl w:val="1"/>
        <w:rPr>
          <w:rFonts w:cstheme="minorHAnsi"/>
          <w:b/>
          <w:color w:val="FF0000"/>
        </w:rPr>
      </w:pPr>
    </w:p>
    <w:p w:rsidR="008B746C" w:rsidRPr="00BB0A41" w:rsidRDefault="008B746C" w:rsidP="008B746C">
      <w:pPr>
        <w:shd w:val="clear" w:color="auto" w:fill="FEFEFE"/>
        <w:spacing w:after="0" w:line="20" w:lineRule="atLeast"/>
        <w:jc w:val="both"/>
        <w:outlineLvl w:val="1"/>
        <w:rPr>
          <w:rFonts w:cstheme="minorHAnsi"/>
          <w:b/>
          <w:color w:val="FF0000"/>
        </w:rPr>
      </w:pPr>
      <w:r w:rsidRPr="00BB0A41">
        <w:rPr>
          <w:rFonts w:cstheme="minorHAnsi"/>
          <w:b/>
          <w:color w:val="FF0000"/>
        </w:rPr>
        <w:t xml:space="preserve">PER IL TERZO SETTORE CON SPECIFICO </w:t>
      </w:r>
      <w:proofErr w:type="gramStart"/>
      <w:r w:rsidRPr="00BB0A41">
        <w:rPr>
          <w:rFonts w:cstheme="minorHAnsi"/>
          <w:b/>
          <w:color w:val="FF0000"/>
        </w:rPr>
        <w:t>DECRETO  SONO</w:t>
      </w:r>
      <w:proofErr w:type="gramEnd"/>
      <w:r w:rsidRPr="00BB0A41">
        <w:rPr>
          <w:rFonts w:cstheme="minorHAnsi"/>
          <w:b/>
          <w:color w:val="FF0000"/>
        </w:rPr>
        <w:t xml:space="preserve"> STATE EMANATE APPOSITE  LINEE GUIDA PER LA REDAZIONE DEL BILANCIO SOCIALE DEGLI ENTI DEL TERZO SETTORE.</w:t>
      </w:r>
    </w:p>
    <w:p w:rsidR="008B746C" w:rsidRPr="00BB0A41" w:rsidRDefault="008B746C" w:rsidP="008B746C">
      <w:pPr>
        <w:shd w:val="clear" w:color="auto" w:fill="FEFEFE"/>
        <w:spacing w:after="0" w:line="20" w:lineRule="atLeast"/>
        <w:jc w:val="both"/>
        <w:outlineLvl w:val="1"/>
        <w:rPr>
          <w:rFonts w:cstheme="minorHAnsi"/>
          <w:b/>
          <w:color w:val="FF0000"/>
        </w:rPr>
      </w:pPr>
    </w:p>
    <w:p w:rsidR="008B746C" w:rsidRPr="00BB0A41" w:rsidRDefault="008B746C" w:rsidP="008B746C">
      <w:pPr>
        <w:shd w:val="clear" w:color="auto" w:fill="FEFEFE"/>
        <w:spacing w:after="0" w:line="20" w:lineRule="atLeast"/>
        <w:jc w:val="both"/>
        <w:outlineLvl w:val="1"/>
        <w:rPr>
          <w:rFonts w:cstheme="minorHAnsi"/>
          <w:b/>
          <w:color w:val="FF0000"/>
        </w:rPr>
      </w:pPr>
      <w:r w:rsidRPr="00BB0A41">
        <w:rPr>
          <w:rFonts w:cstheme="minorHAnsi"/>
          <w:b/>
          <w:color w:val="FF0000"/>
        </w:rPr>
        <w:t xml:space="preserve">SUL FRONTE DELLE REGIONI, LA REGIONE LAZIO HA PRESENTATO IL PIANO </w:t>
      </w:r>
      <w:proofErr w:type="gramStart"/>
      <w:r w:rsidRPr="00BB0A41">
        <w:rPr>
          <w:rFonts w:cstheme="minorHAnsi"/>
          <w:b/>
          <w:color w:val="FF0000"/>
        </w:rPr>
        <w:t>DELLE  PERFORMANCE</w:t>
      </w:r>
      <w:proofErr w:type="gramEnd"/>
      <w:r w:rsidRPr="00BB0A41">
        <w:rPr>
          <w:rFonts w:cstheme="minorHAnsi"/>
          <w:b/>
          <w:color w:val="FF0000"/>
        </w:rPr>
        <w:t xml:space="preserve"> 2019-2021, , CON PARTICOLARE ESPOSIZIZIONE DELLA PROPRIA ORGANIZZAZIONE E MISSIONE, SEGUITA DALLA </w:t>
      </w:r>
    </w:p>
    <w:p w:rsidR="008B746C" w:rsidRPr="00BB0A41" w:rsidRDefault="008B746C" w:rsidP="008B746C">
      <w:pPr>
        <w:shd w:val="clear" w:color="auto" w:fill="FEFEFE"/>
        <w:spacing w:after="0" w:line="20" w:lineRule="atLeast"/>
        <w:jc w:val="both"/>
        <w:outlineLvl w:val="1"/>
        <w:rPr>
          <w:rFonts w:cstheme="minorHAnsi"/>
          <w:b/>
          <w:color w:val="FF0000"/>
        </w:rPr>
      </w:pPr>
      <w:r w:rsidRPr="00BB0A41">
        <w:rPr>
          <w:rFonts w:cstheme="minorHAnsi"/>
          <w:b/>
          <w:color w:val="FF0000"/>
        </w:rPr>
        <w:t>RELAZIONE SULLA PERFORMANCE 2018.</w:t>
      </w:r>
    </w:p>
    <w:p w:rsidR="008B746C" w:rsidRPr="00BB0A41" w:rsidRDefault="008B746C" w:rsidP="008B746C">
      <w:pPr>
        <w:shd w:val="clear" w:color="auto" w:fill="FEFEFE"/>
        <w:spacing w:after="0" w:line="20" w:lineRule="atLeast"/>
        <w:jc w:val="both"/>
        <w:outlineLvl w:val="1"/>
        <w:rPr>
          <w:rFonts w:cstheme="minorHAnsi"/>
          <w:b/>
          <w:color w:val="FF0000"/>
        </w:rPr>
      </w:pPr>
    </w:p>
    <w:p w:rsidR="008B746C" w:rsidRPr="00BB0A41" w:rsidRDefault="008B746C" w:rsidP="008B746C">
      <w:pPr>
        <w:shd w:val="clear" w:color="auto" w:fill="FEFEFE"/>
        <w:spacing w:after="0" w:line="20" w:lineRule="atLeast"/>
        <w:jc w:val="both"/>
        <w:outlineLvl w:val="1"/>
        <w:rPr>
          <w:rFonts w:cstheme="minorHAnsi"/>
          <w:b/>
          <w:color w:val="FF0000"/>
        </w:rPr>
      </w:pPr>
      <w:r w:rsidRPr="00BB0A41">
        <w:rPr>
          <w:rFonts w:cstheme="minorHAnsi"/>
          <w:b/>
          <w:color w:val="FF0000"/>
        </w:rPr>
        <w:t xml:space="preserve">PER LE POLITICHE RIVOLTE AGLI ANZIANI, LA REGIONE LAZIO HA COSITJUITO </w:t>
      </w:r>
      <w:proofErr w:type="gramStart"/>
      <w:r w:rsidRPr="00BB0A41">
        <w:rPr>
          <w:rFonts w:cstheme="minorHAnsi"/>
          <w:b/>
          <w:color w:val="FF0000"/>
        </w:rPr>
        <w:t>IL  GRUPPO</w:t>
      </w:r>
      <w:proofErr w:type="gramEnd"/>
      <w:r w:rsidRPr="00BB0A41">
        <w:rPr>
          <w:rFonts w:cstheme="minorHAnsi"/>
          <w:b/>
          <w:color w:val="FF0000"/>
        </w:rPr>
        <w:t xml:space="preserve"> DI LAVORO  PER  PER L'ELABORAZIONE DI LINEE GUIDA REGIONALI IN MATERIA DI CENTRI ANZIANI; LA PROVINCIA DI BOLZANO HA EMANATO SPECIFICI CRITERI PER ACCOMPAGNAMENTO E ASSISTENZA ABITATIVA PER ANZIANI.</w:t>
      </w:r>
    </w:p>
    <w:p w:rsidR="008B746C" w:rsidRPr="00BB0A41" w:rsidRDefault="008B746C" w:rsidP="008B746C">
      <w:pPr>
        <w:shd w:val="clear" w:color="auto" w:fill="FEFEFE"/>
        <w:spacing w:after="0" w:line="20" w:lineRule="atLeast"/>
        <w:jc w:val="both"/>
        <w:outlineLvl w:val="1"/>
        <w:rPr>
          <w:rFonts w:cstheme="minorHAnsi"/>
          <w:b/>
          <w:color w:val="FF0000"/>
        </w:rPr>
      </w:pPr>
    </w:p>
    <w:p w:rsidR="008B746C" w:rsidRPr="00BB0A41" w:rsidRDefault="008B746C" w:rsidP="008B746C">
      <w:pPr>
        <w:shd w:val="clear" w:color="auto" w:fill="FEFEFE"/>
        <w:spacing w:after="0" w:line="20" w:lineRule="atLeast"/>
        <w:jc w:val="both"/>
        <w:outlineLvl w:val="1"/>
        <w:rPr>
          <w:rFonts w:cstheme="minorHAnsi"/>
          <w:b/>
          <w:color w:val="FF0000"/>
        </w:rPr>
      </w:pPr>
      <w:r w:rsidRPr="00BB0A41">
        <w:rPr>
          <w:rFonts w:cstheme="minorHAnsi"/>
          <w:b/>
          <w:color w:val="FF0000"/>
        </w:rPr>
        <w:t>PER CIO’ CHE CONCERNE LE POLITICHE ABITATIVE, LA REGIONE BASILICATA HA DISPOSTO INTERVENTI DI SVILUPPO URBANO NEL COMUNE DI MATERA, RIVOLTO A FAMIGLIE IN CONDIZIONI DI DISAGIO ABITTAIVO E DI FRAGILITA’ SOCIALE. LA REGIONE LOMBARDIA HA EMANATO DIVERSI PROVVEDIMENTI PER L’ASSISTENZA ABITATIVA, CON PARTICOLARE ATTENZIONE ALLE FAMIGLIE IN CONDIZONI DI DISAGIO.</w:t>
      </w:r>
    </w:p>
    <w:p w:rsidR="008B746C" w:rsidRPr="00BB0A41" w:rsidRDefault="008B746C" w:rsidP="008B746C">
      <w:pPr>
        <w:shd w:val="clear" w:color="auto" w:fill="FEFEFE"/>
        <w:spacing w:after="0" w:line="20" w:lineRule="atLeast"/>
        <w:jc w:val="both"/>
        <w:outlineLvl w:val="1"/>
        <w:rPr>
          <w:rFonts w:cstheme="minorHAnsi"/>
          <w:b/>
          <w:color w:val="FF0000"/>
        </w:rPr>
      </w:pPr>
    </w:p>
    <w:p w:rsidR="008B746C" w:rsidRPr="00BB0A41" w:rsidRDefault="008B746C" w:rsidP="008B746C">
      <w:pPr>
        <w:shd w:val="clear" w:color="auto" w:fill="FEFEFE"/>
        <w:spacing w:after="0" w:line="20" w:lineRule="atLeast"/>
        <w:jc w:val="both"/>
        <w:outlineLvl w:val="1"/>
        <w:rPr>
          <w:rFonts w:cstheme="minorHAnsi"/>
          <w:b/>
          <w:color w:val="FF0000"/>
        </w:rPr>
      </w:pPr>
      <w:r w:rsidRPr="00BB0A41">
        <w:rPr>
          <w:rFonts w:cstheme="minorHAnsi"/>
          <w:b/>
          <w:color w:val="FF0000"/>
        </w:rPr>
        <w:t xml:space="preserve">SULLA SPINTA DEL PPROGRAMMA STATALE DI RILANIO DELLE POLITICHE FAMILIARI, E DEL RELATIVO COFINANZIAMENTO, LE REGIONI </w:t>
      </w:r>
      <w:proofErr w:type="gramStart"/>
      <w:r w:rsidRPr="00BB0A41">
        <w:rPr>
          <w:rFonts w:cstheme="minorHAnsi"/>
          <w:b/>
          <w:color w:val="FF0000"/>
        </w:rPr>
        <w:t>BASLICATA,  LAZIO</w:t>
      </w:r>
      <w:proofErr w:type="gramEnd"/>
      <w:r w:rsidRPr="00BB0A41">
        <w:rPr>
          <w:rFonts w:cstheme="minorHAnsi"/>
          <w:b/>
          <w:color w:val="FF0000"/>
        </w:rPr>
        <w:t>, MARCHE, PIEMONTE, VENETO, HANNO APPROVATO I RELATIVI PIANI, CON PARTICOLARE RIFERIMENTO AL RUOLO DEI CONSULTORI FAMILIARI ED AL RUOLO DELL’ASSISTENTE SOCIALE E DEL SERVIZIO SOCIALE AL LORO INTERNO.</w:t>
      </w:r>
    </w:p>
    <w:p w:rsidR="008B746C" w:rsidRPr="00BB0A41" w:rsidRDefault="008B746C" w:rsidP="008B746C">
      <w:pPr>
        <w:shd w:val="clear" w:color="auto" w:fill="FEFEFE"/>
        <w:spacing w:after="0" w:line="20" w:lineRule="atLeast"/>
        <w:jc w:val="both"/>
        <w:outlineLvl w:val="1"/>
        <w:rPr>
          <w:rFonts w:cstheme="minorHAnsi"/>
          <w:b/>
          <w:color w:val="FF0000"/>
        </w:rPr>
      </w:pPr>
      <w:r w:rsidRPr="00BB0A41">
        <w:rPr>
          <w:rFonts w:cstheme="minorHAnsi"/>
          <w:b/>
          <w:color w:val="FF0000"/>
        </w:rPr>
        <w:t xml:space="preserve">PER LE POLITICHE GIOVANILI, L’EMILIA ROMAGNA </w:t>
      </w:r>
      <w:proofErr w:type="gramStart"/>
      <w:r w:rsidRPr="00BB0A41">
        <w:rPr>
          <w:rFonts w:cstheme="minorHAnsi"/>
          <w:b/>
          <w:color w:val="FF0000"/>
        </w:rPr>
        <w:t>HA  INTEGRATO</w:t>
      </w:r>
      <w:proofErr w:type="gramEnd"/>
      <w:r w:rsidRPr="00BB0A41">
        <w:rPr>
          <w:rFonts w:cstheme="minorHAnsi"/>
          <w:b/>
          <w:color w:val="FF0000"/>
        </w:rPr>
        <w:t xml:space="preserve"> IL PROGRAMMA  GECO, MENTRE LA REGIONE LOMBARDIA HA STIPULATO APPOSITO PROTOCOLLO CON L’ANCI PER LO SVOLGIMENTO DI INIZIATIVE E PROGRAMMI  AD ESSI RIVOLTI,</w:t>
      </w:r>
      <w:r w:rsidRPr="00BB0A41">
        <w:rPr>
          <w:rFonts w:cstheme="minorHAnsi"/>
        </w:rPr>
        <w:t xml:space="preserve"> </w:t>
      </w:r>
      <w:r w:rsidRPr="00BB0A41">
        <w:rPr>
          <w:rFonts w:cstheme="minorHAnsi"/>
          <w:b/>
          <w:color w:val="FF0000"/>
        </w:rPr>
        <w:t xml:space="preserve">NELLA REALIZZAZIONE DELLA PROGETTUALITÀ “LA LOMBARDIA È DEI GIOVANI” . A TALE PROPOSITO NON SI PUO’ NON RICORDARE LA LEGGE PROVINCIALE DELLA PROVNCIA DI BOLZANO, FIN DAL  </w:t>
      </w:r>
      <w:proofErr w:type="gramStart"/>
      <w:r w:rsidRPr="00BB0A41">
        <w:rPr>
          <w:rFonts w:cstheme="minorHAnsi"/>
          <w:b/>
          <w:color w:val="FF0000"/>
        </w:rPr>
        <w:t>1983,  CHE</w:t>
      </w:r>
      <w:proofErr w:type="gramEnd"/>
      <w:r w:rsidRPr="00BB0A41">
        <w:rPr>
          <w:rFonts w:cstheme="minorHAnsi"/>
          <w:b/>
          <w:color w:val="FF0000"/>
        </w:rPr>
        <w:t xml:space="preserve"> HA DISPOSTO UN COMPLESSO DI INTERVENTI E PROGRAMMI CON IL SERVIZIO GIOVANI, CENTRATO SUL RUOLO DEGLI ENTI LOCALI PER LA COSTITUZIONE DI  CENTRI GIOVANILI. </w:t>
      </w:r>
    </w:p>
    <w:p w:rsidR="008B746C" w:rsidRPr="00BB0A41" w:rsidRDefault="008B746C" w:rsidP="008B746C">
      <w:pPr>
        <w:shd w:val="clear" w:color="auto" w:fill="FEFEFE"/>
        <w:spacing w:after="0" w:line="20" w:lineRule="atLeast"/>
        <w:jc w:val="both"/>
        <w:outlineLvl w:val="1"/>
        <w:rPr>
          <w:rFonts w:cstheme="minorHAnsi"/>
          <w:b/>
          <w:color w:val="FF0000"/>
        </w:rPr>
      </w:pPr>
      <w:r w:rsidRPr="00BB0A41">
        <w:rPr>
          <w:rFonts w:cstheme="minorHAnsi"/>
          <w:b/>
          <w:color w:val="FF0000"/>
        </w:rPr>
        <w:t xml:space="preserve">SI RIPUBBLICA IN TALE CONTESTO LA LEGGE REGIONALE DELLA REGIONE </w:t>
      </w:r>
      <w:proofErr w:type="gramStart"/>
      <w:r w:rsidRPr="00BB0A41">
        <w:rPr>
          <w:rFonts w:cstheme="minorHAnsi"/>
          <w:b/>
          <w:color w:val="FF0000"/>
        </w:rPr>
        <w:t xml:space="preserve">SICILIA </w:t>
      </w:r>
      <w:r w:rsidRPr="00BB0A41">
        <w:rPr>
          <w:b/>
          <w:color w:val="FF0000"/>
        </w:rPr>
        <w:t>,</w:t>
      </w:r>
      <w:proofErr w:type="gramEnd"/>
      <w:r w:rsidRPr="00BB0A41">
        <w:rPr>
          <w:b/>
          <w:color w:val="FF0000"/>
        </w:rPr>
        <w:t xml:space="preserve">  NORME IN MATERIA DI POLITICHE GIOVANILI. ISTITUZIONE DEL FORUM REGIONALE DEI GIOVANI E DELL’OSSERVATORIO REGIONALE DELLE POLITICHE GIOVANILI</w:t>
      </w:r>
      <w:r w:rsidRPr="00BB0A41">
        <w:rPr>
          <w:rFonts w:cstheme="minorHAnsi"/>
          <w:b/>
          <w:color w:val="FF0000"/>
        </w:rPr>
        <w:t>.</w:t>
      </w:r>
    </w:p>
    <w:p w:rsidR="008B746C" w:rsidRPr="00BB0A41" w:rsidRDefault="008B746C" w:rsidP="008B746C">
      <w:pPr>
        <w:shd w:val="clear" w:color="auto" w:fill="FEFEFE"/>
        <w:spacing w:after="0" w:line="20" w:lineRule="atLeast"/>
        <w:jc w:val="both"/>
        <w:outlineLvl w:val="1"/>
        <w:rPr>
          <w:rFonts w:cstheme="minorHAnsi"/>
          <w:b/>
          <w:color w:val="FF0000"/>
        </w:rPr>
      </w:pPr>
    </w:p>
    <w:p w:rsidR="008B746C" w:rsidRPr="00BB0A41" w:rsidRDefault="008B746C" w:rsidP="008B746C">
      <w:pPr>
        <w:shd w:val="clear" w:color="auto" w:fill="FEFEFE"/>
        <w:spacing w:after="0" w:line="20" w:lineRule="atLeast"/>
        <w:jc w:val="both"/>
        <w:outlineLvl w:val="1"/>
        <w:rPr>
          <w:rFonts w:cstheme="minorHAnsi"/>
          <w:b/>
          <w:bCs/>
          <w:color w:val="FF0000"/>
        </w:rPr>
      </w:pPr>
      <w:r w:rsidRPr="00BB0A41">
        <w:rPr>
          <w:rFonts w:cstheme="minorHAnsi"/>
          <w:b/>
          <w:color w:val="FF0000"/>
        </w:rPr>
        <w:t xml:space="preserve">LE POLITICHE MIGRATORIE, LA REGIONE ABRUZZO HA COSTITUITO LA COMMISSIONE SPECIALE SUL FENOMENO IMMIGRATORIO E LAVORO SOMMERSO; LA REGIONE PIEMONTE HA STIPULATO SPECIFICO </w:t>
      </w:r>
      <w:r w:rsidRPr="00BB0A41">
        <w:rPr>
          <w:rFonts w:cstheme="minorHAnsi"/>
          <w:b/>
          <w:bCs/>
          <w:color w:val="FF0000"/>
        </w:rPr>
        <w:t>ACCORDO DI COLLABORAZIONE TRA LA REGIONE PIEMONTE E LE PREFETTURE PIEMONTESI PER LE ATTIVITA' DI RACCORDO ISTITUZIONALE NELL'AMBITO DELLE INIZIATIVE VOLTE A FAVORIRE IL RIMPATRIO VOLONTARIO ASSISTITO (RVA) DEI MIGRANTI NEL TERRITORIO PIEMONTESE.</w:t>
      </w:r>
    </w:p>
    <w:p w:rsidR="008B746C" w:rsidRPr="00BB0A41" w:rsidRDefault="008B746C" w:rsidP="008B746C">
      <w:pPr>
        <w:shd w:val="clear" w:color="auto" w:fill="FEFEFE"/>
        <w:spacing w:after="0" w:line="20" w:lineRule="atLeast"/>
        <w:jc w:val="both"/>
        <w:outlineLvl w:val="1"/>
        <w:rPr>
          <w:rFonts w:cstheme="minorHAnsi"/>
          <w:b/>
          <w:bCs/>
          <w:color w:val="FF0000"/>
        </w:rPr>
      </w:pPr>
    </w:p>
    <w:p w:rsidR="008B746C" w:rsidRPr="00BB0A41" w:rsidRDefault="008B746C" w:rsidP="008B746C">
      <w:pPr>
        <w:shd w:val="clear" w:color="auto" w:fill="FEFEFE"/>
        <w:spacing w:after="0" w:line="20" w:lineRule="atLeast"/>
        <w:jc w:val="both"/>
        <w:outlineLvl w:val="1"/>
        <w:rPr>
          <w:b/>
          <w:color w:val="FF0000"/>
        </w:rPr>
      </w:pPr>
      <w:r w:rsidRPr="00BB0A41">
        <w:rPr>
          <w:rFonts w:cstheme="minorHAnsi"/>
          <w:b/>
          <w:bCs/>
          <w:color w:val="FF0000"/>
        </w:rPr>
        <w:lastRenderedPageBreak/>
        <w:t xml:space="preserve">LA REGIONE LAZIO, A SEGUITO DELLA L.R. </w:t>
      </w:r>
      <w:r w:rsidRPr="00BB0A41">
        <w:rPr>
          <w:rFonts w:cstheme="minorHAnsi"/>
          <w:b/>
          <w:color w:val="FF0000"/>
        </w:rPr>
        <w:t xml:space="preserve">LEGGE REGIONALE 22 FEBBRAIO 2019, N. 2, HA EMANATO IL REGOAMENTO SULLE IPAB, CHE NEL TERRITORIO REGIONALE </w:t>
      </w:r>
      <w:proofErr w:type="gramStart"/>
      <w:r w:rsidRPr="00BB0A41">
        <w:rPr>
          <w:rFonts w:cstheme="minorHAnsi"/>
          <w:b/>
          <w:color w:val="FF0000"/>
        </w:rPr>
        <w:t>COSTITUISCONO  UNA</w:t>
      </w:r>
      <w:proofErr w:type="gramEnd"/>
      <w:r w:rsidRPr="00BB0A41">
        <w:rPr>
          <w:rFonts w:cstheme="minorHAnsi"/>
          <w:b/>
          <w:color w:val="FF0000"/>
        </w:rPr>
        <w:t xml:space="preserve"> RETE SOCIALE DI NOTEVOLE RILIEVO, E CHE UNA APPOSITA PUBBLICAZIONE DELL’ASSESSORATO DEI SERVIZI SOCIALI, RISALENTE AL 1978, NE  ILLUSTRO’ LA CONSISTENZA E LA REALTA’. A TALE RIGUARDO SI SOTTOLINEA CHE ESSE STESSE SONO INDIVIDUATE DALLA REGIONE LAZIO COME ENTI DI RIFERIMENTO PER LO SVOLGIMENTO DI SPECIFICHE ASSISTENZIALI: LE IPAB SONO IMPEGNATE ATTRAVERSO APPOSITI PROTOCOLLO A SVOLGERE INTERVENTI PER LE PERSONE AFFETTE </w:t>
      </w:r>
      <w:proofErr w:type="gramStart"/>
      <w:r w:rsidRPr="00BB0A41">
        <w:rPr>
          <w:rFonts w:cstheme="minorHAnsi"/>
          <w:b/>
          <w:color w:val="FF0000"/>
        </w:rPr>
        <w:t>DA  CECITA</w:t>
      </w:r>
      <w:proofErr w:type="gramEnd"/>
      <w:r w:rsidRPr="00BB0A41">
        <w:rPr>
          <w:rFonts w:cstheme="minorHAnsi"/>
          <w:b/>
          <w:color w:val="FF0000"/>
        </w:rPr>
        <w:t>’ (IPAB S, ALESSIO), DA MINORI IN CONDIZIONI DI ASSOLUTO DISAGIO, PERSONE CON DISABILITA’ (</w:t>
      </w:r>
      <w:r w:rsidRPr="00BB0A41">
        <w:rPr>
          <w:b/>
          <w:color w:val="FF0000"/>
        </w:rPr>
        <w:t>OPERA PIA ASILO SAVOIA).</w:t>
      </w:r>
    </w:p>
    <w:p w:rsidR="008B746C" w:rsidRPr="00BB0A41" w:rsidRDefault="008B746C" w:rsidP="008B746C">
      <w:pPr>
        <w:shd w:val="clear" w:color="auto" w:fill="FEFEFE"/>
        <w:spacing w:after="0" w:line="20" w:lineRule="atLeast"/>
        <w:jc w:val="both"/>
        <w:outlineLvl w:val="1"/>
        <w:rPr>
          <w:b/>
          <w:color w:val="FF0000"/>
        </w:rPr>
      </w:pPr>
    </w:p>
    <w:p w:rsidR="008B746C" w:rsidRPr="00BB0A41" w:rsidRDefault="008B746C" w:rsidP="008B746C">
      <w:pPr>
        <w:shd w:val="clear" w:color="auto" w:fill="FEFEFE"/>
        <w:spacing w:after="0" w:line="20" w:lineRule="atLeast"/>
        <w:jc w:val="both"/>
        <w:outlineLvl w:val="1"/>
        <w:rPr>
          <w:rFonts w:eastAsia="Times New Roman" w:cstheme="minorHAnsi"/>
          <w:b/>
          <w:bCs/>
          <w:color w:val="FF0000"/>
          <w:kern w:val="36"/>
          <w:lang w:eastAsia="it-IT"/>
        </w:rPr>
      </w:pPr>
      <w:proofErr w:type="gramStart"/>
      <w:r w:rsidRPr="00BB0A41">
        <w:rPr>
          <w:rFonts w:cstheme="minorHAnsi"/>
          <w:b/>
          <w:bCs/>
          <w:color w:val="FF0000"/>
        </w:rPr>
        <w:t>PER  CIO</w:t>
      </w:r>
      <w:proofErr w:type="gramEnd"/>
      <w:r w:rsidRPr="00BB0A41">
        <w:rPr>
          <w:rFonts w:cstheme="minorHAnsi"/>
          <w:b/>
          <w:bCs/>
          <w:color w:val="FF0000"/>
        </w:rPr>
        <w:t xml:space="preserve">’ CHE CONCERNE SPECIFICI INTERVENTI RIVOLTI AI MINORI, LA REGIONE EMILIA ROMAGNA CON DELIBERAZIONE DELL’ ASSEMBLEA LEGILATIVA HA ISTITUITO UNA COMMISSIONE   </w:t>
      </w:r>
      <w:r w:rsidRPr="00BB0A41">
        <w:rPr>
          <w:rFonts w:eastAsia="Times New Roman" w:cstheme="minorHAnsi"/>
          <w:b/>
          <w:bCs/>
          <w:color w:val="FF0000"/>
          <w:kern w:val="36"/>
          <w:lang w:eastAsia="it-IT"/>
        </w:rPr>
        <w:t>SPECIALE D'INCHIESTA CIRCA IL SISTEMA DI TUTELA DEI MINORI, A SEGUITO  DELLA NOTA VICENDA DEL COMUNE DI BIBBIANO,</w:t>
      </w:r>
    </w:p>
    <w:p w:rsidR="008B746C" w:rsidRPr="00BB0A41" w:rsidRDefault="008B746C" w:rsidP="008B746C">
      <w:pPr>
        <w:shd w:val="clear" w:color="auto" w:fill="FEFEFE"/>
        <w:spacing w:after="0" w:line="20" w:lineRule="atLeast"/>
        <w:jc w:val="both"/>
        <w:outlineLvl w:val="1"/>
        <w:rPr>
          <w:rFonts w:cstheme="minorHAnsi"/>
          <w:b/>
          <w:color w:val="FF0000"/>
        </w:rPr>
      </w:pPr>
      <w:r w:rsidRPr="00BB0A41">
        <w:rPr>
          <w:rFonts w:eastAsia="Times New Roman" w:cstheme="minorHAnsi"/>
          <w:b/>
          <w:bCs/>
          <w:color w:val="FF0000"/>
          <w:kern w:val="36"/>
          <w:lang w:eastAsia="it-IT"/>
        </w:rPr>
        <w:t xml:space="preserve">LA REGIONE PIEMONTE HA EMANATO APPOSITO AVVISO PER L’INCARICO DA </w:t>
      </w:r>
      <w:proofErr w:type="gramStart"/>
      <w:r w:rsidRPr="00BB0A41">
        <w:rPr>
          <w:rFonts w:eastAsia="Times New Roman" w:cstheme="minorHAnsi"/>
          <w:b/>
          <w:bCs/>
          <w:color w:val="FF0000"/>
          <w:kern w:val="36"/>
          <w:lang w:eastAsia="it-IT"/>
        </w:rPr>
        <w:t>ATTRIBUIRE  AD</w:t>
      </w:r>
      <w:proofErr w:type="gramEnd"/>
      <w:r w:rsidRPr="00BB0A41">
        <w:rPr>
          <w:rFonts w:eastAsia="Times New Roman" w:cstheme="minorHAnsi"/>
          <w:b/>
          <w:bCs/>
          <w:color w:val="FF0000"/>
          <w:kern w:val="36"/>
          <w:lang w:eastAsia="it-IT"/>
        </w:rPr>
        <w:t xml:space="preserve"> UNO PSICOLOGO </w:t>
      </w:r>
      <w:r w:rsidRPr="00BB0A41">
        <w:rPr>
          <w:rFonts w:cstheme="minorHAnsi"/>
          <w:b/>
          <w:color w:val="FF0000"/>
        </w:rPr>
        <w:t>PER L’ IMPLEMENTAZIONE, DIFFUSIONE E DISSEMINAZIONE DEL PROGETTO "DA BAMBINO A BAMBINO: L'ESPERIENZA DELL'ADOZIONE RACCONTATA DAI COETANEI CHE L'HANNO VISSUTA”.</w:t>
      </w:r>
    </w:p>
    <w:p w:rsidR="008B746C" w:rsidRPr="00BB0A41" w:rsidRDefault="008B746C" w:rsidP="008B746C">
      <w:pPr>
        <w:shd w:val="clear" w:color="auto" w:fill="FEFEFE"/>
        <w:spacing w:after="0" w:line="20" w:lineRule="atLeast"/>
        <w:jc w:val="both"/>
        <w:outlineLvl w:val="1"/>
        <w:rPr>
          <w:rFonts w:cstheme="minorHAnsi"/>
          <w:b/>
          <w:color w:val="FF0000"/>
        </w:rPr>
      </w:pPr>
      <w:r w:rsidRPr="00BB0A41">
        <w:rPr>
          <w:rFonts w:cstheme="minorHAnsi"/>
          <w:b/>
          <w:color w:val="FF0000"/>
        </w:rPr>
        <w:t xml:space="preserve">LA PROVINCIA DI BOLZANO HA DETTATO NUOVI CRITERI PER LO SVOLGIMENTO DELL’ASSISTENZA DOMICILIARE AI MINORI. </w:t>
      </w:r>
    </w:p>
    <w:p w:rsidR="008B746C" w:rsidRPr="00BB0A41" w:rsidRDefault="008B746C" w:rsidP="008B746C">
      <w:pPr>
        <w:shd w:val="clear" w:color="auto" w:fill="FEFEFE"/>
        <w:spacing w:after="0" w:line="20" w:lineRule="atLeast"/>
        <w:jc w:val="both"/>
        <w:outlineLvl w:val="1"/>
        <w:rPr>
          <w:rFonts w:cstheme="minorHAnsi"/>
          <w:b/>
          <w:color w:val="FF0000"/>
        </w:rPr>
      </w:pPr>
    </w:p>
    <w:p w:rsidR="008B746C" w:rsidRPr="00BB0A41" w:rsidRDefault="008B746C" w:rsidP="008B746C">
      <w:pPr>
        <w:shd w:val="clear" w:color="auto" w:fill="FEFEFE"/>
        <w:spacing w:after="0" w:line="20" w:lineRule="atLeast"/>
        <w:jc w:val="both"/>
        <w:outlineLvl w:val="1"/>
        <w:rPr>
          <w:rFonts w:cstheme="minorHAnsi"/>
          <w:b/>
          <w:color w:val="FF0000"/>
        </w:rPr>
      </w:pPr>
      <w:r w:rsidRPr="00BB0A41">
        <w:rPr>
          <w:rFonts w:cstheme="minorHAnsi"/>
          <w:b/>
          <w:color w:val="FF0000"/>
        </w:rPr>
        <w:t xml:space="preserve">LA COMPLESSA TEMATICA DELLA NON AUTOSUFFICIENZA E’ STATA TRATTATA DA VARIE REGIONI, CON PARTICOLARE RIFERIMENTO ALLE PERSONE AFFETTE DA SLA (LAZIO), ED ALLA </w:t>
      </w:r>
      <w:proofErr w:type="gramStart"/>
      <w:r w:rsidRPr="00BB0A41">
        <w:rPr>
          <w:rFonts w:cstheme="minorHAnsi"/>
          <w:b/>
          <w:color w:val="FF0000"/>
        </w:rPr>
        <w:t>RIDEFINIZIONE  DEL</w:t>
      </w:r>
      <w:proofErr w:type="gramEnd"/>
      <w:r w:rsidRPr="00BB0A41">
        <w:rPr>
          <w:rFonts w:cstheme="minorHAnsi"/>
          <w:b/>
          <w:color w:val="FF0000"/>
        </w:rPr>
        <w:t xml:space="preserve"> SISTEMA DI OFFERTA PER LE PERSONE NON AUTOSUFFICIENTI (VENETO).</w:t>
      </w:r>
    </w:p>
    <w:p w:rsidR="008B746C" w:rsidRPr="00BB0A41" w:rsidRDefault="008B746C" w:rsidP="008B746C">
      <w:pPr>
        <w:shd w:val="clear" w:color="auto" w:fill="FEFEFE"/>
        <w:spacing w:after="0" w:line="20" w:lineRule="atLeast"/>
        <w:jc w:val="both"/>
        <w:outlineLvl w:val="1"/>
        <w:rPr>
          <w:rFonts w:cstheme="minorHAnsi"/>
          <w:b/>
          <w:color w:val="FF0000"/>
        </w:rPr>
      </w:pPr>
    </w:p>
    <w:p w:rsidR="008B746C" w:rsidRPr="00BB0A41" w:rsidRDefault="008B746C" w:rsidP="008B746C">
      <w:pPr>
        <w:spacing w:after="0" w:line="20" w:lineRule="atLeast"/>
        <w:jc w:val="both"/>
        <w:rPr>
          <w:rFonts w:ascii="Corbel" w:eastAsia="Times New Roman" w:hAnsi="Corbel" w:cs="Times New Roman"/>
          <w:b/>
          <w:bCs/>
          <w:color w:val="FF0000"/>
          <w:kern w:val="36"/>
        </w:rPr>
      </w:pPr>
      <w:r w:rsidRPr="00BB0A41">
        <w:rPr>
          <w:rFonts w:cstheme="minorHAnsi"/>
          <w:b/>
          <w:color w:val="FF0000"/>
        </w:rPr>
        <w:t>PER LE POLITICHE PER LE PARI OPPORTUNITA’ LA REGIONE BASILICATA HA PUBBLICATO APPOSITO AVVISO  “</w:t>
      </w:r>
      <w:r w:rsidRPr="00BB0A41">
        <w:rPr>
          <w:b/>
          <w:color w:val="FF0000"/>
        </w:rPr>
        <w:t xml:space="preserve">VALORE DONNA 2020 - VOUCHER PER LA CONCILIAZIONE”; LA REGIONE EMILIA ROMAGNA HA EMANATO A SUA VOLTA IL </w:t>
      </w:r>
      <w:r w:rsidRPr="00BB0A41">
        <w:rPr>
          <w:rFonts w:ascii="Corbel" w:eastAsia="Times New Roman" w:hAnsi="Corbel" w:cs="Times New Roman"/>
          <w:b/>
          <w:bCs/>
          <w:color w:val="FF0000"/>
          <w:kern w:val="36"/>
        </w:rPr>
        <w:t>BANDO PER LA PRESENTAZIONE DI PROGETTI VOLTI A SOSTENERE LA PRESENZA PARITARIA DELLE DONNE NELLA VITA ECONOMICA DEL TERRITORIO, FAVORENDO L'ACCESSO AL LAVORO, I PERCORSI DI CARRIERA E LA PROMOZIONE DI PROGETTI DI WELFARE AZIENDALE FINALIZZATI AL WORK-LIFE BALANCE E AL MIGLIORAMENTO DELLA QUALITÀ DELLA VITA DELLE PERSONE.</w:t>
      </w:r>
    </w:p>
    <w:p w:rsidR="008B746C" w:rsidRPr="00BB0A41" w:rsidRDefault="008B746C" w:rsidP="008B746C">
      <w:pPr>
        <w:spacing w:after="0" w:line="20" w:lineRule="atLeast"/>
        <w:jc w:val="both"/>
        <w:rPr>
          <w:rFonts w:ascii="Corbel" w:eastAsia="Times New Roman" w:hAnsi="Corbel" w:cs="Times New Roman"/>
          <w:b/>
          <w:bCs/>
          <w:color w:val="FF0000"/>
          <w:kern w:val="36"/>
        </w:rPr>
      </w:pPr>
    </w:p>
    <w:p w:rsidR="008B746C" w:rsidRPr="00BB0A41" w:rsidRDefault="008B746C" w:rsidP="008B746C">
      <w:pPr>
        <w:spacing w:after="0" w:line="20" w:lineRule="atLeast"/>
        <w:jc w:val="both"/>
        <w:rPr>
          <w:rFonts w:ascii="Corbel" w:eastAsia="Times New Roman" w:hAnsi="Corbel" w:cs="Times New Roman"/>
          <w:b/>
          <w:bCs/>
          <w:color w:val="FF0000"/>
          <w:kern w:val="36"/>
        </w:rPr>
      </w:pPr>
      <w:r w:rsidRPr="00BB0A41">
        <w:rPr>
          <w:rFonts w:ascii="Corbel" w:eastAsia="Times New Roman" w:hAnsi="Corbel" w:cs="Times New Roman"/>
          <w:b/>
          <w:bCs/>
          <w:color w:val="FF0000"/>
          <w:kern w:val="36"/>
        </w:rPr>
        <w:t xml:space="preserve">IN MERITO </w:t>
      </w:r>
      <w:proofErr w:type="gramStart"/>
      <w:r w:rsidRPr="00BB0A41">
        <w:rPr>
          <w:rFonts w:ascii="Corbel" w:eastAsia="Times New Roman" w:hAnsi="Corbel" w:cs="Times New Roman"/>
          <w:b/>
          <w:bCs/>
          <w:color w:val="FF0000"/>
          <w:kern w:val="36"/>
        </w:rPr>
        <w:t>ALLE  PERSONE</w:t>
      </w:r>
      <w:proofErr w:type="gramEnd"/>
      <w:r w:rsidRPr="00BB0A41">
        <w:rPr>
          <w:rFonts w:ascii="Corbel" w:eastAsia="Times New Roman" w:hAnsi="Corbel" w:cs="Times New Roman"/>
          <w:b/>
          <w:bCs/>
          <w:color w:val="FF0000"/>
          <w:kern w:val="36"/>
        </w:rPr>
        <w:t xml:space="preserve"> CON DISABILITA’ A FRONTR DEL  PROGRAMMA “DOPO DI NOI” A SEGUITO DELLA </w:t>
      </w:r>
      <w:r w:rsidRPr="00BB0A41">
        <w:rPr>
          <w:rFonts w:cstheme="minorHAnsi"/>
          <w:b/>
          <w:color w:val="FF0000"/>
        </w:rPr>
        <w:t xml:space="preserve">L. 22 GIUGNO 2016, N. 112, LE REGIONI </w:t>
      </w:r>
      <w:r w:rsidRPr="00BB0A41">
        <w:rPr>
          <w:rFonts w:ascii="Corbel" w:eastAsia="Times New Roman" w:hAnsi="Corbel" w:cs="Times New Roman"/>
          <w:b/>
          <w:bCs/>
          <w:color w:val="FF0000"/>
          <w:kern w:val="36"/>
        </w:rPr>
        <w:t xml:space="preserve"> BASILICATA,  CAMPANIA, LAZIO, MARCHE, PIEMONTE HANNO DISPOSTO ARTICOLATI PIANI DI INTERVENTO;  PER LA PROMOZIONE DELLA  VITA INDIPENDENTE  LA REGIONE LAZIO HA  FINANZIATO I PIANI  ATTUATI DAI DISTRETTI SOCIO-SANITARI.</w:t>
      </w:r>
    </w:p>
    <w:p w:rsidR="008B746C" w:rsidRPr="00BB0A41" w:rsidRDefault="008B746C" w:rsidP="008B746C">
      <w:pPr>
        <w:spacing w:after="0" w:line="20" w:lineRule="atLeast"/>
        <w:jc w:val="both"/>
        <w:rPr>
          <w:rFonts w:ascii="Corbel" w:eastAsia="Times New Roman" w:hAnsi="Corbel" w:cs="Times New Roman"/>
          <w:b/>
          <w:bCs/>
          <w:color w:val="FF0000"/>
          <w:kern w:val="36"/>
        </w:rPr>
      </w:pPr>
    </w:p>
    <w:p w:rsidR="008B746C" w:rsidRPr="00BB0A41" w:rsidRDefault="008B746C" w:rsidP="008B746C">
      <w:pPr>
        <w:spacing w:after="0" w:line="20" w:lineRule="atLeast"/>
        <w:jc w:val="both"/>
        <w:rPr>
          <w:rFonts w:ascii="Corbel" w:eastAsia="Times New Roman" w:hAnsi="Corbel" w:cs="Times New Roman"/>
          <w:b/>
          <w:bCs/>
          <w:color w:val="FF0000"/>
          <w:kern w:val="36"/>
        </w:rPr>
      </w:pPr>
      <w:r w:rsidRPr="00BB0A41">
        <w:rPr>
          <w:rFonts w:ascii="Corbel" w:eastAsia="Times New Roman" w:hAnsi="Corbel" w:cs="Times New Roman"/>
          <w:b/>
          <w:bCs/>
          <w:color w:val="FF0000"/>
          <w:kern w:val="36"/>
        </w:rPr>
        <w:t xml:space="preserve">LA REGIONE VENETO HA </w:t>
      </w:r>
      <w:proofErr w:type="gramStart"/>
      <w:r w:rsidRPr="00BB0A41">
        <w:rPr>
          <w:rFonts w:ascii="Corbel" w:eastAsia="Times New Roman" w:hAnsi="Corbel" w:cs="Times New Roman"/>
          <w:b/>
          <w:bCs/>
          <w:color w:val="FF0000"/>
          <w:kern w:val="36"/>
        </w:rPr>
        <w:t>APPROVATO  LA</w:t>
      </w:r>
      <w:proofErr w:type="gramEnd"/>
      <w:r w:rsidRPr="00BB0A41">
        <w:rPr>
          <w:rFonts w:ascii="Corbel" w:eastAsia="Times New Roman" w:hAnsi="Corbel" w:cs="Times New Roman"/>
          <w:b/>
          <w:bCs/>
          <w:color w:val="FF0000"/>
          <w:kern w:val="36"/>
        </w:rPr>
        <w:t xml:space="preserve"> </w:t>
      </w:r>
      <w:r w:rsidRPr="00BB0A41">
        <w:rPr>
          <w:rFonts w:cstheme="minorHAnsi"/>
          <w:b/>
          <w:bCs/>
          <w:color w:val="FF0000"/>
        </w:rPr>
        <w:t xml:space="preserve"> "COLLABORAZIONE TRA ALISA - SISTEMA SANITARIO REGIONE LIGURIA E LE REGIONI VENETO, MARCHE, UMBRIA E CAMPANIA" ALLA REALIZZAZIONE DEL PROGETTO "I DISTURBI DELLO SPETTRO AUTISTICO: STRUMENTI E PERCORSI IN ETÀ EVOLUTIVA FINALIZZATI ALLA CONTINUITÀ DELLE CURE”</w:t>
      </w:r>
    </w:p>
    <w:p w:rsidR="008B746C" w:rsidRPr="00BB0A41" w:rsidRDefault="008B746C" w:rsidP="008B746C">
      <w:pPr>
        <w:spacing w:after="0" w:line="20" w:lineRule="atLeast"/>
        <w:jc w:val="both"/>
        <w:rPr>
          <w:rFonts w:ascii="Corbel" w:eastAsia="Times New Roman" w:hAnsi="Corbel" w:cs="Times New Roman"/>
          <w:b/>
          <w:bCs/>
          <w:color w:val="FF0000"/>
          <w:kern w:val="36"/>
        </w:rPr>
      </w:pPr>
    </w:p>
    <w:p w:rsidR="008B746C" w:rsidRPr="00BB0A41" w:rsidRDefault="008B746C" w:rsidP="008B746C">
      <w:pPr>
        <w:spacing w:after="0" w:line="20" w:lineRule="atLeast"/>
        <w:jc w:val="both"/>
        <w:rPr>
          <w:rFonts w:ascii="Corbel" w:eastAsia="Times New Roman" w:hAnsi="Corbel" w:cs="Times New Roman"/>
          <w:b/>
          <w:bCs/>
          <w:color w:val="FF0000"/>
          <w:kern w:val="36"/>
        </w:rPr>
      </w:pPr>
      <w:r w:rsidRPr="00BB0A41">
        <w:rPr>
          <w:rFonts w:ascii="Corbel" w:eastAsia="Times New Roman" w:hAnsi="Corbel" w:cs="Times New Roman"/>
          <w:b/>
          <w:bCs/>
          <w:color w:val="FF0000"/>
          <w:kern w:val="36"/>
        </w:rPr>
        <w:t xml:space="preserve">PER LE POLITICHE DI CONTRASTO E DI LOTTA ALLA POVERTA’, LE REGIONI EMILIA ROMAGNA </w:t>
      </w:r>
      <w:proofErr w:type="gramStart"/>
      <w:r w:rsidRPr="00BB0A41">
        <w:rPr>
          <w:rFonts w:ascii="Corbel" w:eastAsia="Times New Roman" w:hAnsi="Corbel" w:cs="Times New Roman"/>
          <w:b/>
          <w:bCs/>
          <w:color w:val="FF0000"/>
          <w:kern w:val="36"/>
        </w:rPr>
        <w:t>E  LAZIO</w:t>
      </w:r>
      <w:proofErr w:type="gramEnd"/>
      <w:r w:rsidRPr="00BB0A41">
        <w:rPr>
          <w:rFonts w:ascii="Corbel" w:eastAsia="Times New Roman" w:hAnsi="Corbel" w:cs="Times New Roman"/>
          <w:b/>
          <w:bCs/>
          <w:color w:val="FF0000"/>
          <w:kern w:val="36"/>
        </w:rPr>
        <w:t xml:space="preserve">  HANNNO STIPULATO APPOSITE CONVENZIONI  CON L’ANPAL  PER LA COSTITUZIONE DELLA RETE DEI “NAVIGATOR” E PER LO SVOLGIMENTO DELLE ATTIVITA’ DI CONSULENZA, ACCOMPAGNAMENTO E DI ASSISTENZA TECNICA.</w:t>
      </w:r>
    </w:p>
    <w:p w:rsidR="008B746C" w:rsidRPr="00BB0A41" w:rsidRDefault="008B746C" w:rsidP="008B746C">
      <w:pPr>
        <w:spacing w:after="0" w:line="20" w:lineRule="atLeast"/>
        <w:jc w:val="both"/>
        <w:rPr>
          <w:rFonts w:cstheme="minorHAnsi"/>
          <w:b/>
          <w:bCs/>
          <w:color w:val="FF0000"/>
        </w:rPr>
      </w:pPr>
      <w:r w:rsidRPr="00BB0A41">
        <w:rPr>
          <w:rFonts w:ascii="Corbel" w:eastAsia="Times New Roman" w:hAnsi="Corbel" w:cs="Times New Roman"/>
          <w:b/>
          <w:bCs/>
          <w:color w:val="FF0000"/>
          <w:kern w:val="36"/>
        </w:rPr>
        <w:t xml:space="preserve">LA REGIONE PUGLIA HA STIPULATO </w:t>
      </w:r>
      <w:proofErr w:type="gramStart"/>
      <w:r w:rsidRPr="00BB0A41">
        <w:rPr>
          <w:rFonts w:ascii="Corbel" w:eastAsia="Times New Roman" w:hAnsi="Corbel" w:cs="Times New Roman"/>
          <w:b/>
          <w:bCs/>
          <w:color w:val="FF0000"/>
          <w:kern w:val="36"/>
        </w:rPr>
        <w:t>APPOSITA  CONVENZIONE</w:t>
      </w:r>
      <w:proofErr w:type="gramEnd"/>
      <w:r w:rsidRPr="00BB0A41">
        <w:rPr>
          <w:rFonts w:ascii="Corbel" w:eastAsia="Times New Roman" w:hAnsi="Corbel" w:cs="Times New Roman"/>
          <w:b/>
          <w:bCs/>
          <w:color w:val="FF0000"/>
          <w:kern w:val="36"/>
        </w:rPr>
        <w:t xml:space="preserve"> CON L’INPS </w:t>
      </w:r>
      <w:r w:rsidRPr="00BB0A41">
        <w:rPr>
          <w:rFonts w:cstheme="minorHAnsi"/>
          <w:b/>
          <w:bCs/>
          <w:color w:val="FF0000"/>
        </w:rPr>
        <w:t>PER LA SPERIMENTAZIONE DI PUNTI UNICI DI ACCESSO PER I BENEFICIARI DEL REDDITO DI DIGNITA’.</w:t>
      </w:r>
    </w:p>
    <w:p w:rsidR="008B746C" w:rsidRPr="00BB0A41" w:rsidRDefault="008B746C" w:rsidP="008B746C">
      <w:pPr>
        <w:spacing w:after="0" w:line="20" w:lineRule="atLeast"/>
        <w:jc w:val="both"/>
        <w:rPr>
          <w:rFonts w:cstheme="minorHAnsi"/>
          <w:b/>
          <w:bCs/>
          <w:color w:val="FF0000"/>
        </w:rPr>
      </w:pPr>
    </w:p>
    <w:p w:rsidR="008B746C" w:rsidRPr="00BB0A41" w:rsidRDefault="008B746C" w:rsidP="008B746C">
      <w:pPr>
        <w:spacing w:after="0" w:line="20" w:lineRule="atLeast"/>
        <w:jc w:val="both"/>
        <w:rPr>
          <w:rFonts w:cstheme="minorHAnsi"/>
          <w:b/>
          <w:bCs/>
          <w:color w:val="FF0000"/>
        </w:rPr>
      </w:pPr>
      <w:r w:rsidRPr="00BB0A41">
        <w:rPr>
          <w:rFonts w:cstheme="minorHAnsi"/>
          <w:b/>
          <w:bCs/>
          <w:color w:val="FF0000"/>
        </w:rPr>
        <w:t xml:space="preserve">LA REGIONE VENETO HA APPROVATO UN ARTICOLATO </w:t>
      </w:r>
      <w:proofErr w:type="gramStart"/>
      <w:r w:rsidRPr="00BB0A41">
        <w:rPr>
          <w:rFonts w:cstheme="minorHAnsi"/>
          <w:b/>
          <w:bCs/>
          <w:color w:val="FF0000"/>
        </w:rPr>
        <w:t>PROGRAMMA  PER</w:t>
      </w:r>
      <w:proofErr w:type="gramEnd"/>
      <w:r w:rsidRPr="00BB0A41">
        <w:rPr>
          <w:rFonts w:cstheme="minorHAnsi"/>
          <w:b/>
          <w:bCs/>
          <w:color w:val="FF0000"/>
        </w:rPr>
        <w:t xml:space="preserve"> IL REDDITO DI INCLUSIONE ATTIVA,   PER  IL SOSTEGNO ALL'ABITARE E LA POVERTÀ EDUCATIVA DELLE FASCE SOCIALMENTE DEBOLI.</w:t>
      </w:r>
    </w:p>
    <w:p w:rsidR="008B746C" w:rsidRPr="00BB0A41" w:rsidRDefault="008B746C" w:rsidP="008B746C">
      <w:pPr>
        <w:spacing w:after="0" w:line="20" w:lineRule="atLeast"/>
        <w:jc w:val="both"/>
        <w:rPr>
          <w:rFonts w:cstheme="minorHAnsi"/>
          <w:b/>
          <w:bCs/>
          <w:color w:val="FF0000"/>
        </w:rPr>
      </w:pPr>
    </w:p>
    <w:p w:rsidR="008B746C" w:rsidRPr="00BB0A41" w:rsidRDefault="008B746C" w:rsidP="008B746C">
      <w:pPr>
        <w:spacing w:after="0" w:line="20" w:lineRule="atLeast"/>
        <w:jc w:val="both"/>
        <w:rPr>
          <w:rFonts w:cstheme="minorHAnsi"/>
          <w:b/>
          <w:bCs/>
          <w:color w:val="FF0000"/>
        </w:rPr>
      </w:pPr>
      <w:r w:rsidRPr="00BB0A41">
        <w:rPr>
          <w:rFonts w:cstheme="minorHAnsi"/>
          <w:b/>
          <w:bCs/>
          <w:color w:val="FF0000"/>
        </w:rPr>
        <w:t>LA REGIONE LIGURIA E LA REGIONE LOMBARDIA HANNO EMANATO SPECIFICHE DSPOSIZIONI SUL DIRITTO AL CIBO E ALLA LOTTA AGLI SPRECHI ALIMENTARI A FINI DI SOLIDARIETA’ SOCIALE,</w:t>
      </w:r>
    </w:p>
    <w:p w:rsidR="008B746C" w:rsidRPr="00BB0A41" w:rsidRDefault="008B746C" w:rsidP="008B746C">
      <w:pPr>
        <w:spacing w:after="0" w:line="20" w:lineRule="atLeast"/>
        <w:jc w:val="both"/>
        <w:rPr>
          <w:rFonts w:cstheme="minorHAnsi"/>
          <w:b/>
          <w:bCs/>
          <w:color w:val="FF0000"/>
        </w:rPr>
      </w:pPr>
    </w:p>
    <w:p w:rsidR="008B746C" w:rsidRPr="00BB0A41" w:rsidRDefault="008B746C" w:rsidP="008B746C">
      <w:pPr>
        <w:spacing w:after="0" w:line="20" w:lineRule="atLeast"/>
        <w:jc w:val="both"/>
        <w:rPr>
          <w:rFonts w:cstheme="minorHAnsi"/>
          <w:b/>
          <w:color w:val="FF0000"/>
        </w:rPr>
      </w:pPr>
      <w:r w:rsidRPr="00BB0A41">
        <w:rPr>
          <w:rFonts w:cstheme="minorHAnsi"/>
          <w:b/>
          <w:color w:val="FF0000"/>
        </w:rPr>
        <w:t xml:space="preserve">PER CIO’ CHE CONCERNE </w:t>
      </w:r>
      <w:proofErr w:type="gramStart"/>
      <w:r w:rsidRPr="00BB0A41">
        <w:rPr>
          <w:rFonts w:cstheme="minorHAnsi"/>
          <w:b/>
          <w:color w:val="FF0000"/>
        </w:rPr>
        <w:t>LA  PROGRAMMAZIONE</w:t>
      </w:r>
      <w:proofErr w:type="gramEnd"/>
      <w:r w:rsidRPr="00BB0A41">
        <w:rPr>
          <w:rFonts w:cstheme="minorHAnsi"/>
          <w:b/>
          <w:color w:val="FF0000"/>
        </w:rPr>
        <w:t xml:space="preserve"> REGIONALE, LA REGIONE FRIULI V.G., LIGURIA E TOSCANA  HANNO  APPROVATO I RELATIVI DOCUMENTI (DEFR), IN CUI SONO STATI AFFRONTATI ANCHE GLI ASPETTI RELATIVI ALLE POLITICHE SOCIO-SANITARIE.</w:t>
      </w:r>
    </w:p>
    <w:p w:rsidR="008B746C" w:rsidRPr="00BB0A41" w:rsidRDefault="008B746C" w:rsidP="008B746C">
      <w:pPr>
        <w:spacing w:after="0" w:line="20" w:lineRule="atLeast"/>
        <w:jc w:val="both"/>
        <w:rPr>
          <w:rFonts w:cstheme="minorHAnsi"/>
          <w:b/>
          <w:color w:val="FF0000"/>
        </w:rPr>
      </w:pPr>
    </w:p>
    <w:p w:rsidR="008B746C" w:rsidRPr="00BB0A41" w:rsidRDefault="008B746C" w:rsidP="008B746C">
      <w:pPr>
        <w:jc w:val="both"/>
        <w:rPr>
          <w:rFonts w:cstheme="minorHAnsi"/>
          <w:b/>
          <w:color w:val="FF0000"/>
        </w:rPr>
      </w:pPr>
      <w:r w:rsidRPr="00BB0A41">
        <w:rPr>
          <w:rFonts w:cstheme="minorHAnsi"/>
          <w:b/>
          <w:color w:val="FF0000"/>
        </w:rPr>
        <w:t xml:space="preserve">PER LA SANITA’, SI CITANO IN PARTICOLARE I PROGRAMMI DELLA REGIONE LOMBARDIA PER LA ATTUAZIONE DEL L’AVVIO DEL PERCORSO DI RIORDINO E DI RICLASSIFICAZIONE DEI PRESST, DEI POT E DELLE DEGENZE DI COMUNITÀ, CHE SONO </w:t>
      </w:r>
      <w:proofErr w:type="gramStart"/>
      <w:r w:rsidRPr="00BB0A41">
        <w:rPr>
          <w:rFonts w:cstheme="minorHAnsi"/>
          <w:b/>
          <w:color w:val="FF0000"/>
        </w:rPr>
        <w:t>DA  INTENDERE</w:t>
      </w:r>
      <w:proofErr w:type="gramEnd"/>
      <w:r w:rsidRPr="00BB0A41">
        <w:rPr>
          <w:rFonts w:cstheme="minorHAnsi"/>
          <w:b/>
          <w:color w:val="FF0000"/>
        </w:rPr>
        <w:t xml:space="preserve"> QUALE MODELLO DIVERSO DALLA “CASA DELLA SALUTE ( CALABRIA, EMILIA ROMAGNA, LAZIO,  MARCHE, TOSCANA)</w:t>
      </w:r>
    </w:p>
    <w:p w:rsidR="008B746C" w:rsidRPr="00BB0A41" w:rsidRDefault="008B746C" w:rsidP="008B746C">
      <w:pPr>
        <w:jc w:val="both"/>
        <w:rPr>
          <w:rFonts w:cstheme="minorHAnsi"/>
          <w:b/>
          <w:color w:val="FF0000"/>
        </w:rPr>
      </w:pPr>
      <w:r w:rsidRPr="00BB0A41">
        <w:rPr>
          <w:rFonts w:cstheme="minorHAnsi"/>
          <w:b/>
          <w:color w:val="FF0000"/>
        </w:rPr>
        <w:t>ALCUNE REGIONI HANNO DISPOSTO SPECIFICI PIANO PER LE LISTE DI ATTESA (BASILICATA, LAZIO),</w:t>
      </w:r>
    </w:p>
    <w:p w:rsidR="008B746C" w:rsidRPr="00BB0A41" w:rsidRDefault="008B746C" w:rsidP="008B746C">
      <w:pPr>
        <w:jc w:val="both"/>
        <w:rPr>
          <w:b/>
          <w:color w:val="FF0000"/>
        </w:rPr>
      </w:pPr>
      <w:r w:rsidRPr="00BB0A41">
        <w:rPr>
          <w:rFonts w:cstheme="minorHAnsi"/>
          <w:b/>
          <w:color w:val="FF0000"/>
        </w:rPr>
        <w:t xml:space="preserve">LA REGIONE PUGLIA HA STIPULATO APPOSITO </w:t>
      </w:r>
      <w:r w:rsidRPr="00BB0A41">
        <w:rPr>
          <w:b/>
          <w:color w:val="FF0000"/>
        </w:rPr>
        <w:t>PROTOCOLLO D’INTESA PER LA TUTELA DELLA DISABILITÀ DEI PAZIENTI ONCOLOGI PUGLIESI TRA LA REGIONE E L’ISTITUTO NAZIONALE DELLA PREVIDENZA SOCIALE.</w:t>
      </w:r>
    </w:p>
    <w:p w:rsidR="008B746C" w:rsidRPr="00BB0A41" w:rsidRDefault="008B746C" w:rsidP="008B746C">
      <w:pPr>
        <w:jc w:val="both"/>
        <w:rPr>
          <w:rFonts w:cstheme="minorHAnsi"/>
        </w:rPr>
      </w:pPr>
      <w:r w:rsidRPr="00BB0A41">
        <w:rPr>
          <w:b/>
          <w:color w:val="FF0000"/>
        </w:rPr>
        <w:t xml:space="preserve">PER IL TERZO SETTORE SI SEGNALA </w:t>
      </w:r>
      <w:r w:rsidRPr="00BB0A41">
        <w:rPr>
          <w:rFonts w:cstheme="minorHAnsi"/>
          <w:b/>
          <w:color w:val="FF0000"/>
        </w:rPr>
        <w:t xml:space="preserve">L'AVVISO </w:t>
      </w:r>
      <w:proofErr w:type="gramStart"/>
      <w:r w:rsidRPr="00BB0A41">
        <w:rPr>
          <w:rFonts w:cstheme="minorHAnsi"/>
          <w:b/>
          <w:color w:val="FF0000"/>
        </w:rPr>
        <w:t>PUBBLICO  DELLA</w:t>
      </w:r>
      <w:proofErr w:type="gramEnd"/>
      <w:r w:rsidRPr="00BB0A41">
        <w:rPr>
          <w:rFonts w:cstheme="minorHAnsi"/>
          <w:b/>
          <w:color w:val="FF0000"/>
        </w:rPr>
        <w:t xml:space="preserve"> REGIONE LAZIO DENOMINATO "COMUNITÀ SOLIDALI 2019" - SOSTEGNO DI PROGETTI DI RILEVANZA LOCALE PROMOSSI DA ORGANIZZAZIONI DI VOLONTARIATO O ASSOCIAZIONI DI PROMOZIONE SOCIALE</w:t>
      </w:r>
      <w:r w:rsidRPr="00BB0A41">
        <w:rPr>
          <w:rFonts w:cstheme="minorHAnsi"/>
        </w:rPr>
        <w:t>.</w:t>
      </w:r>
    </w:p>
    <w:p w:rsidR="008B746C" w:rsidRPr="00BB0A41" w:rsidRDefault="008B746C" w:rsidP="008B746C">
      <w:pPr>
        <w:jc w:val="both"/>
        <w:rPr>
          <w:rFonts w:eastAsia="Times New Roman" w:cstheme="minorHAnsi"/>
          <w:b/>
          <w:bCs/>
          <w:color w:val="FF0000"/>
          <w:kern w:val="36"/>
          <w:lang w:eastAsia="it-IT"/>
        </w:rPr>
      </w:pPr>
      <w:proofErr w:type="gramStart"/>
      <w:r w:rsidRPr="00BB0A41">
        <w:rPr>
          <w:rFonts w:cstheme="minorHAnsi"/>
          <w:b/>
          <w:color w:val="FF0000"/>
        </w:rPr>
        <w:t>PER  CIÒ</w:t>
      </w:r>
      <w:proofErr w:type="gramEnd"/>
      <w:r w:rsidRPr="00BB0A41">
        <w:rPr>
          <w:rFonts w:cstheme="minorHAnsi"/>
          <w:b/>
          <w:color w:val="FF0000"/>
        </w:rPr>
        <w:t xml:space="preserve"> CHE CONCERNE LA TUTELA DEI DIRITTI, LA REGIONE EMILIA ROMAGNA HA EMANATO LA </w:t>
      </w:r>
      <w:r w:rsidRPr="00BB0A41">
        <w:rPr>
          <w:rFonts w:eastAsia="Times New Roman" w:cstheme="minorHAnsi"/>
          <w:b/>
          <w:bCs/>
          <w:color w:val="FF0000"/>
          <w:kern w:val="36"/>
          <w:lang w:eastAsia="it-IT"/>
        </w:rPr>
        <w:t>LEGGE REGIONALE CONTRO LE DISCRIMINAZIONI E LE VIOLENZE DETERMINATE DALL’ORIENTAMENTO SESSUALE O DALL’IDENTITÀ DI GENERE.</w:t>
      </w:r>
    </w:p>
    <w:p w:rsidR="008B746C" w:rsidRPr="00BB0A41" w:rsidRDefault="008B746C" w:rsidP="008B746C">
      <w:pPr>
        <w:jc w:val="both"/>
        <w:rPr>
          <w:b/>
          <w:color w:val="FF0000"/>
        </w:rPr>
      </w:pPr>
      <w:r w:rsidRPr="00BB0A41">
        <w:rPr>
          <w:rFonts w:eastAsia="Times New Roman" w:cstheme="minorHAnsi"/>
          <w:b/>
          <w:bCs/>
          <w:color w:val="FF0000"/>
          <w:kern w:val="36"/>
          <w:lang w:eastAsia="it-IT"/>
        </w:rPr>
        <w:t xml:space="preserve">PER LE ATTIVITÀ DI </w:t>
      </w:r>
      <w:proofErr w:type="gramStart"/>
      <w:r w:rsidRPr="00BB0A41">
        <w:rPr>
          <w:rFonts w:eastAsia="Times New Roman" w:cstheme="minorHAnsi"/>
          <w:b/>
          <w:bCs/>
          <w:color w:val="FF0000"/>
          <w:kern w:val="36"/>
          <w:lang w:eastAsia="it-IT"/>
        </w:rPr>
        <w:t>CONTRASTO  E</w:t>
      </w:r>
      <w:proofErr w:type="gramEnd"/>
      <w:r w:rsidRPr="00BB0A41">
        <w:rPr>
          <w:rFonts w:eastAsia="Times New Roman" w:cstheme="minorHAnsi"/>
          <w:b/>
          <w:bCs/>
          <w:color w:val="FF0000"/>
          <w:kern w:val="36"/>
          <w:lang w:eastAsia="it-IT"/>
        </w:rPr>
        <w:t xml:space="preserve"> DI LOTTA ALLA VIOLENZA DI GENERE, DIVERSI SONO I PROVVEDIMENTI DISPOSTI DALLE REGIONI (BASILICATA, LAZIO, LOMBARDIA, PIEMONTE</w:t>
      </w:r>
      <w:r>
        <w:rPr>
          <w:rFonts w:eastAsia="Times New Roman" w:cstheme="minorHAnsi"/>
          <w:b/>
          <w:bCs/>
          <w:color w:val="FF0000"/>
          <w:kern w:val="36"/>
          <w:lang w:eastAsia="it-IT"/>
        </w:rPr>
        <w:t>).</w:t>
      </w:r>
    </w:p>
    <w:p w:rsidR="008B746C" w:rsidRDefault="008B746C" w:rsidP="008B746C">
      <w:pPr>
        <w:jc w:val="center"/>
        <w:rPr>
          <w:rFonts w:ascii="Broadway" w:hAnsi="Broadway" w:cstheme="majorHAnsi"/>
          <w:b/>
          <w:sz w:val="40"/>
          <w:szCs w:val="40"/>
        </w:rPr>
      </w:pPr>
      <w:r>
        <w:rPr>
          <w:rFonts w:ascii="Broadway" w:hAnsi="Broadway" w:cstheme="majorHAnsi"/>
          <w:b/>
          <w:sz w:val="40"/>
          <w:szCs w:val="40"/>
        </w:rPr>
        <w:t xml:space="preserve">STATO </w:t>
      </w:r>
    </w:p>
    <w:p w:rsidR="008B746C" w:rsidRPr="008B746C" w:rsidRDefault="008B746C" w:rsidP="008B746C">
      <w:pPr>
        <w:jc w:val="center"/>
        <w:rPr>
          <w:rFonts w:cstheme="minorHAnsi"/>
          <w:b/>
          <w:sz w:val="24"/>
          <w:szCs w:val="24"/>
          <w:u w:val="single"/>
        </w:rPr>
      </w:pPr>
      <w:r w:rsidRPr="008B746C">
        <w:rPr>
          <w:rFonts w:cstheme="minorHAnsi"/>
          <w:b/>
          <w:sz w:val="24"/>
          <w:szCs w:val="24"/>
          <w:u w:val="single"/>
        </w:rPr>
        <w:t xml:space="preserve">GAZZETTE UFFICIALI PERVENUTE AL 31 AGOSTO 2019 </w:t>
      </w:r>
    </w:p>
    <w:p w:rsidR="008B746C"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EFEFE"/>
        <w:spacing w:after="0" w:line="20" w:lineRule="atLeast"/>
        <w:jc w:val="center"/>
        <w:outlineLvl w:val="1"/>
        <w:rPr>
          <w:b/>
        </w:rPr>
      </w:pPr>
      <w:r>
        <w:rPr>
          <w:b/>
        </w:rPr>
        <w:t>ASSISTENZA PENITENZIARIA</w:t>
      </w:r>
    </w:p>
    <w:p w:rsidR="008B746C" w:rsidRDefault="008B746C" w:rsidP="008B746C">
      <w:pPr>
        <w:shd w:val="clear" w:color="auto" w:fill="FEFEFE"/>
        <w:spacing w:after="0" w:line="20" w:lineRule="atLeast"/>
        <w:jc w:val="both"/>
        <w:outlineLvl w:val="1"/>
        <w:rPr>
          <w:b/>
        </w:rPr>
      </w:pPr>
    </w:p>
    <w:p w:rsidR="008B746C" w:rsidRDefault="008B746C" w:rsidP="008B746C">
      <w:pPr>
        <w:shd w:val="clear" w:color="auto" w:fill="FEFEFE"/>
        <w:spacing w:after="0" w:line="20" w:lineRule="atLeast"/>
        <w:jc w:val="both"/>
        <w:outlineLvl w:val="1"/>
      </w:pPr>
      <w:r w:rsidRPr="00D7601F">
        <w:rPr>
          <w:b/>
        </w:rPr>
        <w:t xml:space="preserve">DPCM 10 aprile 2019, n. </w:t>
      </w:r>
      <w:proofErr w:type="gramStart"/>
      <w:r w:rsidRPr="00D7601F">
        <w:rPr>
          <w:b/>
        </w:rPr>
        <w:t>89</w:t>
      </w:r>
      <w:r>
        <w:rPr>
          <w:b/>
        </w:rPr>
        <w:t xml:space="preserve">, </w:t>
      </w:r>
      <w:r w:rsidRPr="00D7601F">
        <w:rPr>
          <w:b/>
        </w:rPr>
        <w:t xml:space="preserve"> </w:t>
      </w:r>
      <w:r>
        <w:t>Regolamento</w:t>
      </w:r>
      <w:proofErr w:type="gramEnd"/>
      <w:r>
        <w:t xml:space="preserve"> concernente la determinazione della struttura e della composizione dell’Ufficio posto alle dipendenze del Garante nazionale dei diritti delle persone detenute o private della libertà personale.  (GU n. 193 del 19.8.19)</w:t>
      </w:r>
    </w:p>
    <w:p w:rsidR="008B746C" w:rsidRDefault="008B746C" w:rsidP="008B746C">
      <w:pPr>
        <w:shd w:val="clear" w:color="auto" w:fill="FEFEFE"/>
        <w:spacing w:after="0" w:line="20" w:lineRule="atLeast"/>
        <w:jc w:val="both"/>
        <w:outlineLvl w:val="1"/>
        <w:rPr>
          <w:rFonts w:cstheme="minorHAnsi"/>
          <w:b/>
        </w:rPr>
      </w:pPr>
    </w:p>
    <w:p w:rsidR="008B746C" w:rsidRPr="00676CBD"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EFEFE"/>
        <w:spacing w:after="0" w:line="20" w:lineRule="atLeast"/>
        <w:jc w:val="center"/>
        <w:outlineLvl w:val="1"/>
        <w:rPr>
          <w:b/>
        </w:rPr>
      </w:pPr>
      <w:r w:rsidRPr="00676CBD">
        <w:rPr>
          <w:b/>
        </w:rPr>
        <w:t>DIPENDENZE</w:t>
      </w:r>
    </w:p>
    <w:p w:rsidR="008B746C" w:rsidRDefault="008B746C" w:rsidP="008B746C">
      <w:pPr>
        <w:keepNext/>
        <w:keepLines/>
        <w:spacing w:after="0" w:line="20" w:lineRule="atLeast"/>
        <w:jc w:val="both"/>
        <w:rPr>
          <w:rFonts w:cstheme="minorHAnsi"/>
          <w:b/>
        </w:rPr>
      </w:pPr>
    </w:p>
    <w:p w:rsidR="008B746C" w:rsidRPr="006B0B81" w:rsidRDefault="008B746C" w:rsidP="008B746C">
      <w:pPr>
        <w:keepNext/>
        <w:keepLines/>
        <w:spacing w:after="0" w:line="20" w:lineRule="atLeast"/>
        <w:jc w:val="both"/>
        <w:rPr>
          <w:rFonts w:cstheme="minorHAnsi"/>
          <w:b/>
        </w:rPr>
      </w:pPr>
      <w:r>
        <w:rPr>
          <w:rFonts w:cstheme="minorHAnsi"/>
          <w:b/>
        </w:rPr>
        <w:t>P</w:t>
      </w:r>
      <w:r w:rsidRPr="006B0B81">
        <w:rPr>
          <w:rFonts w:cstheme="minorHAnsi"/>
          <w:b/>
        </w:rPr>
        <w:t>RESIDENZA DEL CONSIGLIO DEI MINISTRI</w:t>
      </w:r>
    </w:p>
    <w:p w:rsidR="008B746C" w:rsidRDefault="008B746C" w:rsidP="008B746C">
      <w:pPr>
        <w:keepNext/>
        <w:keepLines/>
        <w:spacing w:after="0" w:line="20" w:lineRule="atLeast"/>
        <w:jc w:val="both"/>
        <w:rPr>
          <w:rFonts w:cstheme="minorHAnsi"/>
        </w:rPr>
      </w:pPr>
      <w:r w:rsidRPr="006B0B81">
        <w:rPr>
          <w:rFonts w:cstheme="minorHAnsi"/>
        </w:rPr>
        <w:t>Avviso pubblico per la selezione di progetti per la promozione di interventi volti a favorire il recupero, il reinserimento sociale e lavorativo delle persone tossicodipendenti. Si rende noto che sul sito ufficiale del Dipartimento per le politiche antidroga (www.politicheantidroga.gov.it) della Presidenza del Consiglio dei ministri è stato pubblicato in data 24 luglio 2019 l</w:t>
      </w:r>
      <w:proofErr w:type="gramStart"/>
      <w:r w:rsidRPr="006B0B81">
        <w:rPr>
          <w:rFonts w:cstheme="minorHAnsi"/>
        </w:rPr>
        <w:t>’«</w:t>
      </w:r>
      <w:proofErr w:type="gramEnd"/>
      <w:r w:rsidRPr="006B0B81">
        <w:rPr>
          <w:rFonts w:cstheme="minorHAnsi"/>
        </w:rPr>
        <w:t>Avviso pubblico per la selezione di progetti per la promozione di interventi volti a favorire il recupero, il reinserimento sociale e lavorativo delle persone tossicodipendenti».</w:t>
      </w:r>
    </w:p>
    <w:p w:rsidR="008B746C" w:rsidRDefault="008B746C" w:rsidP="008B746C">
      <w:pPr>
        <w:keepNext/>
        <w:keepLines/>
        <w:spacing w:after="0" w:line="20" w:lineRule="atLeast"/>
        <w:jc w:val="both"/>
        <w:rPr>
          <w:rFonts w:cstheme="minorHAnsi"/>
        </w:rPr>
      </w:pPr>
    </w:p>
    <w:p w:rsidR="008B746C" w:rsidRPr="006E0C7D"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EFEFE"/>
        <w:spacing w:after="0" w:line="20" w:lineRule="atLeast"/>
        <w:jc w:val="center"/>
        <w:outlineLvl w:val="1"/>
        <w:rPr>
          <w:b/>
        </w:rPr>
      </w:pPr>
      <w:r w:rsidRPr="006E0C7D">
        <w:rPr>
          <w:b/>
        </w:rPr>
        <w:t>ENTI LOCALI</w:t>
      </w:r>
    </w:p>
    <w:p w:rsidR="008B746C" w:rsidRDefault="008B746C" w:rsidP="008B746C">
      <w:pPr>
        <w:shd w:val="clear" w:color="auto" w:fill="FEFEFE"/>
        <w:spacing w:after="0" w:line="20" w:lineRule="atLeast"/>
        <w:jc w:val="both"/>
        <w:outlineLvl w:val="1"/>
      </w:pPr>
    </w:p>
    <w:p w:rsidR="008B746C" w:rsidRPr="006E178B" w:rsidRDefault="008B746C" w:rsidP="008B746C">
      <w:pPr>
        <w:shd w:val="clear" w:color="auto" w:fill="FEFEFE"/>
        <w:spacing w:after="0" w:line="20" w:lineRule="atLeast"/>
        <w:jc w:val="both"/>
        <w:outlineLvl w:val="1"/>
        <w:rPr>
          <w:b/>
        </w:rPr>
      </w:pPr>
      <w:r w:rsidRPr="006E178B">
        <w:rPr>
          <w:b/>
        </w:rPr>
        <w:t xml:space="preserve">CORTE DEI CONTI </w:t>
      </w:r>
    </w:p>
    <w:p w:rsidR="008B746C" w:rsidRDefault="008B746C" w:rsidP="008B746C">
      <w:pPr>
        <w:shd w:val="clear" w:color="auto" w:fill="FEFEFE"/>
        <w:spacing w:after="0" w:line="20" w:lineRule="atLeast"/>
        <w:jc w:val="both"/>
        <w:outlineLvl w:val="1"/>
      </w:pPr>
      <w:r w:rsidRPr="006E178B">
        <w:rPr>
          <w:b/>
        </w:rPr>
        <w:t>DELIBERA 22 luglio 2019.</w:t>
      </w:r>
      <w:r>
        <w:t xml:space="preserve"> Linee guida per la relazione dei revisori sul bilancio consolidato degli enti territoriali per l’esercizio 2018. (Delibera n. 18/SEZAUT/2019/INPR). (GU n. 196 del 22.8.19)</w:t>
      </w:r>
    </w:p>
    <w:p w:rsidR="008B746C" w:rsidRDefault="008B746C" w:rsidP="008B746C">
      <w:pPr>
        <w:shd w:val="clear" w:color="auto" w:fill="FEFEFE"/>
        <w:spacing w:after="0" w:line="20" w:lineRule="atLeast"/>
        <w:jc w:val="both"/>
        <w:outlineLvl w:val="1"/>
      </w:pPr>
    </w:p>
    <w:p w:rsidR="008B746C" w:rsidRDefault="008B746C" w:rsidP="008B746C">
      <w:pPr>
        <w:shd w:val="clear" w:color="auto" w:fill="FEFEFE"/>
        <w:spacing w:after="0" w:line="20" w:lineRule="atLeast"/>
        <w:jc w:val="both"/>
        <w:outlineLvl w:val="1"/>
      </w:pPr>
      <w:r w:rsidRPr="00F751FA">
        <w:rPr>
          <w:b/>
        </w:rPr>
        <w:lastRenderedPageBreak/>
        <w:t>DELIBERA 22 luglio 2019</w:t>
      </w:r>
      <w:r>
        <w:t>, Linee guida per la relazione dei revisori dei conti dei comuni, delle città metropolitane e delle province sui bilanci di previsione 2019-2021 per l’attuazione dell’articolo 1, comma 166 e seguenti della legge 23 dicembre 2005, n. 266. (Delibera n. 19/SEZAUT/2019/INPR). (GU n. 196 del 22.8.19</w:t>
      </w:r>
    </w:p>
    <w:p w:rsidR="008B746C" w:rsidRDefault="008B746C" w:rsidP="008B746C">
      <w:pPr>
        <w:shd w:val="clear" w:color="auto" w:fill="FEFEFE"/>
        <w:spacing w:after="0" w:line="20" w:lineRule="atLeast"/>
        <w:jc w:val="both"/>
        <w:outlineLvl w:val="1"/>
      </w:pPr>
    </w:p>
    <w:p w:rsidR="008B746C" w:rsidRDefault="008B746C" w:rsidP="008B746C">
      <w:pPr>
        <w:shd w:val="clear" w:color="auto" w:fill="FEFEFE"/>
        <w:spacing w:after="0" w:line="20" w:lineRule="atLeast"/>
        <w:jc w:val="both"/>
        <w:outlineLvl w:val="1"/>
      </w:pPr>
      <w:r w:rsidRPr="003E33D2">
        <w:rPr>
          <w:b/>
        </w:rPr>
        <w:t xml:space="preserve">DELIBERA 22 luglio </w:t>
      </w:r>
      <w:proofErr w:type="gramStart"/>
      <w:r w:rsidRPr="003E33D2">
        <w:rPr>
          <w:b/>
        </w:rPr>
        <w:t>2019</w:t>
      </w:r>
      <w:r>
        <w:rPr>
          <w:b/>
        </w:rPr>
        <w:t xml:space="preserve">, </w:t>
      </w:r>
      <w:r>
        <w:t xml:space="preserve"> Metodologie</w:t>
      </w:r>
      <w:proofErr w:type="gramEnd"/>
      <w:r>
        <w:t xml:space="preserve"> per l’attuazione dell’articolo 6, comma 3, del decreto-legge 10 ottobre 2012, n. 174, convertito, con modificazioni, dall’articolo 1, comma 1, della legge 7 dicembre 2012, n. 213. (Delibera n. 20/SEZAUT/2019/INPR). (GU n. 196 del 22.8.19)</w:t>
      </w:r>
    </w:p>
    <w:p w:rsidR="008B746C" w:rsidRDefault="008B746C" w:rsidP="008B746C">
      <w:pPr>
        <w:shd w:val="clear" w:color="auto" w:fill="FEFEFE"/>
        <w:spacing w:after="0" w:line="20" w:lineRule="atLeast"/>
        <w:jc w:val="both"/>
        <w:outlineLvl w:val="1"/>
      </w:pPr>
    </w:p>
    <w:p w:rsidR="008B746C" w:rsidRDefault="008B746C" w:rsidP="008B746C">
      <w:pPr>
        <w:shd w:val="clear" w:color="auto" w:fill="FEFEFE"/>
        <w:spacing w:after="0" w:line="20" w:lineRule="atLeast"/>
        <w:jc w:val="both"/>
        <w:outlineLvl w:val="1"/>
      </w:pPr>
      <w:r w:rsidRPr="00AC7F14">
        <w:rPr>
          <w:b/>
        </w:rPr>
        <w:t>DELIBERA 22 luglio 2019</w:t>
      </w:r>
      <w:r>
        <w:rPr>
          <w:b/>
        </w:rPr>
        <w:t>,</w:t>
      </w:r>
      <w:r w:rsidRPr="00AC7F14">
        <w:rPr>
          <w:b/>
        </w:rPr>
        <w:t xml:space="preserve"> </w:t>
      </w:r>
      <w:r>
        <w:t>Linee guida per le relazioni annuali del sindaco dei comuni con popolazione superiore ai 15.000 abitanti, del sindaco delle città metropolitane e del presidente delle province sul funzionamento del sistema integrato dei controlli interni nell’esercizio 2018, ai sensi dell’articolo 148 del decreto legislativo 18 agosto 2000, n. 267 (TUEL). (Delibera n. 22/SEZAUT/2019/INPR). (GU n. 196 del 22.8.19)</w:t>
      </w:r>
    </w:p>
    <w:p w:rsidR="008B746C" w:rsidRDefault="008B746C" w:rsidP="008B746C">
      <w:pPr>
        <w:shd w:val="clear" w:color="auto" w:fill="FEFEFE"/>
        <w:spacing w:after="0" w:line="20" w:lineRule="atLeast"/>
        <w:jc w:val="both"/>
        <w:outlineLvl w:val="1"/>
      </w:pPr>
    </w:p>
    <w:p w:rsidR="008B746C" w:rsidRPr="00207105"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EFEFE"/>
        <w:spacing w:after="0" w:line="20" w:lineRule="atLeast"/>
        <w:jc w:val="center"/>
        <w:outlineLvl w:val="1"/>
        <w:rPr>
          <w:b/>
        </w:rPr>
      </w:pPr>
      <w:r w:rsidRPr="00207105">
        <w:rPr>
          <w:b/>
        </w:rPr>
        <w:t>FAMIGLIA</w:t>
      </w:r>
    </w:p>
    <w:p w:rsidR="008B746C" w:rsidRDefault="008B746C" w:rsidP="008B746C">
      <w:pPr>
        <w:shd w:val="clear" w:color="auto" w:fill="FEFEFE"/>
        <w:spacing w:after="0" w:line="20" w:lineRule="atLeast"/>
        <w:jc w:val="both"/>
        <w:outlineLvl w:val="1"/>
      </w:pPr>
    </w:p>
    <w:p w:rsidR="008B746C" w:rsidRPr="001262AA" w:rsidRDefault="008B746C" w:rsidP="008B746C">
      <w:pPr>
        <w:shd w:val="clear" w:color="auto" w:fill="FEFEFE"/>
        <w:spacing w:after="0" w:line="20" w:lineRule="atLeast"/>
        <w:jc w:val="both"/>
        <w:outlineLvl w:val="1"/>
        <w:rPr>
          <w:b/>
        </w:rPr>
      </w:pPr>
      <w:r w:rsidRPr="001262AA">
        <w:rPr>
          <w:b/>
        </w:rPr>
        <w:t xml:space="preserve">CONSIGLIO DEI MINISTRI DIPARTIMENTO PER LE POLITICHE DELLA FAMIGLIA </w:t>
      </w:r>
    </w:p>
    <w:p w:rsidR="008B746C" w:rsidRDefault="008B746C" w:rsidP="008B746C">
      <w:pPr>
        <w:shd w:val="clear" w:color="auto" w:fill="FEFEFE"/>
        <w:spacing w:after="0" w:line="20" w:lineRule="atLeast"/>
        <w:jc w:val="both"/>
        <w:outlineLvl w:val="1"/>
      </w:pPr>
      <w:r w:rsidRPr="00732DB9">
        <w:rPr>
          <w:b/>
        </w:rPr>
        <w:t xml:space="preserve">DECRETO 27 giugno </w:t>
      </w:r>
      <w:proofErr w:type="gramStart"/>
      <w:r w:rsidRPr="00732DB9">
        <w:rPr>
          <w:b/>
        </w:rPr>
        <w:t>2019</w:t>
      </w:r>
      <w:r>
        <w:rPr>
          <w:b/>
        </w:rPr>
        <w:t xml:space="preserve">, </w:t>
      </w:r>
      <w:r>
        <w:t xml:space="preserve"> Rilascio</w:t>
      </w:r>
      <w:proofErr w:type="gramEnd"/>
      <w:r>
        <w:t xml:space="preserve"> della Carta della famiglia. (GU n. 203 del 30.8.19)</w:t>
      </w:r>
    </w:p>
    <w:p w:rsidR="008B746C" w:rsidRDefault="008B746C" w:rsidP="008B746C">
      <w:pPr>
        <w:shd w:val="clear" w:color="auto" w:fill="FEFEFE"/>
        <w:spacing w:after="0" w:line="20" w:lineRule="atLeast"/>
        <w:jc w:val="both"/>
        <w:outlineLvl w:val="1"/>
      </w:pPr>
    </w:p>
    <w:p w:rsidR="008B746C" w:rsidRPr="00960D16"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b/>
        </w:rPr>
      </w:pPr>
      <w:r w:rsidRPr="00960D16">
        <w:rPr>
          <w:b/>
        </w:rPr>
        <w:t>ISTITUZIONI</w:t>
      </w:r>
    </w:p>
    <w:p w:rsidR="008B746C" w:rsidRDefault="008B746C" w:rsidP="008B746C">
      <w:pPr>
        <w:autoSpaceDE w:val="0"/>
        <w:autoSpaceDN w:val="0"/>
        <w:adjustRightInd w:val="0"/>
        <w:spacing w:after="0" w:line="20" w:lineRule="atLeast"/>
        <w:jc w:val="both"/>
      </w:pPr>
    </w:p>
    <w:p w:rsidR="008B746C" w:rsidRPr="00C95517" w:rsidRDefault="008B746C" w:rsidP="008B746C">
      <w:pPr>
        <w:shd w:val="clear" w:color="auto" w:fill="FEFEFE"/>
        <w:spacing w:after="0" w:line="20" w:lineRule="atLeast"/>
        <w:jc w:val="both"/>
        <w:outlineLvl w:val="1"/>
      </w:pPr>
      <w:r w:rsidRPr="00B40799">
        <w:rPr>
          <w:b/>
        </w:rPr>
        <w:t xml:space="preserve">LEGGE 20 agosto </w:t>
      </w:r>
      <w:proofErr w:type="gramStart"/>
      <w:r w:rsidRPr="00B40799">
        <w:rPr>
          <w:b/>
        </w:rPr>
        <w:t>2019 ,</w:t>
      </w:r>
      <w:proofErr w:type="gramEnd"/>
      <w:r w:rsidRPr="00B40799">
        <w:rPr>
          <w:b/>
        </w:rPr>
        <w:t xml:space="preserve"> n. 92,</w:t>
      </w:r>
      <w:r w:rsidRPr="00C95517">
        <w:t xml:space="preserve">  Introduzione dell’insegnamento scolastico dell’educazione civica. (BUR n. 195 del 21.8.19)</w:t>
      </w:r>
    </w:p>
    <w:p w:rsidR="008B746C" w:rsidRDefault="008B746C" w:rsidP="008B746C">
      <w:pPr>
        <w:shd w:val="clear" w:color="auto" w:fill="FEFEFE"/>
        <w:spacing w:after="0" w:line="20" w:lineRule="atLeast"/>
        <w:jc w:val="both"/>
        <w:outlineLvl w:val="1"/>
      </w:pPr>
    </w:p>
    <w:p w:rsidR="008B746C" w:rsidRDefault="008B746C" w:rsidP="008B746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F9673B">
        <w:rPr>
          <w:rFonts w:cstheme="minorHAnsi"/>
          <w:b/>
        </w:rPr>
        <w:t>POLITICHE SOCIALI</w:t>
      </w:r>
    </w:p>
    <w:p w:rsidR="008B746C" w:rsidRDefault="008B746C" w:rsidP="008B746C">
      <w:pPr>
        <w:keepNext/>
        <w:keepLines/>
        <w:spacing w:after="0" w:line="20" w:lineRule="atLeast"/>
        <w:jc w:val="center"/>
        <w:rPr>
          <w:rFonts w:cstheme="minorHAnsi"/>
          <w:b/>
        </w:rPr>
      </w:pPr>
    </w:p>
    <w:p w:rsidR="008B746C" w:rsidRPr="00F9673B" w:rsidRDefault="008B746C" w:rsidP="008B746C">
      <w:pPr>
        <w:autoSpaceDE w:val="0"/>
        <w:autoSpaceDN w:val="0"/>
        <w:adjustRightInd w:val="0"/>
        <w:spacing w:after="0" w:line="20" w:lineRule="atLeast"/>
        <w:jc w:val="both"/>
        <w:rPr>
          <w:rFonts w:ascii="Corbel" w:hAnsi="Corbel" w:cs="TimesNewRomanPS-BoldMT"/>
          <w:b/>
          <w:bCs/>
        </w:rPr>
      </w:pPr>
      <w:r w:rsidRPr="00F9673B">
        <w:rPr>
          <w:rFonts w:ascii="Corbel" w:hAnsi="Corbel" w:cs="TimesNewRomanPS-BoldMT"/>
          <w:b/>
          <w:bCs/>
        </w:rPr>
        <w:t>CONSIGLIO NAZIONALE DELL’ECONOMIA E DEL LAVORO</w:t>
      </w:r>
    </w:p>
    <w:p w:rsidR="008B746C" w:rsidRPr="00F9673B" w:rsidRDefault="008B746C" w:rsidP="008B746C">
      <w:pPr>
        <w:autoSpaceDE w:val="0"/>
        <w:autoSpaceDN w:val="0"/>
        <w:adjustRightInd w:val="0"/>
        <w:spacing w:after="0" w:line="20" w:lineRule="atLeast"/>
        <w:jc w:val="both"/>
        <w:rPr>
          <w:rFonts w:ascii="Corbel" w:hAnsi="Corbel" w:cs="TimesNewRomanPS-BoldMT"/>
          <w:b/>
          <w:bCs/>
        </w:rPr>
      </w:pPr>
      <w:r w:rsidRPr="00F9673B">
        <w:rPr>
          <w:rFonts w:ascii="Corbel" w:hAnsi="Corbel" w:cs="TimesNewRomanPS-BoldMT"/>
          <w:b/>
          <w:bCs/>
        </w:rPr>
        <w:t>Regolamento degli organi, dell’organizzazione e delle procedure del CNEL</w:t>
      </w:r>
    </w:p>
    <w:p w:rsidR="008B746C" w:rsidRDefault="008B746C" w:rsidP="008B746C">
      <w:pPr>
        <w:autoSpaceDE w:val="0"/>
        <w:autoSpaceDN w:val="0"/>
        <w:adjustRightInd w:val="0"/>
        <w:spacing w:after="0" w:line="20" w:lineRule="atLeast"/>
        <w:jc w:val="both"/>
        <w:rPr>
          <w:rFonts w:ascii="Corbel" w:hAnsi="Corbel" w:cs="TimesNewRomanPSMT"/>
        </w:rPr>
      </w:pPr>
      <w:r w:rsidRPr="00F9673B">
        <w:rPr>
          <w:rFonts w:ascii="Corbel" w:hAnsi="Corbel" w:cs="TimesNewRomanPSMT"/>
        </w:rPr>
        <w:t>Testo approvato dall’Assemblea il 17 luglio 2019.</w:t>
      </w:r>
    </w:p>
    <w:p w:rsidR="008B746C" w:rsidRDefault="008B746C" w:rsidP="008B746C">
      <w:pPr>
        <w:autoSpaceDE w:val="0"/>
        <w:autoSpaceDN w:val="0"/>
        <w:adjustRightInd w:val="0"/>
        <w:spacing w:after="0" w:line="20" w:lineRule="atLeast"/>
        <w:jc w:val="both"/>
        <w:rPr>
          <w:rFonts w:ascii="Corbel" w:hAnsi="Corbel" w:cs="TimesNewRomanPSMT"/>
        </w:rPr>
      </w:pPr>
    </w:p>
    <w:p w:rsidR="008B746C"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rPr>
      </w:pPr>
      <w:r>
        <w:rPr>
          <w:rFonts w:cstheme="minorHAnsi"/>
          <w:b/>
        </w:rPr>
        <w:t>POVERTÀ INCLUSIONE SOCIALE</w:t>
      </w:r>
    </w:p>
    <w:p w:rsidR="008B746C" w:rsidRDefault="008B746C" w:rsidP="008B746C">
      <w:pPr>
        <w:keepNext/>
        <w:keepLines/>
        <w:spacing w:after="0" w:line="20" w:lineRule="atLeast"/>
        <w:jc w:val="both"/>
        <w:rPr>
          <w:rFonts w:cstheme="minorHAnsi"/>
          <w:b/>
        </w:rPr>
      </w:pPr>
    </w:p>
    <w:p w:rsidR="008B746C" w:rsidRPr="00960A94" w:rsidRDefault="008B746C" w:rsidP="008B746C">
      <w:pPr>
        <w:keepNext/>
        <w:keepLines/>
        <w:spacing w:after="0" w:line="20" w:lineRule="atLeast"/>
        <w:jc w:val="both"/>
        <w:rPr>
          <w:rFonts w:cstheme="minorHAnsi"/>
          <w:b/>
        </w:rPr>
      </w:pPr>
      <w:r w:rsidRPr="00960A94">
        <w:rPr>
          <w:rFonts w:cstheme="minorHAnsi"/>
          <w:b/>
        </w:rPr>
        <w:t xml:space="preserve">MINISTERO DEL LAVORO E DELLE POLITICHE SOCIALI </w:t>
      </w:r>
    </w:p>
    <w:p w:rsidR="008B746C" w:rsidRDefault="008B746C" w:rsidP="008B746C">
      <w:pPr>
        <w:keepNext/>
        <w:keepLines/>
        <w:spacing w:after="0" w:line="20" w:lineRule="atLeast"/>
        <w:jc w:val="both"/>
        <w:rPr>
          <w:rFonts w:cstheme="minorHAnsi"/>
        </w:rPr>
      </w:pPr>
      <w:r w:rsidRPr="00960A94">
        <w:rPr>
          <w:rFonts w:cstheme="minorHAnsi"/>
          <w:b/>
        </w:rPr>
        <w:t xml:space="preserve">DECRETO 28 giugno </w:t>
      </w:r>
      <w:proofErr w:type="gramStart"/>
      <w:r w:rsidRPr="00960A94">
        <w:rPr>
          <w:rFonts w:cstheme="minorHAnsi"/>
          <w:b/>
        </w:rPr>
        <w:t>2019</w:t>
      </w:r>
      <w:r w:rsidRPr="006B0B81">
        <w:rPr>
          <w:rFonts w:cstheme="minorHAnsi"/>
        </w:rPr>
        <w:t>,  Adozione</w:t>
      </w:r>
      <w:proofErr w:type="gramEnd"/>
      <w:r w:rsidRPr="006B0B81">
        <w:rPr>
          <w:rFonts w:cstheme="minorHAnsi"/>
        </w:rPr>
        <w:t xml:space="preserve"> del Piano straordinario di potenziamento dei centri per l’impiego e delle politiche attive del lavoro. (GU n. 181 del 3.8.19)</w:t>
      </w:r>
    </w:p>
    <w:p w:rsidR="008B746C" w:rsidRDefault="008B746C" w:rsidP="008B746C">
      <w:pPr>
        <w:keepNext/>
        <w:keepLines/>
        <w:spacing w:after="0" w:line="20" w:lineRule="atLeast"/>
        <w:jc w:val="both"/>
        <w:rPr>
          <w:rFonts w:cstheme="minorHAnsi"/>
        </w:rPr>
      </w:pPr>
    </w:p>
    <w:p w:rsidR="008B746C"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bCs/>
        </w:rPr>
      </w:pPr>
      <w:r>
        <w:rPr>
          <w:rFonts w:cstheme="minorHAnsi"/>
          <w:b/>
          <w:bCs/>
        </w:rPr>
        <w:t>PREVIDENZA</w:t>
      </w:r>
    </w:p>
    <w:p w:rsidR="008B746C" w:rsidRDefault="008B746C" w:rsidP="008B746C">
      <w:pPr>
        <w:autoSpaceDE w:val="0"/>
        <w:autoSpaceDN w:val="0"/>
        <w:adjustRightInd w:val="0"/>
        <w:spacing w:after="0" w:line="20" w:lineRule="atLeast"/>
        <w:jc w:val="both"/>
        <w:rPr>
          <w:rFonts w:cstheme="minorHAnsi"/>
          <w:b/>
          <w:bCs/>
        </w:rPr>
      </w:pPr>
    </w:p>
    <w:p w:rsidR="008B746C" w:rsidRPr="00DC192F" w:rsidRDefault="008B746C" w:rsidP="008B746C">
      <w:pPr>
        <w:autoSpaceDE w:val="0"/>
        <w:autoSpaceDN w:val="0"/>
        <w:adjustRightInd w:val="0"/>
        <w:spacing w:after="0" w:line="20" w:lineRule="atLeast"/>
        <w:jc w:val="both"/>
        <w:rPr>
          <w:rFonts w:cstheme="minorHAnsi"/>
          <w:b/>
          <w:bCs/>
        </w:rPr>
      </w:pPr>
      <w:r w:rsidRPr="00DC192F">
        <w:rPr>
          <w:rFonts w:cstheme="minorHAnsi"/>
          <w:b/>
          <w:bCs/>
        </w:rPr>
        <w:t>MINISTERO DEL LAVORO E DELLE POLITICHE SOCIALI</w:t>
      </w:r>
    </w:p>
    <w:p w:rsidR="008B746C" w:rsidRPr="00DC192F" w:rsidRDefault="008B746C" w:rsidP="008B746C">
      <w:pPr>
        <w:autoSpaceDE w:val="0"/>
        <w:autoSpaceDN w:val="0"/>
        <w:adjustRightInd w:val="0"/>
        <w:spacing w:after="0" w:line="20" w:lineRule="atLeast"/>
        <w:jc w:val="both"/>
        <w:rPr>
          <w:rFonts w:cstheme="minorHAnsi"/>
          <w:bCs/>
        </w:rPr>
      </w:pPr>
      <w:r w:rsidRPr="00DC192F">
        <w:rPr>
          <w:rFonts w:cstheme="minorHAnsi"/>
          <w:b/>
          <w:bCs/>
        </w:rPr>
        <w:t xml:space="preserve">Approvazione della delibera n. 68/2019 adottata dal consiglio di amministrazione dell’Ente nazionale di previdenza ed assistenza consulenti del lavoro (ENPACL), in data 30 maggio 2019. </w:t>
      </w:r>
      <w:r w:rsidRPr="00DC192F">
        <w:rPr>
          <w:rFonts w:cstheme="minorHAnsi"/>
          <w:bCs/>
        </w:rPr>
        <w:t>(GU n. 188 del 12.8.19)</w:t>
      </w:r>
    </w:p>
    <w:p w:rsidR="008B746C" w:rsidRPr="00DC192F" w:rsidRDefault="008B746C" w:rsidP="008B746C">
      <w:pPr>
        <w:autoSpaceDE w:val="0"/>
        <w:autoSpaceDN w:val="0"/>
        <w:adjustRightInd w:val="0"/>
        <w:spacing w:after="0" w:line="20" w:lineRule="atLeast"/>
        <w:jc w:val="both"/>
        <w:rPr>
          <w:rFonts w:cstheme="minorHAnsi"/>
        </w:rPr>
      </w:pPr>
    </w:p>
    <w:p w:rsidR="008B746C" w:rsidRPr="00DC192F" w:rsidRDefault="008B746C" w:rsidP="008B746C">
      <w:pPr>
        <w:autoSpaceDE w:val="0"/>
        <w:autoSpaceDN w:val="0"/>
        <w:adjustRightInd w:val="0"/>
        <w:spacing w:after="0" w:line="20" w:lineRule="atLeast"/>
        <w:jc w:val="both"/>
        <w:rPr>
          <w:rFonts w:cstheme="minorHAnsi"/>
          <w:bCs/>
        </w:rPr>
      </w:pPr>
      <w:r w:rsidRPr="00DC192F">
        <w:rPr>
          <w:rFonts w:cstheme="minorHAnsi"/>
          <w:b/>
          <w:bCs/>
        </w:rPr>
        <w:t xml:space="preserve">Approvazione della delibera n. 627/2018 adottata dal consiglio di amministrazione dell’Ente di previdenza dei periti industriali e dei periti industriali laureati (EPPI), in data 4 maggio 2018. </w:t>
      </w:r>
      <w:r w:rsidRPr="00DC192F">
        <w:rPr>
          <w:rFonts w:cstheme="minorHAnsi"/>
          <w:bCs/>
        </w:rPr>
        <w:t>(GU n. 188 del 12.8.19)</w:t>
      </w:r>
    </w:p>
    <w:p w:rsidR="008B746C" w:rsidRPr="00DC192F" w:rsidRDefault="008B746C" w:rsidP="008B746C">
      <w:pPr>
        <w:autoSpaceDE w:val="0"/>
        <w:autoSpaceDN w:val="0"/>
        <w:adjustRightInd w:val="0"/>
        <w:spacing w:after="0" w:line="20" w:lineRule="atLeast"/>
        <w:jc w:val="both"/>
        <w:rPr>
          <w:rFonts w:cstheme="minorHAnsi"/>
          <w:b/>
          <w:bCs/>
        </w:rPr>
      </w:pPr>
    </w:p>
    <w:p w:rsidR="008B746C" w:rsidRPr="00DC192F" w:rsidRDefault="008B746C" w:rsidP="008B746C">
      <w:pPr>
        <w:autoSpaceDE w:val="0"/>
        <w:autoSpaceDN w:val="0"/>
        <w:adjustRightInd w:val="0"/>
        <w:spacing w:after="0" w:line="20" w:lineRule="atLeast"/>
        <w:jc w:val="both"/>
        <w:rPr>
          <w:rFonts w:cstheme="minorHAnsi"/>
          <w:bCs/>
        </w:rPr>
      </w:pPr>
      <w:r w:rsidRPr="00DC192F">
        <w:rPr>
          <w:rFonts w:cstheme="minorHAnsi"/>
          <w:b/>
          <w:bCs/>
        </w:rPr>
        <w:t xml:space="preserve">Approvazione della delibera n. 24/VCDA adottata dal consiglio di amministrazione dell’Ente nazionale di previdenza e assistenza veterinari (ENPAV), in data 23 maggio 2019. </w:t>
      </w:r>
      <w:r w:rsidRPr="00DC192F">
        <w:rPr>
          <w:rFonts w:cstheme="minorHAnsi"/>
          <w:bCs/>
        </w:rPr>
        <w:t>(GU n. 188 del 12.8.19)</w:t>
      </w:r>
    </w:p>
    <w:p w:rsidR="008B746C" w:rsidRPr="00DC192F" w:rsidRDefault="008B746C" w:rsidP="008B746C">
      <w:pPr>
        <w:autoSpaceDE w:val="0"/>
        <w:autoSpaceDN w:val="0"/>
        <w:adjustRightInd w:val="0"/>
        <w:spacing w:after="0" w:line="20" w:lineRule="atLeast"/>
        <w:jc w:val="both"/>
        <w:rPr>
          <w:rFonts w:cstheme="minorHAnsi"/>
          <w:b/>
          <w:bCs/>
        </w:rPr>
      </w:pPr>
    </w:p>
    <w:p w:rsidR="008B746C" w:rsidRPr="00DC192F" w:rsidRDefault="008B746C" w:rsidP="008B746C">
      <w:pPr>
        <w:autoSpaceDE w:val="0"/>
        <w:autoSpaceDN w:val="0"/>
        <w:adjustRightInd w:val="0"/>
        <w:spacing w:after="0" w:line="20" w:lineRule="atLeast"/>
        <w:jc w:val="both"/>
        <w:rPr>
          <w:rFonts w:cstheme="minorHAnsi"/>
          <w:bCs/>
        </w:rPr>
      </w:pPr>
      <w:r w:rsidRPr="00DC192F">
        <w:rPr>
          <w:rFonts w:cstheme="minorHAnsi"/>
          <w:b/>
          <w:bCs/>
        </w:rPr>
        <w:t>Approvazione della delibera n. 5/2019 adottata dal comitato dei delegati della Cassa italiana di previdenza ed assistenza dei geometri liberi professionisti (CIPAG), in data 20 giugno 2019.</w:t>
      </w:r>
      <w:r w:rsidRPr="00DC192F">
        <w:rPr>
          <w:rFonts w:cstheme="minorHAnsi"/>
          <w:bCs/>
        </w:rPr>
        <w:t xml:space="preserve"> (GU n. 188 del 12.8.19)</w:t>
      </w:r>
    </w:p>
    <w:p w:rsidR="008B746C" w:rsidRPr="00DC192F" w:rsidRDefault="008B746C" w:rsidP="008B746C">
      <w:pPr>
        <w:autoSpaceDE w:val="0"/>
        <w:autoSpaceDN w:val="0"/>
        <w:adjustRightInd w:val="0"/>
        <w:spacing w:after="0" w:line="20" w:lineRule="atLeast"/>
        <w:jc w:val="both"/>
        <w:rPr>
          <w:rFonts w:cstheme="minorHAnsi"/>
          <w:b/>
          <w:bCs/>
        </w:rPr>
      </w:pPr>
    </w:p>
    <w:p w:rsidR="008B746C" w:rsidRPr="00DC192F" w:rsidRDefault="008B746C" w:rsidP="008B746C">
      <w:pPr>
        <w:autoSpaceDE w:val="0"/>
        <w:autoSpaceDN w:val="0"/>
        <w:adjustRightInd w:val="0"/>
        <w:spacing w:after="0" w:line="20" w:lineRule="atLeast"/>
        <w:jc w:val="both"/>
        <w:rPr>
          <w:rFonts w:cstheme="minorHAnsi"/>
          <w:b/>
          <w:bCs/>
        </w:rPr>
      </w:pPr>
    </w:p>
    <w:p w:rsidR="008B746C" w:rsidRDefault="008B746C" w:rsidP="008B746C">
      <w:pPr>
        <w:autoSpaceDE w:val="0"/>
        <w:autoSpaceDN w:val="0"/>
        <w:adjustRightInd w:val="0"/>
        <w:spacing w:after="0" w:line="20" w:lineRule="atLeast"/>
        <w:jc w:val="both"/>
        <w:rPr>
          <w:rFonts w:cstheme="minorHAnsi"/>
          <w:bCs/>
        </w:rPr>
      </w:pPr>
      <w:r w:rsidRPr="00DC192F">
        <w:rPr>
          <w:rFonts w:cstheme="minorHAnsi"/>
          <w:b/>
          <w:bCs/>
        </w:rPr>
        <w:lastRenderedPageBreak/>
        <w:t>Comunicato concernente l’approvazione della delibera n. 2/2019 adottata dal Consiglio di indirizzo generale dell’Ente nazionale di previdenza e assistenza a favore dei biologi (ENPAB) il 28 marzo 2019.</w:t>
      </w:r>
      <w:r w:rsidRPr="00DC192F">
        <w:rPr>
          <w:rFonts w:cstheme="minorHAnsi"/>
          <w:bCs/>
        </w:rPr>
        <w:t xml:space="preserve"> (GU n. 188 del 12.8.19)</w:t>
      </w:r>
    </w:p>
    <w:p w:rsidR="008B746C" w:rsidRDefault="008B746C" w:rsidP="008B746C">
      <w:pPr>
        <w:autoSpaceDE w:val="0"/>
        <w:autoSpaceDN w:val="0"/>
        <w:adjustRightInd w:val="0"/>
        <w:spacing w:after="0" w:line="20" w:lineRule="atLeast"/>
        <w:jc w:val="both"/>
        <w:rPr>
          <w:rFonts w:cstheme="minorHAnsi"/>
          <w:bCs/>
        </w:rPr>
      </w:pPr>
    </w:p>
    <w:p w:rsidR="008B746C" w:rsidRPr="00623A12" w:rsidRDefault="008B746C" w:rsidP="008B746C">
      <w:pPr>
        <w:autoSpaceDE w:val="0"/>
        <w:autoSpaceDN w:val="0"/>
        <w:adjustRightInd w:val="0"/>
        <w:spacing w:after="0" w:line="20" w:lineRule="atLeast"/>
        <w:jc w:val="both"/>
      </w:pPr>
      <w:r w:rsidRPr="00B33967">
        <w:rPr>
          <w:b/>
        </w:rPr>
        <w:t xml:space="preserve">Approvazione della delibera adottata dal consiglio di amministrazione dell’Ente di previdenza ed assistenza pluricategoriale (EPAP), in data 29 maggio 2019. </w:t>
      </w:r>
      <w:r>
        <w:rPr>
          <w:b/>
        </w:rPr>
        <w:t xml:space="preserve"> </w:t>
      </w:r>
      <w:r w:rsidRPr="00623A12">
        <w:t>(BUR n. 200 del 27.8.19)</w:t>
      </w:r>
    </w:p>
    <w:p w:rsidR="008B746C" w:rsidRDefault="008B746C" w:rsidP="008B746C">
      <w:pPr>
        <w:autoSpaceDE w:val="0"/>
        <w:autoSpaceDN w:val="0"/>
        <w:adjustRightInd w:val="0"/>
        <w:spacing w:after="0" w:line="20" w:lineRule="atLeast"/>
        <w:jc w:val="both"/>
        <w:rPr>
          <w:rFonts w:cstheme="minorHAnsi"/>
          <w:bCs/>
        </w:rPr>
      </w:pPr>
    </w:p>
    <w:p w:rsidR="008B746C" w:rsidRPr="00623A12" w:rsidRDefault="008B746C" w:rsidP="008B746C">
      <w:pPr>
        <w:autoSpaceDE w:val="0"/>
        <w:autoSpaceDN w:val="0"/>
        <w:adjustRightInd w:val="0"/>
        <w:spacing w:after="0" w:line="20" w:lineRule="atLeast"/>
        <w:jc w:val="both"/>
      </w:pPr>
      <w:r w:rsidRPr="00623A12">
        <w:rPr>
          <w:b/>
        </w:rPr>
        <w:t>Approvazione della delibera n. 9/2018 adottata dal comitato dei delegati della Cassa italiana di previdenza ed assistenza dei geometri liberi professionisti (CIPAG), in data 21 novembre 2018.</w:t>
      </w:r>
      <w:r>
        <w:t xml:space="preserve"> </w:t>
      </w:r>
      <w:r w:rsidRPr="00623A12">
        <w:t>(BUR n. 200 del 27.8.19)</w:t>
      </w:r>
    </w:p>
    <w:p w:rsidR="008B746C" w:rsidRDefault="008B746C" w:rsidP="008B746C">
      <w:pPr>
        <w:autoSpaceDE w:val="0"/>
        <w:autoSpaceDN w:val="0"/>
        <w:adjustRightInd w:val="0"/>
        <w:spacing w:after="0" w:line="20" w:lineRule="atLeast"/>
        <w:jc w:val="both"/>
        <w:rPr>
          <w:rFonts w:cstheme="minorHAnsi"/>
          <w:bCs/>
        </w:rPr>
      </w:pPr>
    </w:p>
    <w:p w:rsidR="008B746C" w:rsidRPr="00623A12" w:rsidRDefault="008B746C" w:rsidP="008B746C">
      <w:pPr>
        <w:autoSpaceDE w:val="0"/>
        <w:autoSpaceDN w:val="0"/>
        <w:adjustRightInd w:val="0"/>
        <w:spacing w:after="0" w:line="20" w:lineRule="atLeast"/>
        <w:jc w:val="both"/>
      </w:pPr>
      <w:r w:rsidRPr="00623A12">
        <w:rPr>
          <w:b/>
        </w:rPr>
        <w:t>Approvazione delle delibere n. 21/19 adottata dal consiglio di amministrazione in data 28 marzo 2019 e n. 5/19 assunta dal consiglio di indirizzo generale in data 27 aprile 2019, dell’Ente nazionale di previdenza ed assistenza per gli psicologi (ENPAP</w:t>
      </w:r>
      <w:r>
        <w:t xml:space="preserve">). </w:t>
      </w:r>
      <w:r w:rsidRPr="00623A12">
        <w:t>(BUR n. 200 del 27.8.19)</w:t>
      </w:r>
    </w:p>
    <w:p w:rsidR="008B746C" w:rsidRDefault="008B746C" w:rsidP="008B746C">
      <w:pPr>
        <w:autoSpaceDE w:val="0"/>
        <w:autoSpaceDN w:val="0"/>
        <w:adjustRightInd w:val="0"/>
        <w:spacing w:after="0" w:line="20" w:lineRule="atLeast"/>
        <w:jc w:val="both"/>
        <w:rPr>
          <w:rFonts w:cstheme="minorHAnsi"/>
          <w:bCs/>
        </w:rPr>
      </w:pPr>
    </w:p>
    <w:p w:rsidR="008B746C" w:rsidRPr="00623A12" w:rsidRDefault="008B746C" w:rsidP="008B746C">
      <w:pPr>
        <w:autoSpaceDE w:val="0"/>
        <w:autoSpaceDN w:val="0"/>
        <w:adjustRightInd w:val="0"/>
        <w:spacing w:after="0" w:line="20" w:lineRule="atLeast"/>
        <w:jc w:val="both"/>
      </w:pPr>
      <w:r w:rsidRPr="00623A12">
        <w:rPr>
          <w:b/>
        </w:rPr>
        <w:t xml:space="preserve">Approvazione delle delibere n. 5/19 adottata dal consiglio di amministrazione in data 15 febbraio 2019 e n. 4/19 assunta dal consiglio di indirizzo generale in data 27 aprile 2019, dell’Ente nazionale di previdenza ed assistenza per gli psicologi (ENPAP). </w:t>
      </w:r>
      <w:r w:rsidRPr="00623A12">
        <w:t>(BUR n. 200 del 27.8.19)</w:t>
      </w:r>
    </w:p>
    <w:p w:rsidR="008B746C" w:rsidRDefault="008B746C" w:rsidP="008B746C">
      <w:pPr>
        <w:autoSpaceDE w:val="0"/>
        <w:autoSpaceDN w:val="0"/>
        <w:adjustRightInd w:val="0"/>
        <w:spacing w:after="0" w:line="20" w:lineRule="atLeast"/>
        <w:jc w:val="both"/>
        <w:rPr>
          <w:rFonts w:cstheme="minorHAnsi"/>
          <w:bCs/>
        </w:rPr>
      </w:pPr>
    </w:p>
    <w:p w:rsidR="008B746C"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rPr>
      </w:pPr>
      <w:r>
        <w:rPr>
          <w:rFonts w:cstheme="minorHAnsi"/>
          <w:b/>
        </w:rPr>
        <w:t>SICUREZZA</w:t>
      </w:r>
    </w:p>
    <w:p w:rsidR="008B746C" w:rsidRDefault="008B746C" w:rsidP="008B746C">
      <w:pPr>
        <w:autoSpaceDE w:val="0"/>
        <w:autoSpaceDN w:val="0"/>
        <w:adjustRightInd w:val="0"/>
        <w:spacing w:after="0" w:line="20" w:lineRule="atLeast"/>
        <w:jc w:val="both"/>
        <w:rPr>
          <w:rFonts w:cstheme="minorHAnsi"/>
          <w:b/>
        </w:rPr>
      </w:pPr>
    </w:p>
    <w:p w:rsidR="008B746C" w:rsidRDefault="008B746C" w:rsidP="008B746C">
      <w:pPr>
        <w:autoSpaceDE w:val="0"/>
        <w:autoSpaceDN w:val="0"/>
        <w:adjustRightInd w:val="0"/>
        <w:spacing w:after="0" w:line="20" w:lineRule="atLeast"/>
        <w:jc w:val="both"/>
        <w:rPr>
          <w:rFonts w:cstheme="minorHAnsi"/>
        </w:rPr>
      </w:pPr>
      <w:r w:rsidRPr="006B0B81">
        <w:rPr>
          <w:rFonts w:cstheme="minorHAnsi"/>
          <w:b/>
        </w:rPr>
        <w:t xml:space="preserve">LEGGE 8 agosto </w:t>
      </w:r>
      <w:proofErr w:type="gramStart"/>
      <w:r w:rsidRPr="006B0B81">
        <w:rPr>
          <w:rFonts w:cstheme="minorHAnsi"/>
          <w:b/>
        </w:rPr>
        <w:t>2019 ,</w:t>
      </w:r>
      <w:proofErr w:type="gramEnd"/>
      <w:r w:rsidRPr="006B0B81">
        <w:rPr>
          <w:rFonts w:cstheme="minorHAnsi"/>
          <w:b/>
        </w:rPr>
        <w:t xml:space="preserve"> n. 77</w:t>
      </w:r>
      <w:r w:rsidRPr="006B0B81">
        <w:rPr>
          <w:rFonts w:cstheme="minorHAnsi"/>
        </w:rPr>
        <w:t xml:space="preserve">. Conversione in legge, con modificazioni, del decreto-legge 14 giugno 2019, n. 53, recante disposizioni urgenti in materia di ordine e sicurezza pubblica. (GU n. </w:t>
      </w:r>
      <w:proofErr w:type="gramStart"/>
      <w:r w:rsidRPr="006B0B81">
        <w:rPr>
          <w:rFonts w:cstheme="minorHAnsi"/>
        </w:rPr>
        <w:t>186  del</w:t>
      </w:r>
      <w:proofErr w:type="gramEnd"/>
      <w:r w:rsidRPr="006B0B81">
        <w:rPr>
          <w:rFonts w:cstheme="minorHAnsi"/>
        </w:rPr>
        <w:t xml:space="preserve"> 9.8.19)</w:t>
      </w:r>
    </w:p>
    <w:p w:rsidR="008B746C" w:rsidRDefault="008B746C" w:rsidP="008B746C">
      <w:pPr>
        <w:autoSpaceDE w:val="0"/>
        <w:autoSpaceDN w:val="0"/>
        <w:adjustRightInd w:val="0"/>
        <w:spacing w:after="0" w:line="20" w:lineRule="atLeast"/>
        <w:jc w:val="both"/>
        <w:rPr>
          <w:rFonts w:cstheme="minorHAnsi"/>
          <w:bCs/>
        </w:rPr>
      </w:pPr>
    </w:p>
    <w:p w:rsidR="008B746C" w:rsidRPr="005B2048" w:rsidRDefault="008B746C" w:rsidP="008B746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5B2048">
        <w:rPr>
          <w:rFonts w:cstheme="minorHAnsi"/>
          <w:b/>
        </w:rPr>
        <w:t>TERZO SETTORE</w:t>
      </w:r>
    </w:p>
    <w:p w:rsidR="008B746C" w:rsidRPr="006B0B81" w:rsidRDefault="008B746C" w:rsidP="008B746C">
      <w:pPr>
        <w:keepNext/>
        <w:keepLines/>
        <w:spacing w:after="0" w:line="20" w:lineRule="atLeast"/>
        <w:jc w:val="both"/>
        <w:rPr>
          <w:rFonts w:cstheme="minorHAnsi"/>
        </w:rPr>
      </w:pPr>
    </w:p>
    <w:p w:rsidR="008B746C" w:rsidRPr="00A04096" w:rsidRDefault="008B746C" w:rsidP="008B746C">
      <w:pPr>
        <w:keepNext/>
        <w:keepLines/>
        <w:spacing w:after="0" w:line="20" w:lineRule="atLeast"/>
        <w:jc w:val="both"/>
        <w:rPr>
          <w:rFonts w:cstheme="minorHAnsi"/>
          <w:b/>
        </w:rPr>
      </w:pPr>
      <w:r w:rsidRPr="006B0B81">
        <w:rPr>
          <w:rFonts w:cstheme="minorHAnsi"/>
        </w:rPr>
        <w:t xml:space="preserve"> </w:t>
      </w:r>
      <w:r w:rsidRPr="00A04096">
        <w:rPr>
          <w:rFonts w:cstheme="minorHAnsi"/>
          <w:b/>
        </w:rPr>
        <w:t>MINISTERO DEL LAVORO E DELLE POLITICHE SOCIALI</w:t>
      </w:r>
    </w:p>
    <w:p w:rsidR="008B746C" w:rsidRDefault="008B746C" w:rsidP="008B746C">
      <w:pPr>
        <w:keepNext/>
        <w:keepLines/>
        <w:spacing w:after="0" w:line="20" w:lineRule="atLeast"/>
        <w:jc w:val="both"/>
        <w:rPr>
          <w:rFonts w:ascii="Broadway" w:hAnsi="Broadway" w:cstheme="majorHAnsi"/>
          <w:b/>
          <w:sz w:val="40"/>
          <w:szCs w:val="40"/>
        </w:rPr>
      </w:pPr>
      <w:r w:rsidRPr="00A04096">
        <w:rPr>
          <w:rFonts w:cstheme="minorHAnsi"/>
          <w:b/>
        </w:rPr>
        <w:t xml:space="preserve"> DECRETO 4 luglio </w:t>
      </w:r>
      <w:proofErr w:type="gramStart"/>
      <w:r w:rsidRPr="00A04096">
        <w:rPr>
          <w:rFonts w:cstheme="minorHAnsi"/>
          <w:b/>
        </w:rPr>
        <w:t>2019</w:t>
      </w:r>
      <w:r w:rsidRPr="006B0B81">
        <w:rPr>
          <w:rFonts w:cstheme="minorHAnsi"/>
        </w:rPr>
        <w:t xml:space="preserve"> ,</w:t>
      </w:r>
      <w:proofErr w:type="gramEnd"/>
      <w:r w:rsidRPr="006B0B81">
        <w:rPr>
          <w:rFonts w:cstheme="minorHAnsi"/>
        </w:rPr>
        <w:t xml:space="preserve">  Adozione delle Linee guida per la redazione del bilancio sociale degli enti del Terzo settore. (BUR n. 186 del 9.8.19)</w:t>
      </w:r>
    </w:p>
    <w:p w:rsidR="0021192C" w:rsidRDefault="0021192C" w:rsidP="008B746C">
      <w:pPr>
        <w:jc w:val="center"/>
        <w:rPr>
          <w:rFonts w:ascii="Broadway" w:hAnsi="Broadway" w:cstheme="majorHAnsi"/>
          <w:b/>
          <w:sz w:val="40"/>
          <w:szCs w:val="40"/>
        </w:rPr>
      </w:pPr>
    </w:p>
    <w:p w:rsidR="008B746C" w:rsidRDefault="008B746C" w:rsidP="008B746C">
      <w:pPr>
        <w:jc w:val="center"/>
        <w:rPr>
          <w:rFonts w:cstheme="minorHAnsi"/>
          <w:b/>
        </w:rPr>
      </w:pPr>
      <w:r>
        <w:rPr>
          <w:rFonts w:ascii="Broadway" w:hAnsi="Broadway" w:cstheme="majorHAnsi"/>
          <w:b/>
          <w:sz w:val="40"/>
          <w:szCs w:val="40"/>
        </w:rPr>
        <w:t>REGIONI</w:t>
      </w:r>
      <w:r w:rsidRPr="00BA0CD5">
        <w:rPr>
          <w:rFonts w:cstheme="minorHAnsi"/>
          <w:b/>
        </w:rPr>
        <w:t xml:space="preserve">  </w:t>
      </w:r>
    </w:p>
    <w:p w:rsidR="0021192C" w:rsidRPr="00BA0CD5" w:rsidRDefault="0021192C" w:rsidP="0021192C">
      <w:pPr>
        <w:jc w:val="center"/>
        <w:rPr>
          <w:rFonts w:cstheme="minorHAnsi"/>
          <w:b/>
          <w:u w:val="single"/>
        </w:rPr>
      </w:pPr>
      <w:r>
        <w:rPr>
          <w:rFonts w:cstheme="minorHAnsi"/>
          <w:b/>
          <w:u w:val="single"/>
        </w:rPr>
        <w:t xml:space="preserve">BOLLETTINI UFFICIALI DELLE REGIONI PERVENUTI AL </w:t>
      </w:r>
      <w:proofErr w:type="gramStart"/>
      <w:r>
        <w:rPr>
          <w:rFonts w:cstheme="minorHAnsi"/>
          <w:b/>
          <w:u w:val="single"/>
        </w:rPr>
        <w:t>31  AGOSTO</w:t>
      </w:r>
      <w:proofErr w:type="gramEnd"/>
      <w:r w:rsidRPr="00BA0CD5">
        <w:rPr>
          <w:rFonts w:cstheme="minorHAnsi"/>
          <w:b/>
          <w:u w:val="single"/>
        </w:rPr>
        <w:t xml:space="preserve">  2019, ARRETRATI COMPRESI</w:t>
      </w:r>
    </w:p>
    <w:p w:rsidR="008B746C" w:rsidRDefault="008B746C" w:rsidP="008B746C">
      <w:pPr>
        <w:autoSpaceDE w:val="0"/>
        <w:autoSpaceDN w:val="0"/>
        <w:adjustRightInd w:val="0"/>
        <w:spacing w:after="0" w:line="20" w:lineRule="atLeast"/>
        <w:jc w:val="both"/>
        <w:rPr>
          <w:rFonts w:cstheme="minorHAnsi"/>
          <w:b/>
        </w:rPr>
      </w:pPr>
    </w:p>
    <w:p w:rsidR="008B746C" w:rsidRDefault="008B746C" w:rsidP="008B746C">
      <w:pPr>
        <w:jc w:val="center"/>
        <w:rPr>
          <w:rFonts w:cstheme="minorHAnsi"/>
          <w:b/>
        </w:rPr>
      </w:pPr>
      <w:bookmarkStart w:id="0" w:name="_GoBack"/>
      <w:bookmarkEnd w:id="0"/>
      <w:r>
        <w:rPr>
          <w:rFonts w:ascii="Broadway" w:hAnsi="Broadway" w:cstheme="majorHAnsi"/>
          <w:b/>
          <w:sz w:val="40"/>
          <w:szCs w:val="40"/>
        </w:rPr>
        <w:t>ABRUZZO</w:t>
      </w:r>
      <w:r>
        <w:rPr>
          <w:rFonts w:cstheme="minorHAnsi"/>
          <w:b/>
        </w:rPr>
        <w:tab/>
      </w:r>
      <w:r w:rsidRPr="00BA0CD5">
        <w:rPr>
          <w:rFonts w:cstheme="minorHAnsi"/>
          <w:b/>
        </w:rPr>
        <w:t xml:space="preserve"> </w:t>
      </w:r>
    </w:p>
    <w:p w:rsidR="008B746C" w:rsidRPr="00BA0CD5"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jc w:val="center"/>
        <w:rPr>
          <w:rFonts w:cstheme="minorHAnsi"/>
          <w:b/>
        </w:rPr>
      </w:pPr>
      <w:r>
        <w:rPr>
          <w:rFonts w:cstheme="minorHAnsi"/>
          <w:b/>
        </w:rPr>
        <w:t xml:space="preserve">AMMINISTRAZIONE REGIONALE </w:t>
      </w:r>
    </w:p>
    <w:p w:rsidR="008B746C" w:rsidRPr="00BA0CD5" w:rsidRDefault="008B746C" w:rsidP="008B746C">
      <w:pPr>
        <w:autoSpaceDE w:val="0"/>
        <w:autoSpaceDN w:val="0"/>
        <w:adjustRightInd w:val="0"/>
        <w:spacing w:after="0" w:line="240" w:lineRule="auto"/>
        <w:jc w:val="center"/>
        <w:rPr>
          <w:rFonts w:cstheme="minorHAnsi"/>
          <w:b/>
          <w:bCs/>
          <w:sz w:val="24"/>
          <w:szCs w:val="24"/>
          <w:u w:val="single"/>
        </w:rPr>
      </w:pPr>
    </w:p>
    <w:p w:rsidR="008B746C" w:rsidRDefault="008B746C" w:rsidP="008B746C">
      <w:pPr>
        <w:keepNext/>
        <w:keepLines/>
        <w:spacing w:after="0" w:line="20" w:lineRule="atLeast"/>
        <w:jc w:val="both"/>
        <w:rPr>
          <w:rFonts w:cstheme="minorHAnsi"/>
        </w:rPr>
      </w:pPr>
      <w:r w:rsidRPr="0042413C">
        <w:rPr>
          <w:rFonts w:cstheme="minorHAnsi"/>
          <w:b/>
        </w:rPr>
        <w:t xml:space="preserve">DECRETO 30 luglio 2019, n.  </w:t>
      </w:r>
      <w:proofErr w:type="gramStart"/>
      <w:r w:rsidRPr="0042413C">
        <w:rPr>
          <w:rFonts w:cstheme="minorHAnsi"/>
          <w:b/>
        </w:rPr>
        <w:t>24</w:t>
      </w:r>
      <w:r>
        <w:rPr>
          <w:rFonts w:cstheme="minorHAnsi"/>
        </w:rPr>
        <w:t xml:space="preserve">, </w:t>
      </w:r>
      <w:r w:rsidRPr="00E46EF1">
        <w:rPr>
          <w:rFonts w:cstheme="minorHAnsi"/>
        </w:rPr>
        <w:t xml:space="preserve"> Commissione</w:t>
      </w:r>
      <w:proofErr w:type="gramEnd"/>
      <w:r w:rsidRPr="00E46EF1">
        <w:rPr>
          <w:rFonts w:cstheme="minorHAnsi"/>
        </w:rPr>
        <w:t xml:space="preserve"> speciale per l’attuazione e le modifiche allo Statuto, per le modifiche alla legge elettorale e per lo studio del regionalismo differenziato</w:t>
      </w:r>
      <w:r>
        <w:rPr>
          <w:rFonts w:cstheme="minorHAnsi"/>
        </w:rPr>
        <w:t>. (BUR n. 31 del 7.8.19)</w:t>
      </w:r>
    </w:p>
    <w:p w:rsidR="008B746C" w:rsidRDefault="008B746C" w:rsidP="008B746C">
      <w:pPr>
        <w:keepNext/>
        <w:keepLines/>
        <w:spacing w:after="0" w:line="20" w:lineRule="atLeast"/>
        <w:jc w:val="both"/>
        <w:rPr>
          <w:rFonts w:cstheme="minorHAnsi"/>
        </w:rPr>
      </w:pPr>
    </w:p>
    <w:p w:rsidR="008B746C" w:rsidRPr="00AA7CB0"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AA7CB0">
        <w:rPr>
          <w:rFonts w:cstheme="minorHAnsi"/>
          <w:b/>
        </w:rPr>
        <w:t>ASSISTENZA PENITENZIARIA</w:t>
      </w:r>
    </w:p>
    <w:p w:rsidR="008B746C" w:rsidRDefault="008B746C" w:rsidP="008B746C">
      <w:pPr>
        <w:spacing w:after="0" w:line="20" w:lineRule="atLeast"/>
        <w:jc w:val="both"/>
        <w:rPr>
          <w:rFonts w:cstheme="minorHAnsi"/>
        </w:rPr>
      </w:pPr>
    </w:p>
    <w:p w:rsidR="008B746C" w:rsidRDefault="008B746C" w:rsidP="008B746C">
      <w:pPr>
        <w:keepNext/>
        <w:keepLines/>
        <w:spacing w:after="0" w:line="20" w:lineRule="atLeast"/>
        <w:jc w:val="both"/>
        <w:rPr>
          <w:rFonts w:cstheme="minorHAnsi"/>
        </w:rPr>
      </w:pPr>
      <w:r w:rsidRPr="00AA7CB0">
        <w:rPr>
          <w:rFonts w:cstheme="minorHAnsi"/>
          <w:b/>
        </w:rPr>
        <w:t>DCR 23 luglio 2019, n. 10/</w:t>
      </w:r>
      <w:proofErr w:type="gramStart"/>
      <w:r w:rsidRPr="00AA7CB0">
        <w:rPr>
          <w:rFonts w:cstheme="minorHAnsi"/>
          <w:b/>
        </w:rPr>
        <w:t>4</w:t>
      </w:r>
      <w:r>
        <w:rPr>
          <w:rFonts w:cstheme="minorHAnsi"/>
        </w:rPr>
        <w:t xml:space="preserve">, </w:t>
      </w:r>
      <w:r w:rsidRPr="00E46EF1">
        <w:rPr>
          <w:rFonts w:cstheme="minorHAnsi"/>
        </w:rPr>
        <w:t xml:space="preserve"> Elezione</w:t>
      </w:r>
      <w:proofErr w:type="gramEnd"/>
      <w:r w:rsidRPr="00E46EF1">
        <w:rPr>
          <w:rFonts w:cstheme="minorHAnsi"/>
        </w:rPr>
        <w:t xml:space="preserve"> del Garante delle persone sottoposte a misure restrittive della libertà personale.</w:t>
      </w:r>
      <w:r>
        <w:rPr>
          <w:rFonts w:cstheme="minorHAnsi"/>
        </w:rPr>
        <w:t xml:space="preserve"> (BUR n. 31 del 7.8.19)</w:t>
      </w:r>
    </w:p>
    <w:p w:rsidR="008B746C" w:rsidRDefault="008B746C" w:rsidP="008B746C">
      <w:pPr>
        <w:keepNext/>
        <w:keepLines/>
        <w:spacing w:after="0" w:line="20" w:lineRule="atLeast"/>
        <w:jc w:val="both"/>
        <w:rPr>
          <w:rFonts w:cstheme="minorHAnsi"/>
        </w:rPr>
      </w:pPr>
    </w:p>
    <w:p w:rsidR="008B746C" w:rsidRPr="00C52F56" w:rsidRDefault="008B746C" w:rsidP="008B746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C52F56">
        <w:rPr>
          <w:rFonts w:cstheme="minorHAnsi"/>
          <w:b/>
        </w:rPr>
        <w:t>IMMIGRATI</w:t>
      </w:r>
    </w:p>
    <w:p w:rsidR="008B746C" w:rsidRDefault="008B746C" w:rsidP="008B746C"/>
    <w:p w:rsidR="008B746C" w:rsidRDefault="008B746C" w:rsidP="008B746C">
      <w:pPr>
        <w:keepNext/>
        <w:keepLines/>
        <w:spacing w:after="0" w:line="20" w:lineRule="atLeast"/>
        <w:jc w:val="both"/>
        <w:rPr>
          <w:rFonts w:cstheme="minorHAnsi"/>
        </w:rPr>
      </w:pPr>
      <w:r w:rsidRPr="0042413C">
        <w:rPr>
          <w:rFonts w:cstheme="minorHAnsi"/>
          <w:b/>
        </w:rPr>
        <w:lastRenderedPageBreak/>
        <w:t xml:space="preserve">DECRETO 30 luglio 2019, n. </w:t>
      </w:r>
      <w:proofErr w:type="gramStart"/>
      <w:r w:rsidRPr="0042413C">
        <w:rPr>
          <w:rFonts w:cstheme="minorHAnsi"/>
          <w:b/>
        </w:rPr>
        <w:t>25</w:t>
      </w:r>
      <w:r>
        <w:rPr>
          <w:rFonts w:cstheme="minorHAnsi"/>
        </w:rPr>
        <w:t xml:space="preserve">, </w:t>
      </w:r>
      <w:r w:rsidRPr="00E46EF1">
        <w:rPr>
          <w:rFonts w:cstheme="minorHAnsi"/>
        </w:rPr>
        <w:t xml:space="preserve"> Commissione</w:t>
      </w:r>
      <w:proofErr w:type="gramEnd"/>
      <w:r w:rsidRPr="00E46EF1">
        <w:rPr>
          <w:rFonts w:cstheme="minorHAnsi"/>
        </w:rPr>
        <w:t xml:space="preserve"> Speciale sul Fenomeno immigratorio e Lavoro sommerso</w:t>
      </w:r>
      <w:r>
        <w:rPr>
          <w:rFonts w:cstheme="minorHAnsi"/>
        </w:rPr>
        <w:t>. (BUR n. 31 del 7.8.19)</w:t>
      </w:r>
    </w:p>
    <w:p w:rsidR="008B746C" w:rsidRDefault="008B746C" w:rsidP="008B746C">
      <w:pPr>
        <w:keepNext/>
        <w:keepLines/>
        <w:spacing w:after="0" w:line="20" w:lineRule="atLeast"/>
        <w:jc w:val="both"/>
        <w:rPr>
          <w:rFonts w:cstheme="minorHAnsi"/>
        </w:rPr>
      </w:pPr>
    </w:p>
    <w:p w:rsidR="008B746C" w:rsidRPr="00AA7CB0"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AA7CB0">
        <w:rPr>
          <w:rFonts w:cstheme="minorHAnsi"/>
          <w:b/>
        </w:rPr>
        <w:t>PERSONE CON DISABILITÀ</w:t>
      </w:r>
    </w:p>
    <w:p w:rsidR="008B746C" w:rsidRDefault="008B746C" w:rsidP="008B746C">
      <w:pPr>
        <w:spacing w:after="0" w:line="20" w:lineRule="atLeast"/>
        <w:jc w:val="both"/>
        <w:rPr>
          <w:rFonts w:cstheme="minorHAnsi"/>
        </w:rPr>
      </w:pPr>
    </w:p>
    <w:p w:rsidR="008B746C" w:rsidRDefault="008B746C" w:rsidP="008B746C">
      <w:pPr>
        <w:keepNext/>
        <w:keepLines/>
        <w:spacing w:after="0" w:line="20" w:lineRule="atLeast"/>
        <w:jc w:val="both"/>
        <w:rPr>
          <w:rFonts w:cstheme="minorHAnsi"/>
        </w:rPr>
      </w:pPr>
      <w:r w:rsidRPr="00AA7CB0">
        <w:rPr>
          <w:rFonts w:cstheme="minorHAnsi"/>
          <w:b/>
        </w:rPr>
        <w:t xml:space="preserve">DGR  29 luglio 2019, n. </w:t>
      </w:r>
      <w:proofErr w:type="gramStart"/>
      <w:r w:rsidRPr="00AA7CB0">
        <w:rPr>
          <w:rFonts w:cstheme="minorHAnsi"/>
          <w:b/>
        </w:rPr>
        <w:t>443</w:t>
      </w:r>
      <w:r>
        <w:rPr>
          <w:rFonts w:cstheme="minorHAnsi"/>
        </w:rPr>
        <w:t xml:space="preserve">, </w:t>
      </w:r>
      <w:r w:rsidRPr="00E46EF1">
        <w:rPr>
          <w:rFonts w:cstheme="minorHAnsi"/>
        </w:rPr>
        <w:t xml:space="preserve"> Legge</w:t>
      </w:r>
      <w:proofErr w:type="gramEnd"/>
      <w:r w:rsidRPr="00E46EF1">
        <w:rPr>
          <w:rFonts w:cstheme="minorHAnsi"/>
        </w:rPr>
        <w:t xml:space="preserve"> n. 13 del 09.01.1989 e s.m.i. – D.M. n.67 del 27.02.2018 “Riparto fondo speciale per l’eliminazione delle barriere architettoniche negli edifici privati” – Utilizzo delle risorse disponibili per scorrimento e completamento graduatoria definitiva approvata</w:t>
      </w:r>
      <w:r>
        <w:rPr>
          <w:rFonts w:cstheme="minorHAnsi"/>
        </w:rPr>
        <w:t>.  (BUR n. 31 del 7.8.19)</w:t>
      </w:r>
    </w:p>
    <w:p w:rsidR="008B746C" w:rsidRDefault="008B746C" w:rsidP="008B746C">
      <w:pPr>
        <w:keepNext/>
        <w:keepLines/>
        <w:spacing w:after="0" w:line="20" w:lineRule="atLeast"/>
        <w:jc w:val="both"/>
        <w:rPr>
          <w:rFonts w:cstheme="minorHAnsi"/>
        </w:rPr>
      </w:pPr>
    </w:p>
    <w:p w:rsidR="008B746C" w:rsidRDefault="008B746C" w:rsidP="008B746C">
      <w:pPr>
        <w:spacing w:after="0" w:line="20" w:lineRule="atLeast"/>
        <w:jc w:val="center"/>
        <w:rPr>
          <w:rFonts w:ascii="Broadway" w:hAnsi="Broadway" w:cstheme="majorHAnsi"/>
          <w:b/>
          <w:sz w:val="40"/>
          <w:szCs w:val="40"/>
        </w:rPr>
      </w:pPr>
      <w:r>
        <w:rPr>
          <w:rFonts w:ascii="Broadway" w:hAnsi="Broadway" w:cstheme="majorHAnsi"/>
          <w:b/>
          <w:sz w:val="40"/>
          <w:szCs w:val="40"/>
        </w:rPr>
        <w:t>BASILICATA</w:t>
      </w:r>
    </w:p>
    <w:p w:rsidR="008B746C" w:rsidRPr="008807E2" w:rsidRDefault="008B746C" w:rsidP="008B746C">
      <w:pPr>
        <w:spacing w:after="0" w:line="20" w:lineRule="atLeast"/>
        <w:jc w:val="center"/>
        <w:rPr>
          <w:rFonts w:ascii="Broadway" w:hAnsi="Broadway" w:cstheme="majorHAnsi"/>
          <w:b/>
          <w:sz w:val="24"/>
          <w:szCs w:val="24"/>
        </w:rPr>
      </w:pPr>
    </w:p>
    <w:p w:rsidR="008B746C" w:rsidRPr="00685DBC" w:rsidRDefault="008B746C" w:rsidP="008B746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685DBC">
        <w:rPr>
          <w:rFonts w:cstheme="minorHAnsi"/>
          <w:b/>
        </w:rPr>
        <w:t>AMMINISTRAZIONE REGIONALE</w:t>
      </w:r>
    </w:p>
    <w:p w:rsidR="008B746C" w:rsidRDefault="008B746C" w:rsidP="008B746C">
      <w:pPr>
        <w:keepNext/>
        <w:keepLines/>
        <w:spacing w:after="0" w:line="20" w:lineRule="atLeast"/>
        <w:jc w:val="both"/>
        <w:rPr>
          <w:rFonts w:cstheme="minorHAnsi"/>
        </w:rPr>
      </w:pPr>
    </w:p>
    <w:p w:rsidR="008B746C" w:rsidRDefault="008B746C" w:rsidP="008B746C">
      <w:pPr>
        <w:spacing w:after="0" w:line="20" w:lineRule="atLeast"/>
        <w:jc w:val="both"/>
        <w:rPr>
          <w:rFonts w:cstheme="minorHAnsi"/>
        </w:rPr>
      </w:pPr>
      <w:r w:rsidRPr="00AA7CB0">
        <w:rPr>
          <w:rFonts w:cstheme="minorHAnsi"/>
          <w:b/>
        </w:rPr>
        <w:t>DGR 4 luglio 2019, n.420</w:t>
      </w:r>
      <w:r>
        <w:rPr>
          <w:rFonts w:cstheme="minorHAnsi"/>
        </w:rPr>
        <w:t xml:space="preserve">, </w:t>
      </w:r>
      <w:r w:rsidRPr="00E46EF1">
        <w:rPr>
          <w:rFonts w:cstheme="minorHAnsi"/>
        </w:rPr>
        <w:t>D.P.G.R. n. 79404/11A1 del 10 maggio 2019 - Disposizioni organizzative conse</w:t>
      </w:r>
      <w:r>
        <w:rPr>
          <w:rFonts w:cstheme="minorHAnsi"/>
        </w:rPr>
        <w:t>g</w:t>
      </w:r>
      <w:r w:rsidRPr="00E46EF1">
        <w:rPr>
          <w:rFonts w:cstheme="minorHAnsi"/>
        </w:rPr>
        <w:t>uenziali</w:t>
      </w:r>
      <w:r>
        <w:rPr>
          <w:rFonts w:cstheme="minorHAnsi"/>
        </w:rPr>
        <w:t>.  (BUR n. 26 del 1.8.19)</w:t>
      </w:r>
    </w:p>
    <w:p w:rsidR="008B746C" w:rsidRDefault="008B746C" w:rsidP="008B746C">
      <w:pPr>
        <w:spacing w:after="0" w:line="20" w:lineRule="atLeast"/>
        <w:jc w:val="both"/>
        <w:rPr>
          <w:rFonts w:cstheme="minorHAnsi"/>
        </w:rPr>
      </w:pPr>
    </w:p>
    <w:p w:rsidR="008B746C" w:rsidRPr="00570A3B"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570A3B">
        <w:rPr>
          <w:rFonts w:cstheme="minorHAnsi"/>
          <w:b/>
        </w:rPr>
        <w:t>EDILIZIA</w:t>
      </w:r>
    </w:p>
    <w:p w:rsidR="008B746C" w:rsidRDefault="008B746C" w:rsidP="008B746C">
      <w:pPr>
        <w:spacing w:after="0" w:line="20" w:lineRule="atLeast"/>
        <w:jc w:val="both"/>
        <w:rPr>
          <w:rFonts w:cstheme="minorHAnsi"/>
        </w:rPr>
      </w:pPr>
    </w:p>
    <w:p w:rsidR="008B746C" w:rsidRDefault="008B746C" w:rsidP="008B746C">
      <w:pPr>
        <w:spacing w:after="0" w:line="20" w:lineRule="atLeast"/>
        <w:jc w:val="both"/>
        <w:rPr>
          <w:rFonts w:cstheme="minorHAnsi"/>
        </w:rPr>
      </w:pPr>
      <w:r w:rsidRPr="00AF638C">
        <w:rPr>
          <w:rFonts w:cstheme="minorHAnsi"/>
          <w:b/>
        </w:rPr>
        <w:t>DGR   23 luglio 2019, n.470,</w:t>
      </w:r>
      <w:r>
        <w:rPr>
          <w:rFonts w:cstheme="minorHAnsi"/>
        </w:rPr>
        <w:t xml:space="preserve"> </w:t>
      </w:r>
      <w:r w:rsidRPr="00E46EF1">
        <w:rPr>
          <w:rFonts w:cstheme="minorHAnsi"/>
        </w:rPr>
        <w:t>PO FESR BASILICATA 2014-2020 - ITI Sviluppo Urbano città di Matera - D.G.R. n. 208/2019 - Approvazione dello schema degli Accordi attuativi di cui all'art. 3 comma 2 dell'Accordo di Programma sottoscritto dalla Regione Basilicata e dal Comune di Matera in data 19 marzo 2019.</w:t>
      </w:r>
      <w:r w:rsidRPr="00570A3B">
        <w:rPr>
          <w:rFonts w:cstheme="minorHAnsi"/>
        </w:rPr>
        <w:t xml:space="preserve"> </w:t>
      </w:r>
      <w:r>
        <w:rPr>
          <w:rFonts w:cstheme="minorHAnsi"/>
        </w:rPr>
        <w:t>(BUR n. 26 del 1.8.19)</w:t>
      </w:r>
    </w:p>
    <w:p w:rsidR="008B746C" w:rsidRDefault="008B746C" w:rsidP="008B746C">
      <w:pPr>
        <w:spacing w:after="0" w:line="20" w:lineRule="atLeast"/>
        <w:jc w:val="both"/>
        <w:rPr>
          <w:rFonts w:cstheme="minorHAnsi"/>
        </w:rPr>
      </w:pPr>
    </w:p>
    <w:p w:rsidR="008B746C" w:rsidRPr="00AF638C"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AF638C">
        <w:rPr>
          <w:rFonts w:cstheme="minorHAnsi"/>
          <w:b/>
        </w:rPr>
        <w:t>FAMIGLIA</w:t>
      </w:r>
    </w:p>
    <w:p w:rsidR="008B746C" w:rsidRPr="00E46EF1" w:rsidRDefault="008B746C" w:rsidP="008B746C">
      <w:pPr>
        <w:spacing w:after="0" w:line="20" w:lineRule="atLeast"/>
        <w:jc w:val="both"/>
        <w:rPr>
          <w:rFonts w:cstheme="minorHAnsi"/>
        </w:rPr>
      </w:pPr>
    </w:p>
    <w:p w:rsidR="008B746C" w:rsidRDefault="008B746C" w:rsidP="008B746C">
      <w:pPr>
        <w:spacing w:after="0" w:line="20" w:lineRule="atLeast"/>
        <w:jc w:val="both"/>
        <w:rPr>
          <w:rFonts w:cstheme="minorHAnsi"/>
        </w:rPr>
      </w:pPr>
      <w:r w:rsidRPr="00AF638C">
        <w:rPr>
          <w:rFonts w:cstheme="minorHAnsi"/>
          <w:b/>
        </w:rPr>
        <w:t>DGR  23 luglio 2019, n.476,</w:t>
      </w:r>
      <w:r>
        <w:rPr>
          <w:rFonts w:cstheme="minorHAnsi"/>
        </w:rPr>
        <w:t xml:space="preserve"> </w:t>
      </w:r>
      <w:r w:rsidRPr="00E46EF1">
        <w:rPr>
          <w:rFonts w:cstheme="minorHAnsi"/>
        </w:rPr>
        <w:t>Intesa Conferenza Unificata Rep. Atti n. 30/CU del17.04.2019 - D.M. 30 aprile 2019 riparto delle risorse stanziate sul Fondo politiche della famiglia anno 2019 - Azioni della regione Basilicata in favore dei Centri per le famiglie - anno 2019.</w:t>
      </w:r>
      <w:r>
        <w:rPr>
          <w:rFonts w:cstheme="minorHAnsi"/>
        </w:rPr>
        <w:t xml:space="preserve"> (BUR n. 26 del 1.8.19)</w:t>
      </w:r>
    </w:p>
    <w:p w:rsidR="008B746C" w:rsidRDefault="008B746C" w:rsidP="008B746C">
      <w:pPr>
        <w:spacing w:after="0" w:line="20" w:lineRule="atLeast"/>
        <w:jc w:val="both"/>
        <w:rPr>
          <w:rFonts w:cstheme="minorHAnsi"/>
        </w:rPr>
      </w:pPr>
    </w:p>
    <w:p w:rsidR="008B746C"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Pr>
          <w:rFonts w:cstheme="minorHAnsi"/>
          <w:b/>
        </w:rPr>
        <w:t>IMMIGRATI</w:t>
      </w:r>
    </w:p>
    <w:p w:rsidR="008B746C" w:rsidRDefault="008B746C" w:rsidP="008B746C">
      <w:pPr>
        <w:spacing w:after="0" w:line="20" w:lineRule="atLeast"/>
        <w:jc w:val="both"/>
        <w:rPr>
          <w:rFonts w:cstheme="minorHAnsi"/>
          <w:b/>
        </w:rPr>
      </w:pPr>
    </w:p>
    <w:p w:rsidR="008B746C" w:rsidRDefault="008B746C" w:rsidP="008B746C">
      <w:pPr>
        <w:spacing w:after="0" w:line="20" w:lineRule="atLeast"/>
        <w:jc w:val="both"/>
        <w:rPr>
          <w:rFonts w:cstheme="minorHAnsi"/>
        </w:rPr>
      </w:pPr>
      <w:r w:rsidRPr="00AA7CB0">
        <w:rPr>
          <w:rFonts w:cstheme="minorHAnsi"/>
          <w:b/>
        </w:rPr>
        <w:t>DGR  12 luglio 2019, n.447</w:t>
      </w:r>
      <w:r>
        <w:rPr>
          <w:rFonts w:cstheme="minorHAnsi"/>
        </w:rPr>
        <w:t xml:space="preserve">, </w:t>
      </w:r>
      <w:r w:rsidRPr="00E46EF1">
        <w:rPr>
          <w:rFonts w:cstheme="minorHAnsi"/>
        </w:rPr>
        <w:t>L.R. n.13/2016 NORME PER L'ACCOGLIENZA, LA TUTELA E L'INTEGRAZIONE DEI CITTADINI MIGRANTI E DEI RIFUGIATI - Art. 5 co.2 Costituzione" Coordinamento per le politiche dell'immigrazione". Modifica composizione</w:t>
      </w:r>
      <w:r>
        <w:rPr>
          <w:rFonts w:cstheme="minorHAnsi"/>
        </w:rPr>
        <w:t>. (BUR n. 26 del 1.8.19)</w:t>
      </w:r>
    </w:p>
    <w:p w:rsidR="008B746C" w:rsidRDefault="008B746C" w:rsidP="008B746C">
      <w:pPr>
        <w:spacing w:after="0" w:line="20" w:lineRule="atLeast"/>
        <w:jc w:val="both"/>
        <w:rPr>
          <w:rFonts w:cstheme="minorHAnsi"/>
        </w:rPr>
      </w:pPr>
    </w:p>
    <w:p w:rsidR="008B746C" w:rsidRPr="009E6C20"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EFEFE"/>
        <w:spacing w:after="0" w:line="20" w:lineRule="atLeast"/>
        <w:jc w:val="center"/>
        <w:outlineLvl w:val="1"/>
        <w:rPr>
          <w:rFonts w:eastAsia="Times New Roman" w:cstheme="minorHAnsi"/>
          <w:b/>
          <w:bCs/>
          <w:kern w:val="36"/>
        </w:rPr>
      </w:pPr>
      <w:r w:rsidRPr="009E6C20">
        <w:rPr>
          <w:rFonts w:eastAsia="Times New Roman" w:cstheme="minorHAnsi"/>
          <w:b/>
          <w:bCs/>
          <w:kern w:val="36"/>
        </w:rPr>
        <w:t>PARI OPPORTUNITÀ</w:t>
      </w:r>
    </w:p>
    <w:p w:rsidR="008B746C" w:rsidRDefault="008B746C" w:rsidP="008B746C">
      <w:pPr>
        <w:shd w:val="clear" w:color="auto" w:fill="FEFEFE"/>
        <w:spacing w:after="0" w:line="20" w:lineRule="atLeast"/>
        <w:jc w:val="both"/>
        <w:outlineLvl w:val="1"/>
        <w:rPr>
          <w:rFonts w:ascii="Corbel" w:eastAsia="Times New Roman" w:hAnsi="Corbel" w:cs="Times New Roman"/>
          <w:b/>
          <w:bCs/>
          <w:kern w:val="36"/>
          <w:sz w:val="28"/>
          <w:szCs w:val="28"/>
        </w:rPr>
      </w:pPr>
    </w:p>
    <w:p w:rsidR="008B746C" w:rsidRPr="00C95517" w:rsidRDefault="008B746C" w:rsidP="008B746C">
      <w:pPr>
        <w:shd w:val="clear" w:color="auto" w:fill="FEFEFE"/>
        <w:spacing w:after="0" w:line="20" w:lineRule="atLeast"/>
        <w:jc w:val="both"/>
        <w:outlineLvl w:val="1"/>
      </w:pPr>
      <w:r w:rsidRPr="00C95517">
        <w:rPr>
          <w:b/>
        </w:rPr>
        <w:t>DGR  28 giugno 2019, n.</w:t>
      </w:r>
      <w:proofErr w:type="gramStart"/>
      <w:r w:rsidRPr="00C95517">
        <w:rPr>
          <w:b/>
        </w:rPr>
        <w:t>401</w:t>
      </w:r>
      <w:r w:rsidRPr="00C95517">
        <w:t>,  P.O.</w:t>
      </w:r>
      <w:proofErr w:type="gramEnd"/>
      <w:r w:rsidRPr="00C95517">
        <w:t xml:space="preserve"> Basilicata FSE 2014-2020. Asse I - Obiettivo Specifico 8.2 - "Aumentare l'occupazione femminile". Approvazione Avviso Pubblico "Valore donna 2020 - voucher per la conciliazione". (BUR n. 28 del 16.8.19)</w:t>
      </w:r>
    </w:p>
    <w:p w:rsidR="008B746C" w:rsidRDefault="008B746C" w:rsidP="008B746C">
      <w:pPr>
        <w:spacing w:after="0" w:line="20" w:lineRule="atLeast"/>
        <w:jc w:val="both"/>
        <w:rPr>
          <w:rFonts w:cstheme="minorHAnsi"/>
        </w:rPr>
      </w:pPr>
    </w:p>
    <w:p w:rsidR="008B746C" w:rsidRPr="00CC74BF"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CC74BF">
        <w:rPr>
          <w:rFonts w:cstheme="minorHAnsi"/>
          <w:b/>
        </w:rPr>
        <w:t>PERSONE CON DISABILITÀ</w:t>
      </w:r>
    </w:p>
    <w:p w:rsidR="008B746C" w:rsidRDefault="008B746C" w:rsidP="008B746C">
      <w:pPr>
        <w:spacing w:after="0" w:line="20" w:lineRule="atLeast"/>
        <w:jc w:val="both"/>
        <w:rPr>
          <w:rFonts w:cstheme="minorHAnsi"/>
        </w:rPr>
      </w:pPr>
    </w:p>
    <w:p w:rsidR="008B746C" w:rsidRDefault="008B746C" w:rsidP="008B746C">
      <w:pPr>
        <w:spacing w:after="0" w:line="20" w:lineRule="atLeast"/>
        <w:jc w:val="both"/>
        <w:rPr>
          <w:rFonts w:cstheme="minorHAnsi"/>
        </w:rPr>
      </w:pPr>
      <w:r w:rsidRPr="00CC74BF">
        <w:rPr>
          <w:rFonts w:cstheme="minorHAnsi"/>
          <w:b/>
        </w:rPr>
        <w:t>DGR  23 luglio 2019, n.474</w:t>
      </w:r>
      <w:r>
        <w:rPr>
          <w:rFonts w:cstheme="minorHAnsi"/>
        </w:rPr>
        <w:t xml:space="preserve">, </w:t>
      </w:r>
      <w:r w:rsidRPr="00E46EF1">
        <w:rPr>
          <w:rFonts w:cstheme="minorHAnsi"/>
        </w:rPr>
        <w:t xml:space="preserve">D.C.R. n. 588 del 28/09/2009. Contributo al Comune di Venosa per la prosecuzione di un progetto sperimentale "Dopo di noi" - Annualità 2019. </w:t>
      </w:r>
      <w:proofErr w:type="gramStart"/>
      <w:r w:rsidRPr="00E46EF1">
        <w:rPr>
          <w:rFonts w:cstheme="minorHAnsi"/>
        </w:rPr>
        <w:t>Deliberazione  23</w:t>
      </w:r>
      <w:proofErr w:type="gramEnd"/>
      <w:r w:rsidRPr="00E46EF1">
        <w:rPr>
          <w:rFonts w:cstheme="minorHAnsi"/>
        </w:rPr>
        <w:t xml:space="preserve"> luglio 2019, n.474</w:t>
      </w:r>
      <w:r>
        <w:rPr>
          <w:rFonts w:cstheme="minorHAnsi"/>
        </w:rPr>
        <w:t>.</w:t>
      </w:r>
      <w:r w:rsidRPr="00BF1439">
        <w:rPr>
          <w:rFonts w:cstheme="minorHAnsi"/>
        </w:rPr>
        <w:t xml:space="preserve"> </w:t>
      </w:r>
      <w:r>
        <w:rPr>
          <w:rFonts w:cstheme="minorHAnsi"/>
        </w:rPr>
        <w:t>(BUR n. 26 del 1.8.19)</w:t>
      </w:r>
    </w:p>
    <w:p w:rsidR="008B746C" w:rsidRDefault="008B746C" w:rsidP="008B746C">
      <w:pPr>
        <w:spacing w:after="0" w:line="20" w:lineRule="atLeast"/>
        <w:jc w:val="both"/>
        <w:rPr>
          <w:rFonts w:cstheme="minorHAnsi"/>
        </w:rPr>
      </w:pPr>
    </w:p>
    <w:p w:rsidR="008B746C" w:rsidRDefault="008B746C" w:rsidP="008B746C">
      <w:pPr>
        <w:spacing w:after="0" w:line="20" w:lineRule="atLeast"/>
        <w:jc w:val="both"/>
        <w:rPr>
          <w:rFonts w:cstheme="minorHAnsi"/>
        </w:rPr>
      </w:pPr>
      <w:r w:rsidRPr="00CC74BF">
        <w:rPr>
          <w:rFonts w:cstheme="minorHAnsi"/>
          <w:b/>
        </w:rPr>
        <w:t>DGR  23 luglio 2019, n.475</w:t>
      </w:r>
      <w:r>
        <w:rPr>
          <w:rFonts w:cstheme="minorHAnsi"/>
        </w:rPr>
        <w:t xml:space="preserve">, </w:t>
      </w:r>
      <w:r w:rsidRPr="00E46EF1">
        <w:rPr>
          <w:rFonts w:cstheme="minorHAnsi"/>
        </w:rPr>
        <w:t>Fondo per la non autosufficienza - Contributo per il funzionamento della "Casa famiglia per disabili gravi Dopo di noi", proposta e cofinanziata dal Comune di Lauria - Annualità 2018-2019.</w:t>
      </w:r>
    </w:p>
    <w:p w:rsidR="008B746C" w:rsidRDefault="008B746C" w:rsidP="008B746C">
      <w:pPr>
        <w:spacing w:after="0" w:line="20" w:lineRule="atLeast"/>
        <w:jc w:val="both"/>
        <w:rPr>
          <w:rFonts w:cstheme="minorHAnsi"/>
        </w:rPr>
      </w:pPr>
      <w:r>
        <w:rPr>
          <w:rFonts w:cstheme="minorHAnsi"/>
        </w:rPr>
        <w:t>(BUR n. 26 del 1.8.19)</w:t>
      </w:r>
    </w:p>
    <w:p w:rsidR="008B746C" w:rsidRDefault="008B746C" w:rsidP="008B746C">
      <w:pPr>
        <w:spacing w:after="0" w:line="20" w:lineRule="atLeast"/>
        <w:jc w:val="both"/>
        <w:rPr>
          <w:rFonts w:cstheme="minorHAnsi"/>
        </w:rPr>
      </w:pPr>
    </w:p>
    <w:p w:rsidR="008B746C" w:rsidRPr="00AF638C"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AF638C">
        <w:rPr>
          <w:rFonts w:cstheme="minorHAnsi"/>
          <w:b/>
        </w:rPr>
        <w:t>SANITÀ</w:t>
      </w:r>
    </w:p>
    <w:p w:rsidR="008B746C" w:rsidRPr="00E46EF1" w:rsidRDefault="008B746C" w:rsidP="008B746C">
      <w:pPr>
        <w:spacing w:after="0" w:line="20" w:lineRule="atLeast"/>
        <w:jc w:val="both"/>
        <w:rPr>
          <w:rFonts w:cstheme="minorHAnsi"/>
        </w:rPr>
      </w:pPr>
    </w:p>
    <w:p w:rsidR="008B746C" w:rsidRDefault="008B746C" w:rsidP="008B746C">
      <w:pPr>
        <w:spacing w:after="0" w:line="20" w:lineRule="atLeast"/>
        <w:jc w:val="both"/>
        <w:rPr>
          <w:rFonts w:cstheme="minorHAnsi"/>
        </w:rPr>
      </w:pPr>
      <w:r w:rsidRPr="00AF638C">
        <w:rPr>
          <w:rFonts w:cstheme="minorHAnsi"/>
          <w:b/>
        </w:rPr>
        <w:t>DGR  12 luglio 2019, n.455,</w:t>
      </w:r>
      <w:r>
        <w:rPr>
          <w:rFonts w:cstheme="minorHAnsi"/>
        </w:rPr>
        <w:t xml:space="preserve"> </w:t>
      </w:r>
      <w:r w:rsidRPr="00E46EF1">
        <w:rPr>
          <w:rFonts w:cstheme="minorHAnsi"/>
        </w:rPr>
        <w:t>LR n.17/2011 e smi - art. 10 "Misure di contenimento della spesa del personale del S.S.R. - attività aggiuntive</w:t>
      </w:r>
      <w:proofErr w:type="gramStart"/>
      <w:r w:rsidRPr="00E46EF1">
        <w:rPr>
          <w:rFonts w:cstheme="minorHAnsi"/>
        </w:rPr>
        <w:t>".-</w:t>
      </w:r>
      <w:proofErr w:type="gramEnd"/>
      <w:r w:rsidRPr="00E46EF1">
        <w:rPr>
          <w:rFonts w:cstheme="minorHAnsi"/>
        </w:rPr>
        <w:t xml:space="preserve"> Approvazione progetto Azienda Sanitaria Locale di Matera ASM - Anno 2019.</w:t>
      </w:r>
      <w:r w:rsidRPr="00685DBC">
        <w:rPr>
          <w:rFonts w:cstheme="minorHAnsi"/>
        </w:rPr>
        <w:t xml:space="preserve"> </w:t>
      </w:r>
      <w:r>
        <w:rPr>
          <w:rFonts w:cstheme="minorHAnsi"/>
        </w:rPr>
        <w:t>(BUR n. 26 del 1.8.19)</w:t>
      </w:r>
    </w:p>
    <w:p w:rsidR="008B746C" w:rsidRDefault="008B746C" w:rsidP="008B746C">
      <w:pPr>
        <w:spacing w:after="0" w:line="20" w:lineRule="atLeast"/>
        <w:jc w:val="both"/>
        <w:rPr>
          <w:rFonts w:cstheme="minorHAnsi"/>
        </w:rPr>
      </w:pPr>
    </w:p>
    <w:p w:rsidR="008B746C" w:rsidRDefault="008B746C" w:rsidP="008B746C">
      <w:pPr>
        <w:spacing w:after="0" w:line="20" w:lineRule="atLeast"/>
        <w:jc w:val="both"/>
        <w:rPr>
          <w:rFonts w:cstheme="minorHAnsi"/>
        </w:rPr>
      </w:pPr>
      <w:r w:rsidRPr="00AF638C">
        <w:rPr>
          <w:rFonts w:cstheme="minorHAnsi"/>
          <w:b/>
        </w:rPr>
        <w:t>DGR  12 luglio 2019, n. 456</w:t>
      </w:r>
      <w:r>
        <w:rPr>
          <w:rFonts w:cstheme="minorHAnsi"/>
        </w:rPr>
        <w:t xml:space="preserve">, </w:t>
      </w:r>
      <w:r w:rsidRPr="00E46EF1">
        <w:rPr>
          <w:rFonts w:cstheme="minorHAnsi"/>
        </w:rPr>
        <w:t>Progetto dal titolo "Percorso screening e diagnostica prenatale" - Implementazione del test di screening NIPS "Non invasive Prenatal Screening"- "screening prenatale non invasivo T21, T13 e T18" per la tutela della maternità responsabile" Approvazione.</w:t>
      </w:r>
      <w:r>
        <w:rPr>
          <w:rFonts w:cstheme="minorHAnsi"/>
        </w:rPr>
        <w:t xml:space="preserve"> (BUR n. 26 del 1.8.19)</w:t>
      </w:r>
    </w:p>
    <w:p w:rsidR="008B746C" w:rsidRDefault="008B746C" w:rsidP="008B746C">
      <w:pPr>
        <w:spacing w:after="0" w:line="20" w:lineRule="atLeast"/>
        <w:jc w:val="both"/>
        <w:rPr>
          <w:rFonts w:cstheme="minorHAnsi"/>
        </w:rPr>
      </w:pPr>
    </w:p>
    <w:p w:rsidR="008B746C" w:rsidRDefault="008B746C" w:rsidP="008B746C">
      <w:pPr>
        <w:spacing w:after="0" w:line="20" w:lineRule="atLeast"/>
        <w:jc w:val="both"/>
        <w:rPr>
          <w:rFonts w:cstheme="minorHAnsi"/>
        </w:rPr>
      </w:pPr>
      <w:r w:rsidRPr="00CC74BF">
        <w:rPr>
          <w:rFonts w:cstheme="minorHAnsi"/>
          <w:b/>
        </w:rPr>
        <w:t>DGR   23 luglio 2019, n.487</w:t>
      </w:r>
      <w:r>
        <w:rPr>
          <w:rFonts w:cstheme="minorHAnsi"/>
        </w:rPr>
        <w:t xml:space="preserve">, </w:t>
      </w:r>
      <w:r w:rsidRPr="00E46EF1">
        <w:rPr>
          <w:rFonts w:cstheme="minorHAnsi"/>
        </w:rPr>
        <w:t>Recepimento dell'Accordo, ai sensi dell'articolo 4, comma 1 del decreto legislativo 28 agosto 1997, n. 281, tra il Governo, le Regioni e le Province autonome di Trento e Bolzano sul documento concernente "Indirizzi di "policy" integrate per la Scuola che Promuove Salute" (Rep. Atti n. 2/CSR del 17 gennaio 2019) e del relativo Protocollo d'Intesa tra il Ministero della Istruzione, dell'Università e della Ricerca e il Ministero della Salute "Tutela del diritto alla salute, allo studio e all'inclusione" sottoscritto il 20 febbraio</w:t>
      </w:r>
      <w:r>
        <w:rPr>
          <w:rFonts w:cstheme="minorHAnsi"/>
        </w:rPr>
        <w:t>. (BUR n. 25 del 1.8.19)</w:t>
      </w:r>
    </w:p>
    <w:p w:rsidR="008B746C" w:rsidRDefault="008B746C" w:rsidP="008B746C">
      <w:pPr>
        <w:spacing w:after="0" w:line="20" w:lineRule="atLeast"/>
        <w:jc w:val="both"/>
        <w:rPr>
          <w:rFonts w:cstheme="minorHAnsi"/>
        </w:rPr>
      </w:pPr>
    </w:p>
    <w:p w:rsidR="008B746C" w:rsidRPr="00631D07" w:rsidRDefault="008B746C" w:rsidP="008B746C">
      <w:pPr>
        <w:shd w:val="clear" w:color="auto" w:fill="FEFEFE"/>
        <w:spacing w:after="0" w:line="20" w:lineRule="atLeast"/>
        <w:jc w:val="both"/>
        <w:outlineLvl w:val="1"/>
      </w:pPr>
      <w:r w:rsidRPr="00631D07">
        <w:rPr>
          <w:b/>
        </w:rPr>
        <w:t>DGR 7 agosto 2019, n.570</w:t>
      </w:r>
      <w:r w:rsidRPr="00631D07">
        <w:t>, Approvazione del Piano Attuativo Regionale per il governo delle liste di attesa per il triennio 2019-2021 (PRGLA 2019-2021). (BUR n. 28 del 16.8.19)</w:t>
      </w:r>
    </w:p>
    <w:p w:rsidR="008B746C" w:rsidRDefault="008B746C" w:rsidP="008B746C">
      <w:pPr>
        <w:spacing w:after="0" w:line="20" w:lineRule="atLeast"/>
        <w:jc w:val="both"/>
        <w:rPr>
          <w:rFonts w:cstheme="minorHAnsi"/>
        </w:rPr>
      </w:pPr>
    </w:p>
    <w:p w:rsidR="008B746C"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Pr>
          <w:rFonts w:cstheme="minorHAnsi"/>
          <w:b/>
        </w:rPr>
        <w:t>TUTELA DEI DIRITTI</w:t>
      </w:r>
    </w:p>
    <w:p w:rsidR="008B746C" w:rsidRDefault="008B746C" w:rsidP="008B746C">
      <w:pPr>
        <w:spacing w:after="0" w:line="20" w:lineRule="atLeast"/>
        <w:jc w:val="both"/>
        <w:rPr>
          <w:rFonts w:cstheme="minorHAnsi"/>
          <w:b/>
        </w:rPr>
      </w:pPr>
    </w:p>
    <w:p w:rsidR="008B746C" w:rsidRDefault="008B746C" w:rsidP="008B746C">
      <w:pPr>
        <w:spacing w:after="0" w:line="20" w:lineRule="atLeast"/>
        <w:jc w:val="both"/>
        <w:rPr>
          <w:rFonts w:cstheme="minorHAnsi"/>
        </w:rPr>
      </w:pPr>
      <w:r w:rsidRPr="00CC74BF">
        <w:rPr>
          <w:rFonts w:cstheme="minorHAnsi"/>
          <w:b/>
        </w:rPr>
        <w:t>DGR 23 luglio 2019, n.488</w:t>
      </w:r>
      <w:r>
        <w:rPr>
          <w:rFonts w:cstheme="minorHAnsi"/>
        </w:rPr>
        <w:t xml:space="preserve">, </w:t>
      </w:r>
      <w:r w:rsidRPr="00E46EF1">
        <w:rPr>
          <w:rFonts w:cstheme="minorHAnsi"/>
        </w:rPr>
        <w:t>DGR N.637/2016 - DGR N.427/2018 - modalità di accesso per le annualità 2018/2019 al fondo di cui alla legge 119/2013 "prevenzione e contrasto violenza di genere</w:t>
      </w:r>
      <w:r>
        <w:rPr>
          <w:rFonts w:cstheme="minorHAnsi"/>
        </w:rPr>
        <w:t>. (BUR n. 26 del 1.8.19)</w:t>
      </w:r>
    </w:p>
    <w:p w:rsidR="008B746C" w:rsidRDefault="008B746C" w:rsidP="008B746C">
      <w:pPr>
        <w:spacing w:after="0" w:line="20" w:lineRule="atLeast"/>
        <w:jc w:val="both"/>
        <w:rPr>
          <w:rFonts w:cstheme="minorHAnsi"/>
        </w:rPr>
      </w:pPr>
    </w:p>
    <w:p w:rsidR="008B746C" w:rsidRDefault="008B746C" w:rsidP="008B746C">
      <w:pPr>
        <w:spacing w:after="0" w:line="20" w:lineRule="atLeast"/>
        <w:ind w:left="360"/>
        <w:jc w:val="center"/>
        <w:rPr>
          <w:rFonts w:ascii="Broadway" w:hAnsi="Broadway" w:cstheme="majorHAnsi"/>
          <w:b/>
          <w:sz w:val="40"/>
          <w:szCs w:val="40"/>
        </w:rPr>
      </w:pPr>
      <w:r>
        <w:rPr>
          <w:rFonts w:ascii="Broadway" w:hAnsi="Broadway" w:cstheme="majorHAnsi"/>
          <w:b/>
          <w:sz w:val="40"/>
          <w:szCs w:val="40"/>
        </w:rPr>
        <w:t>CA</w:t>
      </w:r>
      <w:r w:rsidRPr="008B2D00">
        <w:rPr>
          <w:rFonts w:ascii="Broadway" w:hAnsi="Broadway" w:cstheme="majorHAnsi"/>
          <w:b/>
          <w:sz w:val="40"/>
          <w:szCs w:val="40"/>
        </w:rPr>
        <w:t>M</w:t>
      </w:r>
      <w:r>
        <w:rPr>
          <w:rFonts w:ascii="Broadway" w:hAnsi="Broadway" w:cstheme="majorHAnsi"/>
          <w:b/>
          <w:sz w:val="40"/>
          <w:szCs w:val="40"/>
        </w:rPr>
        <w:t>P</w:t>
      </w:r>
      <w:r w:rsidRPr="008B2D00">
        <w:rPr>
          <w:rFonts w:ascii="Broadway" w:hAnsi="Broadway" w:cstheme="majorHAnsi"/>
          <w:b/>
          <w:sz w:val="40"/>
          <w:szCs w:val="40"/>
        </w:rPr>
        <w:t>A</w:t>
      </w:r>
      <w:r>
        <w:rPr>
          <w:rFonts w:ascii="Broadway" w:hAnsi="Broadway" w:cstheme="majorHAnsi"/>
          <w:b/>
          <w:sz w:val="40"/>
          <w:szCs w:val="40"/>
        </w:rPr>
        <w:t>NI</w:t>
      </w:r>
      <w:r w:rsidRPr="008B2D00">
        <w:rPr>
          <w:rFonts w:ascii="Broadway" w:hAnsi="Broadway" w:cstheme="majorHAnsi"/>
          <w:b/>
          <w:sz w:val="40"/>
          <w:szCs w:val="40"/>
        </w:rPr>
        <w:t>A</w:t>
      </w:r>
    </w:p>
    <w:p w:rsidR="008B746C" w:rsidRDefault="008B746C" w:rsidP="008B746C">
      <w:pPr>
        <w:spacing w:after="0" w:line="20" w:lineRule="atLeast"/>
        <w:ind w:left="360"/>
        <w:jc w:val="center"/>
        <w:rPr>
          <w:rFonts w:ascii="Broadway" w:hAnsi="Broadway" w:cstheme="majorHAnsi"/>
          <w:b/>
          <w:sz w:val="40"/>
          <w:szCs w:val="40"/>
        </w:rPr>
      </w:pPr>
    </w:p>
    <w:p w:rsidR="008B746C" w:rsidRPr="00594A0C"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594A0C">
        <w:rPr>
          <w:rFonts w:cstheme="minorHAnsi"/>
          <w:b/>
        </w:rPr>
        <w:t>PERSONE CON DISABILTÀ</w:t>
      </w:r>
    </w:p>
    <w:p w:rsidR="008B746C" w:rsidRDefault="008B746C" w:rsidP="008B746C">
      <w:pPr>
        <w:spacing w:after="0" w:line="20" w:lineRule="atLeast"/>
        <w:jc w:val="both"/>
        <w:rPr>
          <w:rFonts w:cstheme="minorHAnsi"/>
        </w:rPr>
      </w:pPr>
    </w:p>
    <w:p w:rsidR="008B746C" w:rsidRDefault="008B746C" w:rsidP="008B746C">
      <w:pPr>
        <w:shd w:val="clear" w:color="auto" w:fill="FEFEFE"/>
        <w:spacing w:after="0" w:line="20" w:lineRule="atLeast"/>
        <w:jc w:val="both"/>
        <w:outlineLvl w:val="1"/>
        <w:rPr>
          <w:rFonts w:cstheme="minorHAnsi"/>
        </w:rPr>
      </w:pPr>
      <w:r w:rsidRPr="00594A0C">
        <w:rPr>
          <w:rFonts w:cstheme="minorHAnsi"/>
          <w:b/>
          <w:bCs/>
        </w:rPr>
        <w:t xml:space="preserve">DGR  30 luglio 2019, n. 359, </w:t>
      </w:r>
      <w:r w:rsidRPr="00594A0C">
        <w:rPr>
          <w:rFonts w:cstheme="minorHAnsi"/>
        </w:rPr>
        <w:t xml:space="preserve">Adozione delle Schede Progettuali di cui alla L. 22 Giugno 2016, n. 112- Disposizioni In </w:t>
      </w:r>
      <w:r>
        <w:rPr>
          <w:rFonts w:cstheme="minorHAnsi"/>
        </w:rPr>
        <w:t>m</w:t>
      </w:r>
      <w:r w:rsidRPr="00594A0C">
        <w:rPr>
          <w:rFonts w:cstheme="minorHAnsi"/>
        </w:rPr>
        <w:t xml:space="preserve">ateria </w:t>
      </w:r>
      <w:r>
        <w:rPr>
          <w:rFonts w:cstheme="minorHAnsi"/>
        </w:rPr>
        <w:t>d</w:t>
      </w:r>
      <w:r w:rsidRPr="00594A0C">
        <w:rPr>
          <w:rFonts w:cstheme="minorHAnsi"/>
        </w:rPr>
        <w:t xml:space="preserve">i </w:t>
      </w:r>
      <w:r>
        <w:rPr>
          <w:rFonts w:cstheme="minorHAnsi"/>
        </w:rPr>
        <w:t>a</w:t>
      </w:r>
      <w:r w:rsidRPr="00594A0C">
        <w:rPr>
          <w:rFonts w:cstheme="minorHAnsi"/>
        </w:rPr>
        <w:t xml:space="preserve">ssistenza </w:t>
      </w:r>
      <w:r>
        <w:rPr>
          <w:rFonts w:cstheme="minorHAnsi"/>
        </w:rPr>
        <w:t>i</w:t>
      </w:r>
      <w:r w:rsidRPr="00594A0C">
        <w:rPr>
          <w:rFonts w:cstheme="minorHAnsi"/>
        </w:rPr>
        <w:t xml:space="preserve">n </w:t>
      </w:r>
      <w:r>
        <w:rPr>
          <w:rFonts w:cstheme="minorHAnsi"/>
        </w:rPr>
        <w:t>f</w:t>
      </w:r>
      <w:r w:rsidRPr="00594A0C">
        <w:rPr>
          <w:rFonts w:cstheme="minorHAnsi"/>
        </w:rPr>
        <w:t xml:space="preserve">avore </w:t>
      </w:r>
      <w:r>
        <w:rPr>
          <w:rFonts w:cstheme="minorHAnsi"/>
        </w:rPr>
        <w:t>d</w:t>
      </w:r>
      <w:r w:rsidRPr="00594A0C">
        <w:rPr>
          <w:rFonts w:cstheme="minorHAnsi"/>
        </w:rPr>
        <w:t xml:space="preserve">elle </w:t>
      </w:r>
      <w:r>
        <w:rPr>
          <w:rFonts w:cstheme="minorHAnsi"/>
        </w:rPr>
        <w:t>p</w:t>
      </w:r>
      <w:r w:rsidRPr="00594A0C">
        <w:rPr>
          <w:rFonts w:cstheme="minorHAnsi"/>
        </w:rPr>
        <w:t xml:space="preserve">ersone </w:t>
      </w:r>
      <w:r>
        <w:rPr>
          <w:rFonts w:cstheme="minorHAnsi"/>
        </w:rPr>
        <w:t>c</w:t>
      </w:r>
      <w:r w:rsidRPr="00594A0C">
        <w:rPr>
          <w:rFonts w:cstheme="minorHAnsi"/>
        </w:rPr>
        <w:t xml:space="preserve">on </w:t>
      </w:r>
      <w:r>
        <w:rPr>
          <w:rFonts w:cstheme="minorHAnsi"/>
        </w:rPr>
        <w:t>d</w:t>
      </w:r>
      <w:r w:rsidRPr="00594A0C">
        <w:rPr>
          <w:rFonts w:cstheme="minorHAnsi"/>
        </w:rPr>
        <w:t>isabilit</w:t>
      </w:r>
      <w:r>
        <w:rPr>
          <w:rFonts w:cstheme="minorHAnsi"/>
        </w:rPr>
        <w:t>à g</w:t>
      </w:r>
      <w:r w:rsidRPr="00594A0C">
        <w:rPr>
          <w:rFonts w:cstheme="minorHAnsi"/>
        </w:rPr>
        <w:t xml:space="preserve">rave </w:t>
      </w:r>
      <w:r>
        <w:rPr>
          <w:rFonts w:cstheme="minorHAnsi"/>
        </w:rPr>
        <w:t>p</w:t>
      </w:r>
      <w:r w:rsidRPr="00594A0C">
        <w:rPr>
          <w:rFonts w:cstheme="minorHAnsi"/>
        </w:rPr>
        <w:t xml:space="preserve">rive </w:t>
      </w:r>
      <w:r>
        <w:rPr>
          <w:rFonts w:cstheme="minorHAnsi"/>
        </w:rPr>
        <w:t>d</w:t>
      </w:r>
      <w:r w:rsidRPr="00594A0C">
        <w:rPr>
          <w:rFonts w:cstheme="minorHAnsi"/>
        </w:rPr>
        <w:t>el</w:t>
      </w:r>
      <w:r>
        <w:rPr>
          <w:rFonts w:cstheme="minorHAnsi"/>
        </w:rPr>
        <w:t xml:space="preserve"> s</w:t>
      </w:r>
      <w:r w:rsidRPr="00594A0C">
        <w:rPr>
          <w:rFonts w:cstheme="minorHAnsi"/>
        </w:rPr>
        <w:t xml:space="preserve">ostegno </w:t>
      </w:r>
      <w:r>
        <w:rPr>
          <w:rFonts w:cstheme="minorHAnsi"/>
        </w:rPr>
        <w:t>f</w:t>
      </w:r>
      <w:r w:rsidRPr="00594A0C">
        <w:rPr>
          <w:rFonts w:cstheme="minorHAnsi"/>
        </w:rPr>
        <w:t xml:space="preserve">amiliare Anno </w:t>
      </w:r>
      <w:proofErr w:type="gramStart"/>
      <w:r w:rsidRPr="00594A0C">
        <w:rPr>
          <w:rFonts w:cstheme="minorHAnsi"/>
        </w:rPr>
        <w:t>2018  (</w:t>
      </w:r>
      <w:proofErr w:type="gramEnd"/>
      <w:r w:rsidRPr="00594A0C">
        <w:rPr>
          <w:rFonts w:cstheme="minorHAnsi"/>
        </w:rPr>
        <w:t>BUR</w:t>
      </w:r>
      <w:r>
        <w:rPr>
          <w:rFonts w:cstheme="minorHAnsi"/>
        </w:rPr>
        <w:t xml:space="preserve"> </w:t>
      </w:r>
      <w:r w:rsidRPr="00594A0C">
        <w:rPr>
          <w:rFonts w:cstheme="minorHAnsi"/>
        </w:rPr>
        <w:t>n. 49 del 12.8.19)</w:t>
      </w:r>
    </w:p>
    <w:p w:rsidR="008B746C" w:rsidRDefault="008B746C" w:rsidP="008B746C">
      <w:pPr>
        <w:shd w:val="clear" w:color="auto" w:fill="FEFEFE"/>
        <w:spacing w:after="0" w:line="20" w:lineRule="atLeast"/>
        <w:jc w:val="both"/>
        <w:outlineLvl w:val="1"/>
        <w:rPr>
          <w:rFonts w:cstheme="minorHAnsi"/>
        </w:rPr>
      </w:pPr>
    </w:p>
    <w:p w:rsidR="008B746C" w:rsidRPr="009919A3"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EFEFE"/>
        <w:spacing w:after="0" w:line="20" w:lineRule="atLeast"/>
        <w:jc w:val="center"/>
        <w:outlineLvl w:val="1"/>
        <w:rPr>
          <w:rFonts w:cstheme="minorHAnsi"/>
          <w:b/>
        </w:rPr>
      </w:pPr>
      <w:r w:rsidRPr="009919A3">
        <w:rPr>
          <w:rFonts w:cstheme="minorHAnsi"/>
          <w:b/>
        </w:rPr>
        <w:t>SANITÀ</w:t>
      </w:r>
    </w:p>
    <w:p w:rsidR="008B746C" w:rsidRDefault="008B746C" w:rsidP="008B746C">
      <w:pPr>
        <w:shd w:val="clear" w:color="auto" w:fill="FEFEFE"/>
        <w:spacing w:after="0" w:line="20" w:lineRule="atLeast"/>
        <w:jc w:val="both"/>
        <w:outlineLvl w:val="1"/>
        <w:rPr>
          <w:rFonts w:cstheme="minorHAnsi"/>
        </w:rPr>
      </w:pPr>
    </w:p>
    <w:p w:rsidR="008B746C" w:rsidRPr="006B0B81" w:rsidRDefault="008B746C" w:rsidP="008B746C">
      <w:pPr>
        <w:spacing w:after="0" w:line="20" w:lineRule="atLeast"/>
        <w:jc w:val="both"/>
        <w:rPr>
          <w:rFonts w:cstheme="minorHAnsi"/>
        </w:rPr>
      </w:pPr>
      <w:r w:rsidRPr="006B0B81">
        <w:rPr>
          <w:rFonts w:cstheme="minorHAnsi"/>
          <w:b/>
        </w:rPr>
        <w:t xml:space="preserve">DCA    4 </w:t>
      </w:r>
      <w:proofErr w:type="gramStart"/>
      <w:r w:rsidRPr="006B0B81">
        <w:rPr>
          <w:rFonts w:cstheme="minorHAnsi"/>
          <w:b/>
        </w:rPr>
        <w:t>luglio  2019</w:t>
      </w:r>
      <w:proofErr w:type="gramEnd"/>
      <w:r w:rsidRPr="006B0B81">
        <w:rPr>
          <w:rFonts w:cstheme="minorHAnsi"/>
          <w:b/>
        </w:rPr>
        <w:t xml:space="preserve">, n.  </w:t>
      </w:r>
      <w:proofErr w:type="gramStart"/>
      <w:r w:rsidRPr="006B0B81">
        <w:rPr>
          <w:rFonts w:cstheme="minorHAnsi"/>
          <w:b/>
        </w:rPr>
        <w:t xml:space="preserve">57, </w:t>
      </w:r>
      <w:r w:rsidRPr="006B0B81">
        <w:rPr>
          <w:rFonts w:cstheme="minorHAnsi"/>
        </w:rPr>
        <w:t xml:space="preserve"> Ripartizione</w:t>
      </w:r>
      <w:proofErr w:type="gramEnd"/>
      <w:r w:rsidRPr="006B0B81">
        <w:rPr>
          <w:rFonts w:cstheme="minorHAnsi"/>
        </w:rPr>
        <w:t xml:space="preserve"> del finanziamento statale della spesa sanitaria regionale corrente per l’esercizio 2018 ed Indicazioni operative aventi ad oggetto la redazione del Bilancio consuntivo al 31 dicembre 2018 – Approvazione. (BUR n. 44 del 1.8.19)</w:t>
      </w:r>
    </w:p>
    <w:p w:rsidR="008B746C" w:rsidRDefault="008B746C" w:rsidP="008B746C">
      <w:pPr>
        <w:shd w:val="clear" w:color="auto" w:fill="FEFEFE"/>
        <w:spacing w:after="0" w:line="20" w:lineRule="atLeast"/>
        <w:jc w:val="both"/>
        <w:outlineLvl w:val="1"/>
        <w:rPr>
          <w:rFonts w:cstheme="minorHAnsi"/>
        </w:rPr>
      </w:pPr>
    </w:p>
    <w:p w:rsidR="008B746C" w:rsidRDefault="008B746C" w:rsidP="008B746C">
      <w:pPr>
        <w:spacing w:after="0" w:line="20" w:lineRule="atLeast"/>
        <w:jc w:val="both"/>
        <w:rPr>
          <w:rFonts w:cstheme="minorHAnsi"/>
        </w:rPr>
      </w:pPr>
    </w:p>
    <w:p w:rsidR="008B746C" w:rsidRDefault="008B746C" w:rsidP="008B746C">
      <w:pPr>
        <w:spacing w:after="0" w:line="20" w:lineRule="atLeast"/>
        <w:ind w:left="360"/>
        <w:jc w:val="center"/>
        <w:rPr>
          <w:rFonts w:ascii="Broadway" w:hAnsi="Broadway" w:cstheme="majorHAnsi"/>
          <w:b/>
          <w:sz w:val="40"/>
          <w:szCs w:val="40"/>
        </w:rPr>
      </w:pPr>
      <w:proofErr w:type="gramStart"/>
      <w:r>
        <w:rPr>
          <w:rFonts w:ascii="Broadway" w:hAnsi="Broadway" w:cstheme="majorHAnsi"/>
          <w:b/>
          <w:sz w:val="40"/>
          <w:szCs w:val="40"/>
        </w:rPr>
        <w:t>E</w:t>
      </w:r>
      <w:r w:rsidRPr="008B2D00">
        <w:rPr>
          <w:rFonts w:ascii="Broadway" w:hAnsi="Broadway" w:cstheme="majorHAnsi"/>
          <w:b/>
          <w:sz w:val="40"/>
          <w:szCs w:val="40"/>
        </w:rPr>
        <w:t>MILIA  ROMAGNA</w:t>
      </w:r>
      <w:proofErr w:type="gramEnd"/>
    </w:p>
    <w:p w:rsidR="008B746C" w:rsidRDefault="008B746C" w:rsidP="008B746C">
      <w:pPr>
        <w:spacing w:after="0" w:line="20" w:lineRule="atLeast"/>
        <w:jc w:val="both"/>
        <w:rPr>
          <w:rFonts w:eastAsia="Times New Roman" w:cstheme="minorHAnsi"/>
          <w:b/>
          <w:color w:val="515151"/>
          <w:lang w:eastAsia="it-IT"/>
        </w:rPr>
      </w:pPr>
    </w:p>
    <w:p w:rsidR="008B746C"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eastAsia="Times New Roman" w:cstheme="minorHAnsi"/>
          <w:b/>
          <w:color w:val="515151"/>
          <w:lang w:eastAsia="it-IT"/>
        </w:rPr>
      </w:pPr>
      <w:r>
        <w:rPr>
          <w:rFonts w:eastAsia="Times New Roman" w:cstheme="minorHAnsi"/>
          <w:b/>
          <w:color w:val="515151"/>
          <w:lang w:eastAsia="it-IT"/>
        </w:rPr>
        <w:t>GIOVANI</w:t>
      </w:r>
    </w:p>
    <w:p w:rsidR="008B746C" w:rsidRDefault="008B746C" w:rsidP="008B746C">
      <w:pPr>
        <w:spacing w:after="0" w:line="20" w:lineRule="atLeast"/>
        <w:jc w:val="both"/>
        <w:rPr>
          <w:rFonts w:eastAsia="Times New Roman" w:cstheme="minorHAnsi"/>
          <w:b/>
          <w:color w:val="515151"/>
          <w:lang w:eastAsia="it-IT"/>
        </w:rPr>
      </w:pPr>
    </w:p>
    <w:p w:rsidR="008B746C" w:rsidRDefault="008B746C" w:rsidP="008B746C">
      <w:pPr>
        <w:spacing w:after="0" w:line="20" w:lineRule="atLeast"/>
        <w:jc w:val="both"/>
        <w:rPr>
          <w:rFonts w:eastAsia="Times New Roman" w:cstheme="minorHAnsi"/>
          <w:bCs/>
          <w:color w:val="515151"/>
          <w:kern w:val="36"/>
          <w:lang w:eastAsia="it-IT"/>
        </w:rPr>
      </w:pPr>
      <w:r w:rsidRPr="00CC74BF">
        <w:rPr>
          <w:rFonts w:eastAsia="Times New Roman" w:cstheme="minorHAnsi"/>
          <w:b/>
          <w:color w:val="515151"/>
          <w:lang w:eastAsia="it-IT"/>
        </w:rPr>
        <w:t>DGR 22 luglio 2019, n. 1239</w:t>
      </w:r>
      <w:r>
        <w:rPr>
          <w:rFonts w:eastAsia="Times New Roman" w:cstheme="minorHAnsi"/>
          <w:color w:val="515151"/>
          <w:lang w:eastAsia="it-IT"/>
        </w:rPr>
        <w:t xml:space="preserve">, </w:t>
      </w:r>
      <w:r w:rsidRPr="00CC74BF">
        <w:rPr>
          <w:rFonts w:eastAsia="Times New Roman" w:cstheme="minorHAnsi"/>
          <w:bCs/>
          <w:color w:val="515151"/>
          <w:kern w:val="36"/>
          <w:lang w:eastAsia="it-IT"/>
        </w:rPr>
        <w:t>Approvazione della Proposta progettuale in materia di politiche giovanili per l'anno 2019 denominata "GECO 9", ai sensi del comma 2, art. 2 dell'Intesa, Rep. 14/CU, del 13/2/2019</w:t>
      </w:r>
      <w:r>
        <w:rPr>
          <w:rFonts w:eastAsia="Times New Roman" w:cstheme="minorHAnsi"/>
          <w:bCs/>
          <w:color w:val="515151"/>
          <w:kern w:val="36"/>
          <w:lang w:eastAsia="it-IT"/>
        </w:rPr>
        <w:t>. (</w:t>
      </w:r>
      <w:proofErr w:type="gramStart"/>
      <w:r>
        <w:rPr>
          <w:rFonts w:eastAsia="Times New Roman" w:cstheme="minorHAnsi"/>
          <w:bCs/>
          <w:color w:val="515151"/>
          <w:kern w:val="36"/>
          <w:lang w:eastAsia="it-IT"/>
        </w:rPr>
        <w:t>BUR  n.</w:t>
      </w:r>
      <w:proofErr w:type="gramEnd"/>
      <w:r>
        <w:rPr>
          <w:rFonts w:eastAsia="Times New Roman" w:cstheme="minorHAnsi"/>
          <w:bCs/>
          <w:color w:val="515151"/>
          <w:kern w:val="36"/>
          <w:lang w:eastAsia="it-IT"/>
        </w:rPr>
        <w:t xml:space="preserve"> 265 del 7.8.19)</w:t>
      </w:r>
    </w:p>
    <w:p w:rsidR="008B746C" w:rsidRDefault="008B746C" w:rsidP="008B746C">
      <w:pPr>
        <w:spacing w:after="0" w:line="20" w:lineRule="atLeast"/>
        <w:jc w:val="both"/>
        <w:rPr>
          <w:rFonts w:cstheme="minorHAnsi"/>
        </w:rPr>
      </w:pPr>
    </w:p>
    <w:p w:rsidR="008B746C"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eastAsia="Times New Roman" w:cstheme="minorHAnsi"/>
          <w:b/>
          <w:color w:val="515151"/>
          <w:lang w:eastAsia="it-IT"/>
        </w:rPr>
      </w:pPr>
      <w:r>
        <w:rPr>
          <w:rFonts w:eastAsia="Times New Roman" w:cstheme="minorHAnsi"/>
          <w:b/>
          <w:color w:val="515151"/>
          <w:lang w:eastAsia="it-IT"/>
        </w:rPr>
        <w:lastRenderedPageBreak/>
        <w:t>MINORI</w:t>
      </w:r>
    </w:p>
    <w:p w:rsidR="008B746C" w:rsidRDefault="008B746C" w:rsidP="008B746C">
      <w:pPr>
        <w:spacing w:after="0" w:line="20" w:lineRule="atLeast"/>
        <w:jc w:val="both"/>
        <w:rPr>
          <w:rFonts w:eastAsia="Times New Roman" w:cstheme="minorHAnsi"/>
          <w:b/>
          <w:color w:val="515151"/>
          <w:lang w:eastAsia="it-IT"/>
        </w:rPr>
      </w:pPr>
    </w:p>
    <w:p w:rsidR="008B746C" w:rsidRDefault="008B746C" w:rsidP="008B746C">
      <w:pPr>
        <w:spacing w:after="0" w:line="20" w:lineRule="atLeast"/>
        <w:jc w:val="both"/>
        <w:rPr>
          <w:rFonts w:eastAsia="Times New Roman" w:cstheme="minorHAnsi"/>
          <w:bCs/>
          <w:color w:val="515151"/>
          <w:kern w:val="36"/>
          <w:lang w:eastAsia="it-IT"/>
        </w:rPr>
      </w:pPr>
      <w:r w:rsidRPr="00CC74BF">
        <w:rPr>
          <w:rFonts w:eastAsia="Times New Roman" w:cstheme="minorHAnsi"/>
          <w:b/>
          <w:color w:val="515151"/>
          <w:lang w:eastAsia="it-IT"/>
        </w:rPr>
        <w:t>DAL  27 luglio 2019, n. 215</w:t>
      </w:r>
      <w:r>
        <w:rPr>
          <w:rFonts w:eastAsia="Times New Roman" w:cstheme="minorHAnsi"/>
          <w:color w:val="515151"/>
          <w:lang w:eastAsia="it-IT"/>
        </w:rPr>
        <w:t xml:space="preserve">, </w:t>
      </w:r>
      <w:r w:rsidRPr="00CC74BF">
        <w:rPr>
          <w:rFonts w:eastAsia="Times New Roman" w:cstheme="minorHAnsi"/>
          <w:bCs/>
          <w:color w:val="515151"/>
          <w:kern w:val="36"/>
          <w:lang w:eastAsia="it-IT"/>
        </w:rPr>
        <w:t>Istituzione, ai sensi dell'art. 60, comma 1, del Regolamento interno dell'Assemblea Legislativa e dell'art. 40, comma 1, dello Statuto della Regione Emilia-Romagna, di una commissione assembleare speciale d'inchiesta circa il sistema di tutela dei minori nella Regione Emilia-</w:t>
      </w:r>
      <w:proofErr w:type="gramStart"/>
      <w:r w:rsidRPr="00CC74BF">
        <w:rPr>
          <w:rFonts w:eastAsia="Times New Roman" w:cstheme="minorHAnsi"/>
          <w:bCs/>
          <w:color w:val="515151"/>
          <w:kern w:val="36"/>
          <w:lang w:eastAsia="it-IT"/>
        </w:rPr>
        <w:t>Romagna.(</w:t>
      </w:r>
      <w:proofErr w:type="gramEnd"/>
      <w:r w:rsidRPr="00CC74BF">
        <w:rPr>
          <w:rFonts w:eastAsia="Times New Roman" w:cstheme="minorHAnsi"/>
          <w:bCs/>
          <w:color w:val="515151"/>
          <w:kern w:val="36"/>
          <w:lang w:eastAsia="it-IT"/>
        </w:rPr>
        <w:t>Richiesta dei Consiglieri: Caliandro, Taruffi, Prodi, Calvano)</w:t>
      </w:r>
      <w:r>
        <w:rPr>
          <w:rFonts w:eastAsia="Times New Roman" w:cstheme="minorHAnsi"/>
          <w:bCs/>
          <w:color w:val="515151"/>
          <w:kern w:val="36"/>
          <w:lang w:eastAsia="it-IT"/>
        </w:rPr>
        <w:t>. (BUR n. 258 del 1.8.19)</w:t>
      </w:r>
    </w:p>
    <w:p w:rsidR="008B746C" w:rsidRDefault="008B746C" w:rsidP="008B746C">
      <w:pPr>
        <w:spacing w:after="0" w:line="20" w:lineRule="atLeast"/>
        <w:jc w:val="both"/>
        <w:rPr>
          <w:rFonts w:eastAsia="Times New Roman" w:cstheme="minorHAnsi"/>
          <w:bCs/>
          <w:color w:val="515151"/>
          <w:kern w:val="36"/>
          <w:lang w:eastAsia="it-IT"/>
        </w:rPr>
      </w:pPr>
    </w:p>
    <w:p w:rsidR="008B746C" w:rsidRPr="005F601C"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EFEFE"/>
        <w:spacing w:after="0" w:line="20" w:lineRule="atLeast"/>
        <w:jc w:val="center"/>
        <w:rPr>
          <w:rFonts w:eastAsia="Times New Roman" w:cstheme="minorHAnsi"/>
          <w:b/>
        </w:rPr>
      </w:pPr>
      <w:r w:rsidRPr="005F601C">
        <w:rPr>
          <w:rFonts w:eastAsia="Times New Roman" w:cstheme="minorHAnsi"/>
          <w:b/>
        </w:rPr>
        <w:t>PARI OPPORTUNITÀ</w:t>
      </w:r>
    </w:p>
    <w:p w:rsidR="008B746C" w:rsidRPr="00D77AA8" w:rsidRDefault="008B746C" w:rsidP="008B746C">
      <w:pPr>
        <w:shd w:val="clear" w:color="auto" w:fill="FEFEFE"/>
        <w:spacing w:after="0" w:line="20" w:lineRule="atLeast"/>
        <w:jc w:val="both"/>
        <w:rPr>
          <w:rFonts w:ascii="Corbel" w:eastAsia="Times New Roman" w:hAnsi="Corbel" w:cs="Times New Roman"/>
        </w:rPr>
      </w:pPr>
    </w:p>
    <w:p w:rsidR="008B746C" w:rsidRPr="00D77AA8" w:rsidRDefault="008B746C" w:rsidP="008B746C">
      <w:pPr>
        <w:shd w:val="clear" w:color="auto" w:fill="FEFEFE"/>
        <w:spacing w:after="0" w:line="20" w:lineRule="atLeast"/>
        <w:jc w:val="both"/>
        <w:rPr>
          <w:rFonts w:ascii="Corbel" w:eastAsia="Times New Roman" w:hAnsi="Corbel" w:cs="Times New Roman"/>
          <w:bCs/>
          <w:kern w:val="36"/>
        </w:rPr>
      </w:pPr>
      <w:r w:rsidRPr="00D77AA8">
        <w:rPr>
          <w:rFonts w:ascii="Corbel" w:eastAsia="Times New Roman" w:hAnsi="Corbel" w:cs="Times New Roman"/>
          <w:b/>
        </w:rPr>
        <w:t>DGR 22 luglio 2019, n. 1242</w:t>
      </w:r>
      <w:r w:rsidRPr="00D77AA8">
        <w:rPr>
          <w:rFonts w:ascii="Corbel" w:eastAsia="Times New Roman" w:hAnsi="Corbel" w:cs="Times New Roman"/>
        </w:rPr>
        <w:t xml:space="preserve">, </w:t>
      </w:r>
      <w:r w:rsidRPr="00D77AA8">
        <w:rPr>
          <w:rFonts w:ascii="Corbel" w:eastAsia="Times New Roman" w:hAnsi="Corbel" w:cs="Times New Roman"/>
          <w:bCs/>
          <w:kern w:val="36"/>
        </w:rPr>
        <w:t xml:space="preserve">Bando per la presentazione di progetti volti a sostenere la presenza paritaria delle donne nella vita economica del territorio, favorendo l'accesso al lavoro, i percorsi di carriera e la promozione di progetti di welfare aziendale finalizzati al work-life balance e al miglioramento della qualità della vita delle persone. (BUR n. </w:t>
      </w:r>
      <w:proofErr w:type="gramStart"/>
      <w:r w:rsidRPr="00D77AA8">
        <w:rPr>
          <w:rFonts w:ascii="Corbel" w:eastAsia="Times New Roman" w:hAnsi="Corbel" w:cs="Times New Roman"/>
          <w:bCs/>
          <w:kern w:val="36"/>
        </w:rPr>
        <w:t>265  del</w:t>
      </w:r>
      <w:proofErr w:type="gramEnd"/>
      <w:r w:rsidRPr="00D77AA8">
        <w:rPr>
          <w:rFonts w:ascii="Corbel" w:eastAsia="Times New Roman" w:hAnsi="Corbel" w:cs="Times New Roman"/>
          <w:bCs/>
          <w:kern w:val="36"/>
        </w:rPr>
        <w:t xml:space="preserve"> 7.8.19)</w:t>
      </w:r>
    </w:p>
    <w:p w:rsidR="008B746C" w:rsidRDefault="008B746C" w:rsidP="008B746C">
      <w:pPr>
        <w:spacing w:after="0" w:line="20" w:lineRule="atLeast"/>
        <w:jc w:val="both"/>
        <w:rPr>
          <w:rFonts w:eastAsia="Times New Roman" w:cstheme="minorHAnsi"/>
          <w:bCs/>
          <w:color w:val="515151"/>
          <w:kern w:val="36"/>
          <w:lang w:eastAsia="it-IT"/>
        </w:rPr>
      </w:pPr>
    </w:p>
    <w:p w:rsidR="008B746C" w:rsidRDefault="008B746C" w:rsidP="008B746C">
      <w:pPr>
        <w:pStyle w:val="metadata"/>
        <w:pBdr>
          <w:top w:val="single" w:sz="4" w:space="1" w:color="auto"/>
          <w:left w:val="single" w:sz="4" w:space="4" w:color="auto"/>
          <w:bottom w:val="single" w:sz="4" w:space="1" w:color="auto"/>
          <w:right w:val="single" w:sz="4" w:space="4" w:color="auto"/>
          <w:between w:val="single" w:sz="4" w:space="1" w:color="auto"/>
          <w:bar w:val="single" w:sz="4" w:color="auto"/>
        </w:pBdr>
        <w:spacing w:before="0" w:beforeAutospacing="0" w:after="0" w:afterAutospacing="0" w:line="20" w:lineRule="atLeast"/>
        <w:jc w:val="center"/>
        <w:rPr>
          <w:rFonts w:asciiTheme="minorHAnsi" w:hAnsiTheme="minorHAnsi" w:cstheme="minorHAnsi"/>
          <w:b/>
          <w:color w:val="515151"/>
          <w:sz w:val="22"/>
          <w:szCs w:val="22"/>
        </w:rPr>
      </w:pPr>
      <w:r>
        <w:rPr>
          <w:rFonts w:asciiTheme="minorHAnsi" w:hAnsiTheme="minorHAnsi" w:cstheme="minorHAnsi"/>
          <w:b/>
          <w:color w:val="515151"/>
          <w:sz w:val="22"/>
          <w:szCs w:val="22"/>
        </w:rPr>
        <w:t>POVERTÀ INCLUSIONE SOCIALE</w:t>
      </w:r>
    </w:p>
    <w:p w:rsidR="008B746C" w:rsidRDefault="008B746C" w:rsidP="008B746C">
      <w:pPr>
        <w:pStyle w:val="metadata"/>
        <w:spacing w:before="0" w:beforeAutospacing="0" w:after="0" w:afterAutospacing="0" w:line="20" w:lineRule="atLeast"/>
        <w:jc w:val="both"/>
        <w:rPr>
          <w:rFonts w:asciiTheme="minorHAnsi" w:hAnsiTheme="minorHAnsi" w:cstheme="minorHAnsi"/>
          <w:b/>
          <w:color w:val="515151"/>
          <w:sz w:val="22"/>
          <w:szCs w:val="22"/>
        </w:rPr>
      </w:pPr>
    </w:p>
    <w:p w:rsidR="008B746C" w:rsidRPr="006B0B81" w:rsidRDefault="008B746C" w:rsidP="008B746C">
      <w:pPr>
        <w:pStyle w:val="metadata"/>
        <w:spacing w:before="0" w:beforeAutospacing="0" w:after="0" w:afterAutospacing="0" w:line="20" w:lineRule="atLeast"/>
        <w:jc w:val="both"/>
        <w:rPr>
          <w:rFonts w:asciiTheme="minorHAnsi" w:hAnsiTheme="minorHAnsi" w:cstheme="minorHAnsi"/>
          <w:color w:val="515151"/>
          <w:sz w:val="22"/>
          <w:szCs w:val="22"/>
        </w:rPr>
      </w:pPr>
      <w:r>
        <w:rPr>
          <w:rFonts w:asciiTheme="minorHAnsi" w:hAnsiTheme="minorHAnsi" w:cstheme="minorHAnsi"/>
          <w:b/>
          <w:color w:val="515151"/>
          <w:sz w:val="22"/>
          <w:szCs w:val="22"/>
        </w:rPr>
        <w:t>DGR</w:t>
      </w:r>
      <w:r w:rsidRPr="00D81B50">
        <w:rPr>
          <w:rFonts w:asciiTheme="minorHAnsi" w:hAnsiTheme="minorHAnsi" w:cstheme="minorHAnsi"/>
          <w:b/>
          <w:color w:val="515151"/>
          <w:sz w:val="22"/>
          <w:szCs w:val="22"/>
        </w:rPr>
        <w:t xml:space="preserve">  15 luglio 2019, n. 1193</w:t>
      </w:r>
      <w:r>
        <w:rPr>
          <w:rFonts w:asciiTheme="minorHAnsi" w:hAnsiTheme="minorHAnsi" w:cstheme="minorHAnsi"/>
          <w:b/>
          <w:color w:val="515151"/>
          <w:sz w:val="22"/>
          <w:szCs w:val="22"/>
        </w:rPr>
        <w:t xml:space="preserve">, </w:t>
      </w:r>
      <w:r w:rsidRPr="006B0B81">
        <w:rPr>
          <w:rFonts w:asciiTheme="minorHAnsi" w:hAnsiTheme="minorHAnsi" w:cstheme="minorHAnsi"/>
          <w:color w:val="515151"/>
          <w:sz w:val="22"/>
          <w:szCs w:val="22"/>
        </w:rPr>
        <w:t>Approvazione schema di convenzione tra la Regione Emilia-Romagna ed ANPAL Servizi S.p.A., ex art. 12, comma 3, del decreto legge n. 4/2019, convertito nella legge n. 26/2019</w:t>
      </w:r>
      <w:r>
        <w:rPr>
          <w:rFonts w:asciiTheme="minorHAnsi" w:hAnsiTheme="minorHAnsi" w:cstheme="minorHAnsi"/>
          <w:color w:val="515151"/>
          <w:sz w:val="22"/>
          <w:szCs w:val="22"/>
        </w:rPr>
        <w:t>. (BUR n. 265 del 7.8.19)</w:t>
      </w:r>
    </w:p>
    <w:p w:rsidR="008B746C" w:rsidRDefault="008B746C" w:rsidP="008B746C">
      <w:pPr>
        <w:spacing w:after="0" w:line="20" w:lineRule="atLeast"/>
        <w:jc w:val="both"/>
        <w:rPr>
          <w:rFonts w:eastAsia="Times New Roman" w:cstheme="minorHAnsi"/>
          <w:bCs/>
          <w:color w:val="515151"/>
          <w:kern w:val="36"/>
          <w:lang w:eastAsia="it-IT"/>
        </w:rPr>
      </w:pPr>
    </w:p>
    <w:p w:rsidR="008B746C"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eastAsia="Times New Roman" w:cstheme="minorHAnsi"/>
          <w:b/>
          <w:color w:val="515151"/>
          <w:lang w:eastAsia="it-IT"/>
        </w:rPr>
      </w:pPr>
      <w:r>
        <w:rPr>
          <w:rFonts w:eastAsia="Times New Roman" w:cstheme="minorHAnsi"/>
          <w:b/>
          <w:color w:val="515151"/>
          <w:lang w:eastAsia="it-IT"/>
        </w:rPr>
        <w:t>TUTELA DEI DIRITTI</w:t>
      </w:r>
    </w:p>
    <w:p w:rsidR="008B746C" w:rsidRDefault="008B746C" w:rsidP="008B746C">
      <w:pPr>
        <w:spacing w:after="0" w:line="20" w:lineRule="atLeast"/>
        <w:jc w:val="both"/>
        <w:rPr>
          <w:rFonts w:eastAsia="Times New Roman" w:cstheme="minorHAnsi"/>
          <w:b/>
          <w:color w:val="515151"/>
          <w:lang w:eastAsia="it-IT"/>
        </w:rPr>
      </w:pPr>
    </w:p>
    <w:p w:rsidR="008B746C" w:rsidRDefault="008B746C" w:rsidP="008B746C">
      <w:pPr>
        <w:spacing w:after="0" w:line="20" w:lineRule="atLeast"/>
        <w:jc w:val="both"/>
        <w:rPr>
          <w:rFonts w:eastAsia="Times New Roman" w:cstheme="minorHAnsi"/>
          <w:bCs/>
          <w:color w:val="515151"/>
          <w:kern w:val="36"/>
          <w:lang w:eastAsia="it-IT"/>
        </w:rPr>
      </w:pPr>
      <w:r>
        <w:rPr>
          <w:rFonts w:eastAsia="Times New Roman" w:cstheme="minorHAnsi"/>
          <w:b/>
          <w:color w:val="515151"/>
          <w:lang w:eastAsia="it-IT"/>
        </w:rPr>
        <w:t>L.R.</w:t>
      </w:r>
      <w:r w:rsidRPr="00CC74BF">
        <w:rPr>
          <w:rFonts w:eastAsia="Times New Roman" w:cstheme="minorHAnsi"/>
          <w:b/>
          <w:color w:val="515151"/>
          <w:lang w:eastAsia="it-IT"/>
        </w:rPr>
        <w:t xml:space="preserve"> 1 agosto 2019, n.15</w:t>
      </w:r>
      <w:r w:rsidRPr="00CC74BF">
        <w:rPr>
          <w:rFonts w:eastAsia="Times New Roman" w:cstheme="minorHAnsi"/>
          <w:color w:val="515151"/>
          <w:lang w:eastAsia="it-IT"/>
        </w:rPr>
        <w:t xml:space="preserve">, </w:t>
      </w:r>
      <w:r w:rsidRPr="00CC74BF">
        <w:rPr>
          <w:rFonts w:eastAsia="Times New Roman" w:cstheme="minorHAnsi"/>
          <w:bCs/>
          <w:color w:val="515151"/>
          <w:kern w:val="36"/>
          <w:lang w:eastAsia="it-IT"/>
        </w:rPr>
        <w:t>legge regionale contro le discriminazioni e le violenze determinate dall’orientamento sessuale o dall’identità di genere</w:t>
      </w:r>
      <w:r>
        <w:rPr>
          <w:rFonts w:eastAsia="Times New Roman" w:cstheme="minorHAnsi"/>
          <w:bCs/>
          <w:color w:val="515151"/>
          <w:kern w:val="36"/>
          <w:lang w:eastAsia="it-IT"/>
        </w:rPr>
        <w:t>. (BUR n. 253 del 1.8.19)</w:t>
      </w:r>
    </w:p>
    <w:p w:rsidR="008B746C" w:rsidRDefault="008B746C" w:rsidP="008B746C">
      <w:pPr>
        <w:spacing w:after="0" w:line="20" w:lineRule="atLeast"/>
        <w:jc w:val="both"/>
        <w:rPr>
          <w:rFonts w:eastAsia="Times New Roman" w:cstheme="minorHAnsi"/>
          <w:bCs/>
          <w:color w:val="515151"/>
          <w:kern w:val="36"/>
          <w:lang w:eastAsia="it-IT"/>
        </w:rPr>
      </w:pPr>
    </w:p>
    <w:p w:rsidR="008B746C" w:rsidRDefault="008B746C" w:rsidP="008B746C">
      <w:pPr>
        <w:jc w:val="center"/>
        <w:rPr>
          <w:rFonts w:cstheme="minorHAnsi"/>
          <w:b/>
        </w:rPr>
      </w:pPr>
      <w:r>
        <w:rPr>
          <w:rFonts w:ascii="Broadway" w:hAnsi="Broadway" w:cstheme="majorHAnsi"/>
          <w:b/>
          <w:sz w:val="40"/>
          <w:szCs w:val="40"/>
        </w:rPr>
        <w:t xml:space="preserve">FRIULI V. G. </w:t>
      </w:r>
      <w:r w:rsidRPr="00BA0CD5">
        <w:rPr>
          <w:rFonts w:cstheme="minorHAnsi"/>
          <w:b/>
        </w:rPr>
        <w:t xml:space="preserve"> </w:t>
      </w:r>
    </w:p>
    <w:p w:rsidR="008B746C" w:rsidRPr="00190919"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190919">
        <w:rPr>
          <w:rFonts w:cstheme="minorHAnsi"/>
          <w:b/>
        </w:rPr>
        <w:t>PROGRAMMAZIONE</w:t>
      </w:r>
    </w:p>
    <w:p w:rsidR="008B746C" w:rsidRDefault="008B746C" w:rsidP="008B746C">
      <w:pPr>
        <w:spacing w:after="0" w:line="20" w:lineRule="atLeast"/>
        <w:jc w:val="both"/>
        <w:rPr>
          <w:rFonts w:cstheme="minorHAnsi"/>
        </w:rPr>
      </w:pPr>
    </w:p>
    <w:p w:rsidR="008B746C" w:rsidRPr="00AB38A5" w:rsidRDefault="008B746C" w:rsidP="008B746C">
      <w:pPr>
        <w:autoSpaceDE w:val="0"/>
        <w:autoSpaceDN w:val="0"/>
        <w:adjustRightInd w:val="0"/>
        <w:spacing w:after="0" w:line="20" w:lineRule="atLeast"/>
        <w:jc w:val="both"/>
        <w:rPr>
          <w:rFonts w:cstheme="minorHAnsi"/>
        </w:rPr>
      </w:pPr>
      <w:r w:rsidRPr="00AB38A5">
        <w:rPr>
          <w:rFonts w:cstheme="minorHAnsi"/>
          <w:b/>
        </w:rPr>
        <w:t xml:space="preserve">DCR  25 luglio 2019, n. </w:t>
      </w:r>
      <w:proofErr w:type="gramStart"/>
      <w:r w:rsidRPr="00AB38A5">
        <w:rPr>
          <w:rFonts w:cstheme="minorHAnsi"/>
          <w:b/>
        </w:rPr>
        <w:t>59</w:t>
      </w:r>
      <w:r w:rsidRPr="00AB38A5">
        <w:rPr>
          <w:rFonts w:cstheme="minorHAnsi"/>
        </w:rPr>
        <w:t>,  Risoluzione</w:t>
      </w:r>
      <w:proofErr w:type="gramEnd"/>
      <w:r w:rsidRPr="00AB38A5">
        <w:rPr>
          <w:rFonts w:cstheme="minorHAnsi"/>
        </w:rPr>
        <w:t xml:space="preserve"> concernente il “Documento di economia e finanza regionale (DEFR) 2020”. BUR n.  </w:t>
      </w:r>
      <w:proofErr w:type="gramStart"/>
      <w:r>
        <w:rPr>
          <w:rFonts w:cstheme="minorHAnsi"/>
        </w:rPr>
        <w:t>24</w:t>
      </w:r>
      <w:r w:rsidRPr="00AB38A5">
        <w:rPr>
          <w:rFonts w:cstheme="minorHAnsi"/>
        </w:rPr>
        <w:t xml:space="preserve">  del</w:t>
      </w:r>
      <w:proofErr w:type="gramEnd"/>
      <w:r w:rsidRPr="00AB38A5">
        <w:rPr>
          <w:rFonts w:cstheme="minorHAnsi"/>
        </w:rPr>
        <w:t xml:space="preserve"> 7.8.19)</w:t>
      </w:r>
    </w:p>
    <w:p w:rsidR="008B746C" w:rsidRDefault="008B746C" w:rsidP="008B746C">
      <w:pPr>
        <w:spacing w:after="0" w:line="20" w:lineRule="atLeast"/>
        <w:jc w:val="both"/>
        <w:rPr>
          <w:rFonts w:eastAsia="Times New Roman" w:cstheme="minorHAnsi"/>
          <w:bCs/>
          <w:color w:val="515151"/>
          <w:kern w:val="36"/>
          <w:lang w:eastAsia="it-IT"/>
        </w:rPr>
      </w:pPr>
    </w:p>
    <w:p w:rsidR="008B746C" w:rsidRDefault="008B746C" w:rsidP="008B746C">
      <w:pPr>
        <w:spacing w:after="0" w:line="20" w:lineRule="atLeast"/>
        <w:jc w:val="center"/>
        <w:rPr>
          <w:rFonts w:ascii="Broadway" w:hAnsi="Broadway" w:cstheme="majorHAnsi"/>
          <w:b/>
          <w:sz w:val="40"/>
          <w:szCs w:val="40"/>
        </w:rPr>
      </w:pPr>
      <w:r>
        <w:rPr>
          <w:rFonts w:ascii="Broadway" w:hAnsi="Broadway" w:cstheme="majorHAnsi"/>
          <w:b/>
          <w:sz w:val="40"/>
          <w:szCs w:val="40"/>
        </w:rPr>
        <w:t>LAZIO</w:t>
      </w:r>
    </w:p>
    <w:p w:rsidR="008B746C" w:rsidRDefault="008B746C" w:rsidP="008B746C">
      <w:pPr>
        <w:spacing w:after="0" w:line="20" w:lineRule="atLeast"/>
        <w:jc w:val="center"/>
        <w:rPr>
          <w:rFonts w:ascii="Broadway" w:hAnsi="Broadway" w:cstheme="majorHAnsi"/>
          <w:b/>
          <w:sz w:val="24"/>
          <w:szCs w:val="24"/>
        </w:rPr>
      </w:pPr>
    </w:p>
    <w:p w:rsidR="008B746C"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eastAsia="Times New Roman" w:cstheme="minorHAnsi"/>
          <w:b/>
          <w:bCs/>
          <w:color w:val="515151"/>
          <w:kern w:val="36"/>
          <w:lang w:eastAsia="it-IT"/>
        </w:rPr>
      </w:pPr>
      <w:r>
        <w:rPr>
          <w:rFonts w:eastAsia="Times New Roman" w:cstheme="minorHAnsi"/>
          <w:b/>
          <w:bCs/>
          <w:color w:val="515151"/>
          <w:kern w:val="36"/>
          <w:lang w:eastAsia="it-IT"/>
        </w:rPr>
        <w:t>AMMINISTRAZIONE REGIONALE</w:t>
      </w:r>
    </w:p>
    <w:p w:rsidR="008B746C" w:rsidRDefault="008B746C" w:rsidP="008B746C">
      <w:pPr>
        <w:autoSpaceDE w:val="0"/>
        <w:autoSpaceDN w:val="0"/>
        <w:adjustRightInd w:val="0"/>
        <w:spacing w:after="0" w:line="20" w:lineRule="atLeast"/>
        <w:jc w:val="both"/>
        <w:rPr>
          <w:rFonts w:cstheme="minorHAnsi"/>
          <w:b/>
          <w:color w:val="000000"/>
        </w:rPr>
      </w:pPr>
    </w:p>
    <w:p w:rsidR="008B746C" w:rsidRDefault="008B746C" w:rsidP="008B746C">
      <w:pPr>
        <w:autoSpaceDE w:val="0"/>
        <w:autoSpaceDN w:val="0"/>
        <w:adjustRightInd w:val="0"/>
        <w:spacing w:after="0" w:line="20" w:lineRule="atLeast"/>
        <w:jc w:val="both"/>
        <w:rPr>
          <w:rFonts w:cstheme="minorHAnsi"/>
          <w:color w:val="000000"/>
        </w:rPr>
      </w:pPr>
      <w:r w:rsidRPr="00B73FD1">
        <w:rPr>
          <w:rFonts w:cstheme="minorHAnsi"/>
          <w:b/>
          <w:color w:val="000000"/>
        </w:rPr>
        <w:t>DGR 23 luglio 2019, n. 491</w:t>
      </w:r>
      <w:r w:rsidRPr="00B73FD1">
        <w:rPr>
          <w:rFonts w:cstheme="minorHAnsi"/>
          <w:color w:val="000000"/>
        </w:rPr>
        <w:t xml:space="preserve">, Piano della performance 2019 - 2021. (BUR n. </w:t>
      </w:r>
      <w:proofErr w:type="gramStart"/>
      <w:r w:rsidRPr="00B73FD1">
        <w:rPr>
          <w:rFonts w:cstheme="minorHAnsi"/>
          <w:color w:val="000000"/>
        </w:rPr>
        <w:t>65  del</w:t>
      </w:r>
      <w:proofErr w:type="gramEnd"/>
      <w:r w:rsidRPr="00B73FD1">
        <w:rPr>
          <w:rFonts w:cstheme="minorHAnsi"/>
          <w:color w:val="000000"/>
        </w:rPr>
        <w:t xml:space="preserve"> 13.8.19)</w:t>
      </w:r>
    </w:p>
    <w:p w:rsidR="008B746C" w:rsidRDefault="008B746C" w:rsidP="008B746C">
      <w:pPr>
        <w:autoSpaceDE w:val="0"/>
        <w:autoSpaceDN w:val="0"/>
        <w:adjustRightInd w:val="0"/>
        <w:spacing w:after="0" w:line="20" w:lineRule="atLeast"/>
        <w:jc w:val="both"/>
        <w:rPr>
          <w:rFonts w:cstheme="minorHAnsi"/>
          <w:color w:val="000000"/>
        </w:rPr>
      </w:pPr>
    </w:p>
    <w:p w:rsidR="008B746C" w:rsidRPr="006B0B81" w:rsidRDefault="008B746C" w:rsidP="008B746C">
      <w:pPr>
        <w:spacing w:after="0" w:line="20" w:lineRule="atLeast"/>
        <w:jc w:val="both"/>
        <w:rPr>
          <w:rFonts w:cstheme="minorHAnsi"/>
        </w:rPr>
      </w:pPr>
      <w:r w:rsidRPr="00963386">
        <w:rPr>
          <w:b/>
        </w:rPr>
        <w:t xml:space="preserve">DGR  2 agosto 2019, n. </w:t>
      </w:r>
      <w:proofErr w:type="gramStart"/>
      <w:r w:rsidRPr="00963386">
        <w:rPr>
          <w:b/>
        </w:rPr>
        <w:t xml:space="preserve">597,  </w:t>
      </w:r>
      <w:r w:rsidRPr="00176B37">
        <w:t>Relazione</w:t>
      </w:r>
      <w:proofErr w:type="gramEnd"/>
      <w:r w:rsidRPr="00176B37">
        <w:t xml:space="preserve"> sulla performance – anno 2018</w:t>
      </w:r>
      <w:r>
        <w:t xml:space="preserve">. </w:t>
      </w:r>
      <w:r>
        <w:rPr>
          <w:rFonts w:cstheme="minorHAnsi"/>
        </w:rPr>
        <w:t>(BUR n. 66 del 16.8.19)</w:t>
      </w:r>
    </w:p>
    <w:p w:rsidR="008B746C" w:rsidRDefault="008B746C" w:rsidP="008B746C">
      <w:pPr>
        <w:autoSpaceDE w:val="0"/>
        <w:autoSpaceDN w:val="0"/>
        <w:adjustRightInd w:val="0"/>
        <w:spacing w:after="0" w:line="20" w:lineRule="atLeast"/>
        <w:jc w:val="both"/>
        <w:rPr>
          <w:rFonts w:cstheme="minorHAnsi"/>
          <w:color w:val="000000"/>
        </w:rPr>
      </w:pPr>
    </w:p>
    <w:p w:rsidR="008B746C"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ascii="Corbel" w:hAnsi="Corbel" w:cs="Verdana"/>
          <w:b/>
          <w:bCs/>
          <w:color w:val="000000"/>
        </w:rPr>
      </w:pPr>
      <w:r>
        <w:rPr>
          <w:rFonts w:ascii="Corbel" w:hAnsi="Corbel" w:cs="Verdana"/>
          <w:b/>
          <w:bCs/>
          <w:color w:val="000000"/>
        </w:rPr>
        <w:t>ANZIANI</w:t>
      </w:r>
    </w:p>
    <w:p w:rsidR="008B746C" w:rsidRDefault="008B746C" w:rsidP="008B746C">
      <w:pPr>
        <w:spacing w:after="0" w:line="20" w:lineRule="atLeast"/>
        <w:jc w:val="both"/>
        <w:rPr>
          <w:rFonts w:ascii="Corbel" w:hAnsi="Corbel" w:cs="Verdana"/>
          <w:b/>
          <w:bCs/>
          <w:color w:val="000000"/>
        </w:rPr>
      </w:pPr>
    </w:p>
    <w:p w:rsidR="008B746C" w:rsidRPr="00983BF8" w:rsidRDefault="008B746C" w:rsidP="008B746C">
      <w:pPr>
        <w:autoSpaceDE w:val="0"/>
        <w:autoSpaceDN w:val="0"/>
        <w:adjustRightInd w:val="0"/>
        <w:spacing w:after="0" w:line="20" w:lineRule="atLeast"/>
        <w:jc w:val="both"/>
        <w:rPr>
          <w:rFonts w:cstheme="minorHAnsi"/>
        </w:rPr>
      </w:pPr>
      <w:r w:rsidRPr="00983BF8">
        <w:rPr>
          <w:rFonts w:cstheme="minorHAnsi"/>
          <w:b/>
        </w:rPr>
        <w:t>Determinazione 26 luglio 2019 G10198/19</w:t>
      </w:r>
      <w:r w:rsidRPr="00983BF8">
        <w:rPr>
          <w:rFonts w:cstheme="minorHAnsi"/>
        </w:rPr>
        <w:t>, Costituzione di un gruppo di lavoro per l'elaborazione di Linee guida regionali in materia di centri anziani". Nomina componenti (BUR n. 64 dell’8.8.19)</w:t>
      </w:r>
    </w:p>
    <w:p w:rsidR="008B746C" w:rsidRPr="006E6424" w:rsidRDefault="008B746C" w:rsidP="008B746C">
      <w:pPr>
        <w:spacing w:after="0" w:line="20" w:lineRule="atLeast"/>
        <w:jc w:val="center"/>
        <w:rPr>
          <w:rFonts w:ascii="Broadway" w:hAnsi="Broadway" w:cstheme="majorHAnsi"/>
          <w:b/>
          <w:sz w:val="24"/>
          <w:szCs w:val="24"/>
        </w:rPr>
      </w:pPr>
    </w:p>
    <w:p w:rsidR="008B746C" w:rsidRPr="006B0B81"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6B0B81">
        <w:rPr>
          <w:rFonts w:cstheme="minorHAnsi"/>
          <w:b/>
        </w:rPr>
        <w:t>ASSISTENTI SOCIALI</w:t>
      </w:r>
    </w:p>
    <w:p w:rsidR="008B746C" w:rsidRPr="006B0B81" w:rsidRDefault="008B746C" w:rsidP="008B746C">
      <w:pPr>
        <w:spacing w:after="0" w:line="20" w:lineRule="atLeast"/>
        <w:jc w:val="both"/>
        <w:rPr>
          <w:rFonts w:cstheme="minorHAnsi"/>
        </w:rPr>
      </w:pPr>
    </w:p>
    <w:p w:rsidR="008B746C" w:rsidRPr="006B0B81" w:rsidRDefault="008B746C" w:rsidP="008B746C">
      <w:pPr>
        <w:spacing w:after="0" w:line="20" w:lineRule="atLeast"/>
        <w:jc w:val="both"/>
        <w:rPr>
          <w:rFonts w:cstheme="minorHAnsi"/>
        </w:rPr>
      </w:pPr>
      <w:r w:rsidRPr="006B0B81">
        <w:rPr>
          <w:rFonts w:cstheme="minorHAnsi"/>
          <w:b/>
        </w:rPr>
        <w:t>ASL ROMA 3</w:t>
      </w:r>
      <w:r w:rsidRPr="006B0B81">
        <w:rPr>
          <w:rFonts w:cstheme="minorHAnsi"/>
        </w:rPr>
        <w:t xml:space="preserve"> </w:t>
      </w:r>
    </w:p>
    <w:p w:rsidR="008B746C" w:rsidRDefault="008B746C" w:rsidP="008B746C">
      <w:pPr>
        <w:spacing w:after="0" w:line="20" w:lineRule="atLeast"/>
        <w:jc w:val="both"/>
        <w:rPr>
          <w:rFonts w:cstheme="minorHAnsi"/>
        </w:rPr>
      </w:pPr>
      <w:r w:rsidRPr="006B0B81">
        <w:rPr>
          <w:rFonts w:cstheme="minorHAnsi"/>
        </w:rPr>
        <w:t xml:space="preserve">Avviso pubblico, per titoli ed esami, per l'assunzione, a tempo pieno e determinato, della durata massima di un anno, di n. 2 unità di Collaboratore Professionale - Assistente Sociale, cat. D per l'implementazione del </w:t>
      </w:r>
      <w:r w:rsidRPr="006B0B81">
        <w:rPr>
          <w:rFonts w:cstheme="minorHAnsi"/>
        </w:rPr>
        <w:lastRenderedPageBreak/>
        <w:t>progetto di prevenzione, cura e riabilitazione delle patologie da disturbo da gioco d'azzardo GAP" Il gioco è una cosa seria" dell'Azienda U.S.L. Roma 3". (BUR n. 63 del 6.8.19)</w:t>
      </w:r>
    </w:p>
    <w:p w:rsidR="008B746C" w:rsidRDefault="008B746C" w:rsidP="008B746C">
      <w:pPr>
        <w:spacing w:after="0" w:line="20" w:lineRule="atLeast"/>
        <w:jc w:val="both"/>
        <w:rPr>
          <w:rFonts w:cstheme="minorHAnsi"/>
        </w:rPr>
      </w:pPr>
    </w:p>
    <w:p w:rsidR="008B746C" w:rsidRPr="009A6502" w:rsidRDefault="008B746C" w:rsidP="008B746C">
      <w:pPr>
        <w:spacing w:after="0" w:line="20" w:lineRule="atLeast"/>
        <w:jc w:val="both"/>
      </w:pPr>
      <w:r w:rsidRPr="009A6502">
        <w:t xml:space="preserve">ASL ROMA 2 </w:t>
      </w:r>
    </w:p>
    <w:p w:rsidR="008B746C" w:rsidRPr="009A6502" w:rsidRDefault="008B746C" w:rsidP="008B746C">
      <w:pPr>
        <w:spacing w:after="0" w:line="20" w:lineRule="atLeast"/>
        <w:jc w:val="both"/>
      </w:pPr>
      <w:r w:rsidRPr="009A6502">
        <w:t>Avviso Pubblico per la procedura di stabilizzazione di cui all'art. 20, comma 1, del d.lgs. n. 75/2017 del personale precario del comparto: personale del comparto numero 1 posto Cp Assistente Sociale. (BUR n.69 del 27.8.19)</w:t>
      </w:r>
    </w:p>
    <w:p w:rsidR="008B746C" w:rsidRDefault="008B746C" w:rsidP="008B746C">
      <w:pPr>
        <w:spacing w:after="0" w:line="20" w:lineRule="atLeast"/>
        <w:jc w:val="both"/>
        <w:rPr>
          <w:rFonts w:cstheme="minorHAnsi"/>
        </w:rPr>
      </w:pPr>
    </w:p>
    <w:p w:rsidR="008B746C" w:rsidRPr="0025509D"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25509D">
        <w:rPr>
          <w:rFonts w:cstheme="minorHAnsi"/>
          <w:b/>
        </w:rPr>
        <w:t>ASSISTENZA PENITENZIARIA</w:t>
      </w:r>
    </w:p>
    <w:p w:rsidR="008B746C" w:rsidRPr="00B73FD1" w:rsidRDefault="008B746C" w:rsidP="008B746C">
      <w:pPr>
        <w:autoSpaceDE w:val="0"/>
        <w:autoSpaceDN w:val="0"/>
        <w:adjustRightInd w:val="0"/>
        <w:spacing w:after="0" w:line="20" w:lineRule="atLeast"/>
        <w:jc w:val="both"/>
        <w:rPr>
          <w:rFonts w:cstheme="minorHAnsi"/>
          <w:i/>
          <w:iCs/>
          <w:color w:val="FF0000"/>
        </w:rPr>
      </w:pPr>
    </w:p>
    <w:p w:rsidR="008B746C" w:rsidRPr="00A814D5" w:rsidRDefault="008B746C" w:rsidP="008B746C">
      <w:pPr>
        <w:autoSpaceDE w:val="0"/>
        <w:autoSpaceDN w:val="0"/>
        <w:adjustRightInd w:val="0"/>
        <w:spacing w:after="0" w:line="20" w:lineRule="atLeast"/>
        <w:jc w:val="both"/>
        <w:rPr>
          <w:rFonts w:cstheme="minorHAnsi"/>
          <w:b/>
        </w:rPr>
      </w:pPr>
      <w:r w:rsidRPr="00A814D5">
        <w:rPr>
          <w:rFonts w:cstheme="minorHAnsi"/>
          <w:b/>
        </w:rPr>
        <w:t>ISTITUTO REGIONALE JEMOLO</w:t>
      </w:r>
    </w:p>
    <w:p w:rsidR="008B746C" w:rsidRPr="00A814D5" w:rsidRDefault="008B746C" w:rsidP="008B746C">
      <w:pPr>
        <w:autoSpaceDE w:val="0"/>
        <w:autoSpaceDN w:val="0"/>
        <w:adjustRightInd w:val="0"/>
        <w:spacing w:after="0" w:line="20" w:lineRule="atLeast"/>
        <w:jc w:val="both"/>
        <w:rPr>
          <w:rFonts w:cstheme="minorHAnsi"/>
          <w:b/>
        </w:rPr>
      </w:pPr>
      <w:r w:rsidRPr="00A814D5">
        <w:rPr>
          <w:rFonts w:cstheme="minorHAnsi"/>
          <w:b/>
        </w:rPr>
        <w:t>Avviso</w:t>
      </w:r>
    </w:p>
    <w:p w:rsidR="008B746C" w:rsidRDefault="008B746C" w:rsidP="008B746C">
      <w:pPr>
        <w:autoSpaceDE w:val="0"/>
        <w:autoSpaceDN w:val="0"/>
        <w:adjustRightInd w:val="0"/>
        <w:spacing w:after="0" w:line="20" w:lineRule="atLeast"/>
        <w:jc w:val="both"/>
        <w:rPr>
          <w:rFonts w:cstheme="minorHAnsi"/>
          <w:bCs/>
          <w:color w:val="000000"/>
        </w:rPr>
      </w:pPr>
      <w:r w:rsidRPr="00B73FD1">
        <w:rPr>
          <w:rFonts w:cstheme="minorHAnsi"/>
          <w:b/>
          <w:bCs/>
          <w:color w:val="000000"/>
        </w:rPr>
        <w:t>BANDO PER L’AMMISSIONE A 40 POSTI AL CORSO</w:t>
      </w:r>
      <w:r>
        <w:rPr>
          <w:rFonts w:cstheme="minorHAnsi"/>
          <w:b/>
          <w:bCs/>
          <w:color w:val="000000"/>
        </w:rPr>
        <w:t xml:space="preserve"> </w:t>
      </w:r>
      <w:r w:rsidRPr="00B73FD1">
        <w:rPr>
          <w:rFonts w:cstheme="minorHAnsi"/>
          <w:b/>
          <w:bCs/>
          <w:color w:val="000000"/>
        </w:rPr>
        <w:t>“LA RIFORMA DELL’ORDINAMENTO PENITENZIARIO A UN ANNO DALLA</w:t>
      </w:r>
      <w:r>
        <w:rPr>
          <w:rFonts w:cstheme="minorHAnsi"/>
          <w:b/>
          <w:bCs/>
          <w:color w:val="000000"/>
        </w:rPr>
        <w:t xml:space="preserve"> </w:t>
      </w:r>
      <w:r w:rsidRPr="00B73FD1">
        <w:rPr>
          <w:rFonts w:cstheme="minorHAnsi"/>
          <w:b/>
          <w:bCs/>
          <w:color w:val="000000"/>
        </w:rPr>
        <w:t>RIFORMA” CODICE 11CAT19</w:t>
      </w:r>
      <w:r>
        <w:rPr>
          <w:rFonts w:cstheme="minorHAnsi"/>
          <w:b/>
          <w:bCs/>
          <w:color w:val="000000"/>
        </w:rPr>
        <w:t xml:space="preserve"> </w:t>
      </w:r>
      <w:r w:rsidRPr="0025509D">
        <w:rPr>
          <w:rFonts w:cstheme="minorHAnsi"/>
          <w:bCs/>
          <w:color w:val="000000"/>
        </w:rPr>
        <w:t>(BUR n. 65 del 13.8.19)</w:t>
      </w:r>
    </w:p>
    <w:p w:rsidR="008B746C" w:rsidRDefault="008B746C" w:rsidP="008B746C">
      <w:pPr>
        <w:autoSpaceDE w:val="0"/>
        <w:autoSpaceDN w:val="0"/>
        <w:adjustRightInd w:val="0"/>
        <w:spacing w:after="0" w:line="20" w:lineRule="atLeast"/>
        <w:jc w:val="both"/>
        <w:rPr>
          <w:rFonts w:cstheme="minorHAnsi"/>
          <w:bCs/>
          <w:color w:val="000000"/>
        </w:rPr>
      </w:pPr>
    </w:p>
    <w:p w:rsidR="008B746C" w:rsidRPr="00D272D7" w:rsidRDefault="008B746C" w:rsidP="008B746C">
      <w:pPr>
        <w:autoSpaceDE w:val="0"/>
        <w:autoSpaceDN w:val="0"/>
        <w:adjustRightInd w:val="0"/>
        <w:spacing w:after="0" w:line="20" w:lineRule="atLeast"/>
        <w:jc w:val="both"/>
      </w:pPr>
      <w:r w:rsidRPr="00D272D7">
        <w:rPr>
          <w:b/>
        </w:rPr>
        <w:t>Determinazione 1 agosto 2019, n. G</w:t>
      </w:r>
      <w:proofErr w:type="gramStart"/>
      <w:r w:rsidRPr="00D272D7">
        <w:rPr>
          <w:b/>
        </w:rPr>
        <w:t>10546</w:t>
      </w:r>
      <w:r w:rsidRPr="00D272D7">
        <w:t>,  Centro</w:t>
      </w:r>
      <w:proofErr w:type="gramEnd"/>
      <w:r w:rsidRPr="00D272D7">
        <w:t xml:space="preserve"> di giustizia riparativa e di mediazione penale minorile". Presa d'atto dei lavori della Commissione giudicatrice e riesame documentazione amministrativa di IBIS Soc. coop. Sociale RL. </w:t>
      </w:r>
      <w:proofErr w:type="gramStart"/>
      <w:r w:rsidRPr="00D272D7">
        <w:t>relativamente</w:t>
      </w:r>
      <w:proofErr w:type="gramEnd"/>
      <w:r w:rsidRPr="00D272D7">
        <w:t xml:space="preserve"> al possesso dei requisiti di partecipazione di cui all'art. 3 comma 3 del Disciplinare di gara approvato con Determinazione n. G17625/2018. Esclusione dalle fasi successive della procedura negoziata di IBIS - Soc. coop. Sociale RL. CIG 7739570F32. (BUR n. 66 del 16.8.19)</w:t>
      </w:r>
    </w:p>
    <w:p w:rsidR="008B746C" w:rsidRDefault="008B746C" w:rsidP="008B746C">
      <w:pPr>
        <w:autoSpaceDE w:val="0"/>
        <w:autoSpaceDN w:val="0"/>
        <w:adjustRightInd w:val="0"/>
        <w:spacing w:after="0" w:line="20" w:lineRule="atLeast"/>
        <w:jc w:val="both"/>
        <w:rPr>
          <w:rFonts w:cstheme="minorHAnsi"/>
          <w:bCs/>
          <w:color w:val="000000"/>
        </w:rPr>
      </w:pPr>
    </w:p>
    <w:p w:rsidR="008B746C" w:rsidRDefault="008B746C" w:rsidP="008B746C">
      <w:pPr>
        <w:spacing w:after="0" w:line="20" w:lineRule="atLeast"/>
        <w:jc w:val="both"/>
      </w:pPr>
      <w:r w:rsidRPr="00831F81">
        <w:rPr>
          <w:b/>
        </w:rPr>
        <w:t xml:space="preserve">DGR  6 agosto 2019, n. </w:t>
      </w:r>
      <w:proofErr w:type="gramStart"/>
      <w:r w:rsidRPr="00831F81">
        <w:rPr>
          <w:b/>
        </w:rPr>
        <w:t>605</w:t>
      </w:r>
      <w:r>
        <w:t xml:space="preserve"> ,</w:t>
      </w:r>
      <w:proofErr w:type="gramEnd"/>
      <w:r>
        <w:t xml:space="preserve">  Approvazione schema di Protocollo d'intesa tra Regione Lazio, Comune di Roma Capitale e Raggruppamento delle Istituzioni Pubbliche di Assistenza e Beneficenza Opera Pia Asilo Savoia, Pio Istituto SS. Annunziata e Opera Pia Lascito Giovanni e Margherita Achillini per il rapporto di collaborazione interistituzionale finalizzato alla realizzazione di interventi volti a sostenere il progetto di convivenza protetta per genitori con figli denominato "Casa di Leda". (BUR n. 70 del 29.8.19)</w:t>
      </w:r>
    </w:p>
    <w:p w:rsidR="008B746C" w:rsidRPr="006E6424" w:rsidRDefault="008B746C" w:rsidP="008B746C">
      <w:pPr>
        <w:spacing w:after="0" w:line="20" w:lineRule="atLeast"/>
        <w:jc w:val="center"/>
        <w:rPr>
          <w:rFonts w:ascii="Broadway" w:hAnsi="Broadway" w:cstheme="majorHAnsi"/>
          <w:b/>
          <w:sz w:val="24"/>
          <w:szCs w:val="24"/>
        </w:rPr>
      </w:pPr>
    </w:p>
    <w:p w:rsidR="008B746C" w:rsidRPr="00AB36FD"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eastAsia="Times New Roman" w:cstheme="minorHAnsi"/>
          <w:b/>
          <w:bCs/>
          <w:color w:val="515151"/>
          <w:kern w:val="36"/>
          <w:lang w:eastAsia="it-IT"/>
        </w:rPr>
      </w:pPr>
      <w:r w:rsidRPr="00AB36FD">
        <w:rPr>
          <w:rFonts w:eastAsia="Times New Roman" w:cstheme="minorHAnsi"/>
          <w:b/>
          <w:bCs/>
          <w:color w:val="515151"/>
          <w:kern w:val="36"/>
          <w:lang w:eastAsia="it-IT"/>
        </w:rPr>
        <w:t>DIFESA DELLO STATO</w:t>
      </w:r>
    </w:p>
    <w:p w:rsidR="008B746C" w:rsidRDefault="008B746C" w:rsidP="008B746C">
      <w:pPr>
        <w:spacing w:after="0" w:line="20" w:lineRule="atLeast"/>
        <w:jc w:val="both"/>
        <w:rPr>
          <w:rFonts w:eastAsia="Times New Roman" w:cstheme="minorHAnsi"/>
          <w:bCs/>
          <w:color w:val="515151"/>
          <w:kern w:val="36"/>
          <w:lang w:eastAsia="it-IT"/>
        </w:rPr>
      </w:pPr>
    </w:p>
    <w:p w:rsidR="008B746C" w:rsidRPr="00E46EF1" w:rsidRDefault="008B746C" w:rsidP="008B746C">
      <w:pPr>
        <w:spacing w:after="0" w:line="20" w:lineRule="atLeast"/>
        <w:jc w:val="both"/>
        <w:rPr>
          <w:rFonts w:cstheme="minorHAnsi"/>
        </w:rPr>
      </w:pPr>
      <w:r w:rsidRPr="00CC74BF">
        <w:rPr>
          <w:rFonts w:cstheme="minorHAnsi"/>
          <w:b/>
        </w:rPr>
        <w:t>Determinazione 22 luglio 2019, n. G09919</w:t>
      </w:r>
      <w:r w:rsidRPr="00E46EF1">
        <w:rPr>
          <w:rFonts w:cstheme="minorHAnsi"/>
        </w:rPr>
        <w:t xml:space="preserve"> Osservatorio tecnico - scientifico per la sicurezza, la legalità e la lotta alla corruzione (art.8 della Legge regionale 5 luglio 2001, n. 15). Impegno di spesa della somma necessaria alla liquidazione dei gettoni di presenza da corrispondere ai componenti dell'Osservatorio tecnico - scientifico per la sicurezza, la legalità e la lotta alla corruzione per l'anno 2019. Capitolo R21404 – "Spese di funzionamento, compresi i gettoni ecc., di commissioni, comitati e organi consultivi"- Esercizio Finanziario 2019.</w:t>
      </w:r>
      <w:r>
        <w:rPr>
          <w:rFonts w:cstheme="minorHAnsi"/>
        </w:rPr>
        <w:t xml:space="preserve"> (BUR n. 63 del 6.8.19)</w:t>
      </w:r>
    </w:p>
    <w:p w:rsidR="008B746C" w:rsidRPr="00E46EF1" w:rsidRDefault="008B746C" w:rsidP="008B746C">
      <w:pPr>
        <w:spacing w:after="0" w:line="20" w:lineRule="atLeast"/>
        <w:jc w:val="both"/>
        <w:rPr>
          <w:rFonts w:eastAsia="Times New Roman" w:cstheme="minorHAnsi"/>
          <w:b/>
          <w:bCs/>
          <w:color w:val="515151"/>
          <w:kern w:val="36"/>
          <w:lang w:eastAsia="it-IT"/>
        </w:rPr>
      </w:pPr>
    </w:p>
    <w:p w:rsidR="008B746C" w:rsidRDefault="008B746C" w:rsidP="008B746C">
      <w:pPr>
        <w:spacing w:after="0" w:line="20" w:lineRule="atLeast"/>
        <w:jc w:val="both"/>
        <w:rPr>
          <w:rFonts w:cstheme="minorHAnsi"/>
        </w:rPr>
      </w:pPr>
      <w:r w:rsidRPr="00CC74BF">
        <w:rPr>
          <w:rFonts w:cstheme="minorHAnsi"/>
          <w:b/>
        </w:rPr>
        <w:t>Determinazione 22 luglio 2019, n. G09921</w:t>
      </w:r>
      <w:r w:rsidRPr="00E46EF1">
        <w:rPr>
          <w:rFonts w:cstheme="minorHAnsi"/>
        </w:rPr>
        <w:t xml:space="preserve"> Adesione all'Associazione denominata "Avviso Pubblico. Enti locali e Regioni per la formazione civile contro le mafie", approvata con DGR 390 del 28 luglio 2015. Impegno di spesa di euro 2.500,00, quale contributo associativo anno 2019, sul Capitolo R45915 - Esercizio Finanziario 2019.</w:t>
      </w:r>
      <w:r>
        <w:rPr>
          <w:rFonts w:cstheme="minorHAnsi"/>
        </w:rPr>
        <w:t xml:space="preserve"> (BUR n. 63 del 6.8.19)</w:t>
      </w:r>
    </w:p>
    <w:p w:rsidR="008B746C" w:rsidRDefault="008B746C" w:rsidP="008B746C">
      <w:pPr>
        <w:spacing w:after="0" w:line="20" w:lineRule="atLeast"/>
        <w:jc w:val="both"/>
        <w:rPr>
          <w:rFonts w:cstheme="minorHAnsi"/>
        </w:rPr>
      </w:pPr>
    </w:p>
    <w:p w:rsidR="008B746C" w:rsidRPr="00FE5696"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FE5696">
        <w:rPr>
          <w:rFonts w:cstheme="minorHAnsi"/>
          <w:b/>
        </w:rPr>
        <w:t>ENTI LOCALI</w:t>
      </w:r>
    </w:p>
    <w:p w:rsidR="008B746C" w:rsidRPr="00FE5696" w:rsidRDefault="008B746C" w:rsidP="008B746C">
      <w:pPr>
        <w:spacing w:after="0" w:line="20" w:lineRule="atLeast"/>
        <w:jc w:val="both"/>
        <w:rPr>
          <w:rFonts w:cstheme="minorHAnsi"/>
        </w:rPr>
      </w:pPr>
    </w:p>
    <w:p w:rsidR="008B746C" w:rsidRPr="00FE5696" w:rsidRDefault="008B746C" w:rsidP="008B746C">
      <w:pPr>
        <w:spacing w:after="0" w:line="20" w:lineRule="atLeast"/>
        <w:jc w:val="both"/>
      </w:pPr>
      <w:r w:rsidRPr="00FE5696">
        <w:rPr>
          <w:b/>
        </w:rPr>
        <w:t xml:space="preserve">DGR  6 agosto 2019, n. </w:t>
      </w:r>
      <w:proofErr w:type="gramStart"/>
      <w:r w:rsidRPr="00FE5696">
        <w:rPr>
          <w:b/>
        </w:rPr>
        <w:t>606</w:t>
      </w:r>
      <w:r w:rsidRPr="00FE5696">
        <w:t>,  Trasformazione</w:t>
      </w:r>
      <w:proofErr w:type="gramEnd"/>
      <w:r w:rsidRPr="00FE5696">
        <w:t xml:space="preserve"> delle Comunità Montane del Lazio ex articolo 3, commi 126 e seguenti della legge regionale 31 dicembre 2016, n. 17 e successive modifiche. Istituzione di un Tavolo interistituzionale. (BUR</w:t>
      </w:r>
      <w:r>
        <w:t xml:space="preserve"> </w:t>
      </w:r>
      <w:r w:rsidRPr="00FE5696">
        <w:t>n 69 del 27.8.19)</w:t>
      </w:r>
    </w:p>
    <w:p w:rsidR="008B746C" w:rsidRPr="00E46EF1" w:rsidRDefault="008B746C" w:rsidP="008B746C">
      <w:pPr>
        <w:spacing w:after="0" w:line="20" w:lineRule="atLeast"/>
        <w:jc w:val="both"/>
        <w:rPr>
          <w:rFonts w:cstheme="minorHAnsi"/>
        </w:rPr>
      </w:pPr>
    </w:p>
    <w:p w:rsidR="008B746C" w:rsidRPr="007D66F5"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7D66F5">
        <w:rPr>
          <w:rFonts w:cstheme="minorHAnsi"/>
          <w:b/>
        </w:rPr>
        <w:t>IPAB</w:t>
      </w:r>
    </w:p>
    <w:p w:rsidR="008B746C" w:rsidRDefault="008B746C" w:rsidP="008B746C">
      <w:pPr>
        <w:spacing w:after="0" w:line="20" w:lineRule="atLeast"/>
        <w:jc w:val="both"/>
        <w:rPr>
          <w:rFonts w:cstheme="minorHAnsi"/>
        </w:rPr>
      </w:pPr>
    </w:p>
    <w:p w:rsidR="008B746C" w:rsidRDefault="008B746C" w:rsidP="008B746C">
      <w:pPr>
        <w:autoSpaceDE w:val="0"/>
        <w:autoSpaceDN w:val="0"/>
        <w:adjustRightInd w:val="0"/>
        <w:spacing w:after="0" w:line="20" w:lineRule="atLeast"/>
        <w:jc w:val="both"/>
        <w:rPr>
          <w:rFonts w:cstheme="minorHAnsi"/>
        </w:rPr>
      </w:pPr>
      <w:r w:rsidRPr="00976866">
        <w:rPr>
          <w:rFonts w:cstheme="minorHAnsi"/>
          <w:b/>
        </w:rPr>
        <w:t xml:space="preserve">Regolamento 9 agosto 2019, n. 17, </w:t>
      </w:r>
      <w:r w:rsidRPr="00976866">
        <w:rPr>
          <w:rFonts w:cstheme="minorHAnsi"/>
        </w:rPr>
        <w:t xml:space="preserve">Disciplina dei procedimenti di trasformazione delle Istituzioni pubbliche di assistenza e beneficenza (IPAB) in Aziende pubbliche di servizi alla persona (ASP) ovvero in persone </w:t>
      </w:r>
      <w:r w:rsidRPr="00976866">
        <w:rPr>
          <w:rFonts w:cstheme="minorHAnsi"/>
        </w:rPr>
        <w:lastRenderedPageBreak/>
        <w:t>giuridiche di diritto privato senza scopo di lucro, nonché dei procedimenti di fusione e di estinzione delle IPAB.</w:t>
      </w:r>
      <w:r>
        <w:rPr>
          <w:rFonts w:cstheme="minorHAnsi"/>
        </w:rPr>
        <w:t xml:space="preserve"> (BUR n. 65 del 13.8.19)</w:t>
      </w:r>
    </w:p>
    <w:p w:rsidR="008B746C" w:rsidRDefault="008B746C" w:rsidP="008B746C">
      <w:pPr>
        <w:spacing w:after="0" w:line="20" w:lineRule="atLeast"/>
        <w:jc w:val="both"/>
        <w:rPr>
          <w:rFonts w:cstheme="minorHAnsi"/>
          <w:b/>
        </w:rPr>
      </w:pPr>
    </w:p>
    <w:p w:rsidR="008B746C" w:rsidRPr="006B0B81" w:rsidRDefault="008B746C" w:rsidP="008B746C">
      <w:pPr>
        <w:spacing w:after="0" w:line="20" w:lineRule="atLeast"/>
        <w:jc w:val="both"/>
        <w:rPr>
          <w:rFonts w:cstheme="minorHAnsi"/>
        </w:rPr>
      </w:pPr>
      <w:proofErr w:type="gramStart"/>
      <w:r w:rsidRPr="006B0B81">
        <w:rPr>
          <w:rFonts w:cstheme="minorHAnsi"/>
          <w:b/>
        </w:rPr>
        <w:t>DPGR  Lazio</w:t>
      </w:r>
      <w:proofErr w:type="gramEnd"/>
      <w:r w:rsidRPr="006B0B81">
        <w:rPr>
          <w:rFonts w:cstheme="minorHAnsi"/>
          <w:b/>
        </w:rPr>
        <w:t xml:space="preserve"> 2 agosto 2019, n. T00208</w:t>
      </w:r>
      <w:r w:rsidRPr="006B0B81">
        <w:rPr>
          <w:rFonts w:cstheme="minorHAnsi"/>
        </w:rPr>
        <w:t xml:space="preserve"> Istituzione Pubblica di Assistenza e Beneficenza Ospedale SS. Crocefisso di Boville Ernica (FR). Nomina del Commissario straordinario.</w:t>
      </w:r>
      <w:r w:rsidRPr="008B6B13">
        <w:rPr>
          <w:rFonts w:cstheme="minorHAnsi"/>
        </w:rPr>
        <w:t xml:space="preserve"> </w:t>
      </w:r>
      <w:r>
        <w:rPr>
          <w:rFonts w:cstheme="minorHAnsi"/>
        </w:rPr>
        <w:t>(BUR n. 66 del 16.8.19)</w:t>
      </w:r>
    </w:p>
    <w:p w:rsidR="008B746C" w:rsidRDefault="008B746C" w:rsidP="008B746C">
      <w:pPr>
        <w:spacing w:after="0" w:line="20" w:lineRule="atLeast"/>
        <w:jc w:val="both"/>
        <w:rPr>
          <w:rFonts w:cstheme="minorHAnsi"/>
        </w:rPr>
      </w:pPr>
    </w:p>
    <w:p w:rsidR="008B746C" w:rsidRDefault="008B746C" w:rsidP="008B746C">
      <w:pPr>
        <w:spacing w:after="0" w:line="20" w:lineRule="atLeast"/>
        <w:jc w:val="both"/>
        <w:rPr>
          <w:rFonts w:cstheme="minorHAnsi"/>
        </w:rPr>
      </w:pPr>
      <w:r w:rsidRPr="006B0B81">
        <w:rPr>
          <w:rFonts w:cstheme="minorHAnsi"/>
          <w:b/>
        </w:rPr>
        <w:t>DPGR 7 agosto 2019, n. T00212</w:t>
      </w:r>
      <w:r w:rsidRPr="006B0B81">
        <w:rPr>
          <w:rFonts w:cstheme="minorHAnsi"/>
        </w:rPr>
        <w:t xml:space="preserve"> Istituzione Pubblica di Assistenza e Beneficenza Istituto Tempesti per l'educazione permanente dei giovani - Casa di Riposo Evaldo Chiassarini di Capranica (VT). Nomina del Commissario straordinario</w:t>
      </w:r>
      <w:r>
        <w:rPr>
          <w:rFonts w:cstheme="minorHAnsi"/>
        </w:rPr>
        <w:t>. (BUR n. 66 del 16.8.19)</w:t>
      </w:r>
    </w:p>
    <w:p w:rsidR="008B746C" w:rsidRDefault="008B746C" w:rsidP="008B746C">
      <w:pPr>
        <w:spacing w:after="0" w:line="20" w:lineRule="atLeast"/>
        <w:jc w:val="both"/>
        <w:rPr>
          <w:rFonts w:cstheme="minorHAnsi"/>
        </w:rPr>
      </w:pPr>
    </w:p>
    <w:p w:rsidR="008B746C" w:rsidRPr="001900F5"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1900F5">
        <w:rPr>
          <w:rFonts w:cstheme="minorHAnsi"/>
          <w:b/>
        </w:rPr>
        <w:t>MINORI</w:t>
      </w:r>
    </w:p>
    <w:p w:rsidR="008B746C" w:rsidRDefault="008B746C" w:rsidP="008B746C">
      <w:pPr>
        <w:spacing w:after="0" w:line="20" w:lineRule="atLeast"/>
        <w:jc w:val="both"/>
        <w:rPr>
          <w:rFonts w:cstheme="minorHAnsi"/>
        </w:rPr>
      </w:pPr>
    </w:p>
    <w:p w:rsidR="008B746C" w:rsidRDefault="008B746C" w:rsidP="008B746C">
      <w:pPr>
        <w:spacing w:after="0" w:line="20" w:lineRule="atLeast"/>
        <w:jc w:val="both"/>
      </w:pPr>
      <w:r w:rsidRPr="001900F5">
        <w:rPr>
          <w:b/>
        </w:rPr>
        <w:t xml:space="preserve">DGR  6 agosto 2019, n. </w:t>
      </w:r>
      <w:proofErr w:type="gramStart"/>
      <w:r w:rsidRPr="001900F5">
        <w:rPr>
          <w:b/>
        </w:rPr>
        <w:t>604</w:t>
      </w:r>
      <w:r w:rsidRPr="001900F5">
        <w:t>,  Istituzione</w:t>
      </w:r>
      <w:proofErr w:type="gramEnd"/>
      <w:r w:rsidRPr="001900F5">
        <w:t xml:space="preserve"> del "Tavolo regionale del Lazio per il monitoraggio dell'applicazione dell'intervento di affidamento familiare e delle "Linee di indirizzo nazionali pe r l'intervento con bambini e famiglie in situazione di vulnerabilità – promozione della genitorialità positiva". (BUR n. 69 del 27.8.19)</w:t>
      </w:r>
    </w:p>
    <w:p w:rsidR="008B746C" w:rsidRDefault="008B746C" w:rsidP="008B746C">
      <w:pPr>
        <w:spacing w:after="0" w:line="20" w:lineRule="atLeast"/>
        <w:jc w:val="both"/>
      </w:pPr>
    </w:p>
    <w:p w:rsidR="008B746C" w:rsidRPr="00EC02FB"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EC02FB">
        <w:rPr>
          <w:rFonts w:cstheme="minorHAnsi"/>
          <w:b/>
        </w:rPr>
        <w:t>NON AUTOSUFFICIENTI</w:t>
      </w:r>
    </w:p>
    <w:p w:rsidR="008B746C" w:rsidRDefault="008B746C" w:rsidP="008B746C">
      <w:pPr>
        <w:spacing w:after="0" w:line="20" w:lineRule="atLeast"/>
        <w:jc w:val="both"/>
        <w:rPr>
          <w:rFonts w:cstheme="minorHAnsi"/>
        </w:rPr>
      </w:pPr>
    </w:p>
    <w:p w:rsidR="008B746C" w:rsidRDefault="008B746C" w:rsidP="008B746C">
      <w:pPr>
        <w:autoSpaceDE w:val="0"/>
        <w:autoSpaceDN w:val="0"/>
        <w:adjustRightInd w:val="0"/>
        <w:spacing w:after="0" w:line="20" w:lineRule="atLeast"/>
        <w:jc w:val="both"/>
      </w:pPr>
      <w:r w:rsidRPr="00EC02FB">
        <w:rPr>
          <w:b/>
        </w:rPr>
        <w:t>Determinazione 29 luglio 2019, n. G</w:t>
      </w:r>
      <w:proofErr w:type="gramStart"/>
      <w:r w:rsidRPr="00EC02FB">
        <w:rPr>
          <w:b/>
        </w:rPr>
        <w:t>10287</w:t>
      </w:r>
      <w:r w:rsidRPr="00EC02FB">
        <w:t>,  Attuazione</w:t>
      </w:r>
      <w:proofErr w:type="gramEnd"/>
      <w:r w:rsidRPr="00EC02FB">
        <w:t xml:space="preserve"> D.G.R. 117/2019. Approvazione dello schema di Convenzione tra la Regione Lazio e la Fondazione Policlinico A. Gemelli per la realizzazione dell'azione di rilevante interesse regionale "Supporto al paziente SLA e accompagnamento alla sua famiglia". Assegnazione complessiva di euro 1.150.000,00. Impegno di spesa sul capitolo H41151 (Programma 02 – Missione 12) di euro 690.000,00, a gravare sull'esercizio finanziario 2019, ed euro 460.000,00, a gravare sull'esercizio finanziario 2020. </w:t>
      </w:r>
      <w:r>
        <w:t>(</w:t>
      </w:r>
      <w:r w:rsidRPr="00EC02FB">
        <w:t>BUR n. 66 del 16.8.19)</w:t>
      </w:r>
    </w:p>
    <w:p w:rsidR="008B746C" w:rsidRDefault="008B746C" w:rsidP="008B746C">
      <w:pPr>
        <w:autoSpaceDE w:val="0"/>
        <w:autoSpaceDN w:val="0"/>
        <w:adjustRightInd w:val="0"/>
        <w:spacing w:after="0" w:line="20" w:lineRule="atLeast"/>
        <w:jc w:val="both"/>
      </w:pPr>
    </w:p>
    <w:p w:rsidR="008B746C" w:rsidRDefault="008B746C" w:rsidP="008B746C">
      <w:pPr>
        <w:autoSpaceDE w:val="0"/>
        <w:autoSpaceDN w:val="0"/>
        <w:adjustRightInd w:val="0"/>
        <w:spacing w:after="0" w:line="20" w:lineRule="atLeast"/>
        <w:jc w:val="both"/>
      </w:pPr>
      <w:r w:rsidRPr="00FE5696">
        <w:rPr>
          <w:b/>
        </w:rPr>
        <w:t>Determinazione 29 luglio 2019, n. G10293</w:t>
      </w:r>
      <w:r w:rsidRPr="00FE5696">
        <w:t>, D.G.R.304/2019. Riparto ed assegnazione ai distretti socio sanitari delle risorse di cui all'articolo 4, comma 12, della L.R. 13/2018 per interventi socio assistenziali in favore di soggetti affetti da sclerosi laterale amiotrofica (SLA). Impegno di spesa di euro 1.000.000,00 sul cap. H41903 (Missione 12 – Programma 02), esercizio finanziario 2019.</w:t>
      </w:r>
      <w:r>
        <w:t xml:space="preserve"> (</w:t>
      </w:r>
      <w:r w:rsidRPr="00EC02FB">
        <w:t>BUR n. 66 del 16.8.19)</w:t>
      </w:r>
    </w:p>
    <w:p w:rsidR="008B746C" w:rsidRDefault="008B746C" w:rsidP="008B746C">
      <w:pPr>
        <w:autoSpaceDE w:val="0"/>
        <w:autoSpaceDN w:val="0"/>
        <w:adjustRightInd w:val="0"/>
        <w:spacing w:after="0" w:line="20" w:lineRule="atLeast"/>
        <w:jc w:val="both"/>
      </w:pPr>
    </w:p>
    <w:p w:rsidR="008B746C" w:rsidRDefault="008B746C" w:rsidP="008B746C">
      <w:pPr>
        <w:spacing w:after="0" w:line="20" w:lineRule="atLeast"/>
        <w:jc w:val="both"/>
      </w:pPr>
      <w:r w:rsidRPr="00FC4DD5">
        <w:rPr>
          <w:b/>
        </w:rPr>
        <w:t>DGR 6 agosto 2019, n. 609</w:t>
      </w:r>
      <w:r w:rsidRPr="00FC4DD5">
        <w:t>, Legge regionale n.7/2014 "Misure finalizzate al miglioramento della funzionalità della Regione: Disposizioni di razionalizzazione e di semplificazione dell'ordinamento regionale nonch</w:t>
      </w:r>
      <w:r>
        <w:t>é</w:t>
      </w:r>
      <w:r w:rsidRPr="00FC4DD5">
        <w:t xml:space="preserve"> interventi per lo sviluppo e la competitività dei territori e a sostegno delle famiglie" articolo 2 commi 87, 88, 88 bis e 89. Concorso regionale agli oneri a carico dei comuni per la spesa sociale per utenti in RSA, centri di riabilitazione e strutture residenziali psichiatriche socio-riabilitative. Finalizzazione di €. 5.481.872,56 sul capitolo H41940.</w:t>
      </w:r>
      <w:r>
        <w:t xml:space="preserve"> </w:t>
      </w:r>
      <w:r w:rsidRPr="001900F5">
        <w:t>(BUR n. 69 del 27.8.19)</w:t>
      </w:r>
    </w:p>
    <w:p w:rsidR="008B746C" w:rsidRDefault="008B746C" w:rsidP="008B746C">
      <w:pPr>
        <w:spacing w:after="0" w:line="20" w:lineRule="atLeast"/>
        <w:jc w:val="both"/>
      </w:pPr>
    </w:p>
    <w:p w:rsidR="008B746C" w:rsidRPr="00A43D1E"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A43D1E">
        <w:rPr>
          <w:rFonts w:cstheme="minorHAnsi"/>
          <w:b/>
        </w:rPr>
        <w:t>PERSONE CON DISABILITÀ</w:t>
      </w:r>
    </w:p>
    <w:p w:rsidR="008B746C" w:rsidRDefault="008B746C" w:rsidP="008B746C">
      <w:pPr>
        <w:spacing w:after="0" w:line="20" w:lineRule="atLeast"/>
        <w:jc w:val="both"/>
        <w:rPr>
          <w:rFonts w:cstheme="minorHAnsi"/>
        </w:rPr>
      </w:pPr>
    </w:p>
    <w:p w:rsidR="008B746C" w:rsidRDefault="008B746C" w:rsidP="008B746C">
      <w:pPr>
        <w:spacing w:after="0" w:line="20" w:lineRule="atLeast"/>
        <w:jc w:val="both"/>
        <w:rPr>
          <w:rFonts w:cstheme="minorHAnsi"/>
        </w:rPr>
      </w:pPr>
      <w:r w:rsidRPr="006B0B81">
        <w:rPr>
          <w:rFonts w:cstheme="minorHAnsi"/>
          <w:b/>
        </w:rPr>
        <w:t xml:space="preserve">DGR 30 luglio 2019, n. </w:t>
      </w:r>
      <w:proofErr w:type="gramStart"/>
      <w:r w:rsidRPr="006B0B81">
        <w:rPr>
          <w:rFonts w:cstheme="minorHAnsi"/>
          <w:b/>
        </w:rPr>
        <w:t xml:space="preserve">564, </w:t>
      </w:r>
      <w:r w:rsidRPr="006B0B81">
        <w:rPr>
          <w:rFonts w:cstheme="minorHAnsi"/>
        </w:rPr>
        <w:t xml:space="preserve"> L.R.</w:t>
      </w:r>
      <w:proofErr w:type="gramEnd"/>
      <w:r w:rsidRPr="006B0B81">
        <w:rPr>
          <w:rFonts w:cstheme="minorHAnsi"/>
        </w:rPr>
        <w:t xml:space="preserve"> 8/2019. Criteri e modalit</w:t>
      </w:r>
      <w:r>
        <w:rPr>
          <w:rFonts w:cstheme="minorHAnsi"/>
        </w:rPr>
        <w:t>à</w:t>
      </w:r>
      <w:r w:rsidRPr="006B0B81">
        <w:rPr>
          <w:rFonts w:cstheme="minorHAnsi"/>
        </w:rPr>
        <w:t xml:space="preserve"> di concessione ai comuni costieri e lacuali dei contributi regionali per l'acquisto di apposite carrozzine o sedie mare per lo spostamento in spiaggia ed in acqua di persone con disabilit</w:t>
      </w:r>
      <w:r>
        <w:rPr>
          <w:rFonts w:cstheme="minorHAnsi"/>
        </w:rPr>
        <w:t>à</w:t>
      </w:r>
      <w:r w:rsidRPr="006B0B81">
        <w:rPr>
          <w:rFonts w:cstheme="minorHAnsi"/>
        </w:rPr>
        <w:t>. Destinazione di euro 200.000,00 sul capitolo H42530, esercizio finanziario 2019. BUR n. 62 del 1.8.19)</w:t>
      </w:r>
    </w:p>
    <w:p w:rsidR="008B746C" w:rsidRDefault="008B746C" w:rsidP="008B746C">
      <w:pPr>
        <w:spacing w:after="0" w:line="20" w:lineRule="atLeast"/>
        <w:jc w:val="both"/>
        <w:rPr>
          <w:rFonts w:cstheme="minorHAnsi"/>
        </w:rPr>
      </w:pPr>
    </w:p>
    <w:p w:rsidR="008B746C" w:rsidRPr="006B0B81" w:rsidRDefault="008B746C" w:rsidP="008B746C">
      <w:pPr>
        <w:spacing w:after="0" w:line="20" w:lineRule="atLeast"/>
        <w:jc w:val="both"/>
        <w:rPr>
          <w:rFonts w:cstheme="minorHAnsi"/>
        </w:rPr>
      </w:pPr>
      <w:r w:rsidRPr="006B0B81">
        <w:rPr>
          <w:rFonts w:cstheme="minorHAnsi"/>
          <w:b/>
        </w:rPr>
        <w:t>Determinazione 28 giugno 2019, n. G08823</w:t>
      </w:r>
      <w:r w:rsidRPr="006B0B81">
        <w:rPr>
          <w:rFonts w:cstheme="minorHAnsi"/>
        </w:rPr>
        <w:t xml:space="preserve"> Legge 112/2016 "Disposizioni in materia di assistenza in favore delle persone con disabilità grave prive del sostegno familiare". Attività finalizzate a supportare la realizzazione di innovative soluzioni alloggiative di cui all'articolo 5, comma 4, del Decreto Ministeriale - Ministero del lavoro e delle politiche sociali - 23 novembre 2016 sul territorio di Roma Capitale. Revoca del finanziamento liquidato in favore del Comune di Roma Capitale per l'importo di Euro 1.000.110,24 impegnato sul capitolo H41170 (provvedimento di liquidazione n. 29390/2018). Accertamento in entrata per Euro 1.000.110,24 sul capitolo di entrata 331525 - P.d.C. 3.05.02.03.002 esercizio finanziario 2019. (BUR n. 61 del 1.8.19)</w:t>
      </w:r>
    </w:p>
    <w:p w:rsidR="008B746C" w:rsidRDefault="008B746C" w:rsidP="008B746C">
      <w:pPr>
        <w:spacing w:after="0" w:line="20" w:lineRule="atLeast"/>
        <w:jc w:val="both"/>
        <w:rPr>
          <w:rFonts w:cstheme="minorHAnsi"/>
        </w:rPr>
      </w:pPr>
    </w:p>
    <w:p w:rsidR="008B746C" w:rsidRDefault="008B746C" w:rsidP="008B746C">
      <w:pPr>
        <w:spacing w:after="0" w:line="20" w:lineRule="atLeast"/>
        <w:jc w:val="both"/>
        <w:rPr>
          <w:rFonts w:cstheme="minorHAnsi"/>
        </w:rPr>
      </w:pPr>
      <w:r w:rsidRPr="006B0B81">
        <w:rPr>
          <w:rFonts w:cstheme="minorHAnsi"/>
          <w:b/>
        </w:rPr>
        <w:t>Determinazione 9 luglio 2019, n. G09359</w:t>
      </w:r>
      <w:r w:rsidRPr="006B0B81">
        <w:rPr>
          <w:rFonts w:cstheme="minorHAnsi"/>
        </w:rPr>
        <w:t xml:space="preserve"> Decreto direttoriale n. 134/2013. Bando ministeriale per la sperimentazione del modello di intervento in materia di vita indipendente ed inclusione nella società delle persone con disabilità. Finanziamento statale complessivo di euro 320.000,00. Impegno di spesa di euro 103.945,00, saldo del finanziamento concesso, sul cap. H41131 (Missione 12 – Programma 02), esercizio finanziario 2019. (BUR n. 63 del 6.8.19)</w:t>
      </w:r>
    </w:p>
    <w:p w:rsidR="008B746C" w:rsidRDefault="008B746C" w:rsidP="008B746C">
      <w:pPr>
        <w:spacing w:after="0" w:line="20" w:lineRule="atLeast"/>
        <w:jc w:val="both"/>
        <w:rPr>
          <w:rFonts w:cstheme="minorHAnsi"/>
        </w:rPr>
      </w:pPr>
    </w:p>
    <w:p w:rsidR="008B746C" w:rsidRDefault="008B746C" w:rsidP="008B746C">
      <w:pPr>
        <w:spacing w:after="0" w:line="20" w:lineRule="atLeast"/>
        <w:jc w:val="both"/>
        <w:rPr>
          <w:rFonts w:cstheme="minorHAnsi"/>
        </w:rPr>
      </w:pPr>
      <w:r w:rsidRPr="006B0B81">
        <w:rPr>
          <w:rFonts w:cstheme="minorHAnsi"/>
          <w:b/>
        </w:rPr>
        <w:t>Determinazione 9 luglio 2019, n. G09360</w:t>
      </w:r>
      <w:r w:rsidRPr="006B0B81">
        <w:rPr>
          <w:rFonts w:cstheme="minorHAnsi"/>
        </w:rPr>
        <w:t xml:space="preserve"> Decreto direttoriale n. 276/2016. Bando ministeriale per la sperimentazione del modello di intervento in materia di vita indipendente ed inclusione nella società delle persone con disabilità. Finanziamento statale, impegno di spesa di euro 880.000,00, sul cap. H41131 (Missione 12 – Programma 02), esercizio finanziario 2019</w:t>
      </w:r>
      <w:r>
        <w:rPr>
          <w:rFonts w:cstheme="minorHAnsi"/>
        </w:rPr>
        <w:t xml:space="preserve">. </w:t>
      </w:r>
      <w:r w:rsidRPr="006B0B81">
        <w:rPr>
          <w:rFonts w:cstheme="minorHAnsi"/>
        </w:rPr>
        <w:t>(BUR n. 63 del 6.8.19)</w:t>
      </w:r>
    </w:p>
    <w:p w:rsidR="008B746C" w:rsidRDefault="008B746C" w:rsidP="008B746C">
      <w:pPr>
        <w:spacing w:after="0" w:line="20" w:lineRule="atLeast"/>
        <w:jc w:val="both"/>
        <w:rPr>
          <w:rFonts w:cstheme="minorHAnsi"/>
        </w:rPr>
      </w:pPr>
    </w:p>
    <w:p w:rsidR="008B746C" w:rsidRPr="006B0B81" w:rsidRDefault="008B746C" w:rsidP="008B746C">
      <w:pPr>
        <w:spacing w:after="0" w:line="20" w:lineRule="atLeast"/>
        <w:jc w:val="both"/>
        <w:rPr>
          <w:rFonts w:cstheme="minorHAnsi"/>
        </w:rPr>
      </w:pPr>
      <w:r w:rsidRPr="006B0B81">
        <w:rPr>
          <w:rFonts w:cstheme="minorHAnsi"/>
          <w:b/>
        </w:rPr>
        <w:t>Determinazione 9 luglio 2019, n. G09362</w:t>
      </w:r>
      <w:r w:rsidRPr="006B0B81">
        <w:rPr>
          <w:rFonts w:cstheme="minorHAnsi"/>
        </w:rPr>
        <w:t xml:space="preserve"> Legge regionale 29 dicembre 2014, n.13 art. 5. Contributo del 20% per l'adattamento di veicoli destinati al trasporto delle persone con disabilità permanente, affette da grave limitazione della capacità di deambulazione. Assegnazione alle Aziende Sanitarie Locali. Annualità 2019 - Impegno di 19.826,22 euro sul capitolo H41955 (Perimetro Sanitario, Missione 12, Programma 2), esercizio finanziario 2019. (BUR n. 63 del 6.8.19)</w:t>
      </w:r>
    </w:p>
    <w:p w:rsidR="008B746C" w:rsidRDefault="008B746C" w:rsidP="008B746C">
      <w:pPr>
        <w:spacing w:after="0" w:line="20" w:lineRule="atLeast"/>
        <w:jc w:val="both"/>
        <w:rPr>
          <w:rFonts w:cstheme="minorHAnsi"/>
        </w:rPr>
      </w:pPr>
    </w:p>
    <w:p w:rsidR="008B746C" w:rsidRDefault="008B746C" w:rsidP="008B746C">
      <w:pPr>
        <w:spacing w:after="0" w:line="20" w:lineRule="atLeast"/>
        <w:jc w:val="both"/>
        <w:rPr>
          <w:rFonts w:cstheme="minorHAnsi"/>
        </w:rPr>
      </w:pPr>
      <w:r w:rsidRPr="006B0B81">
        <w:rPr>
          <w:rFonts w:cstheme="minorHAnsi"/>
          <w:b/>
        </w:rPr>
        <w:t>Determinazione 10 luglio 2019, n. G</w:t>
      </w:r>
      <w:proofErr w:type="gramStart"/>
      <w:r w:rsidRPr="006B0B81">
        <w:rPr>
          <w:rFonts w:cstheme="minorHAnsi"/>
          <w:b/>
        </w:rPr>
        <w:t>09391</w:t>
      </w:r>
      <w:r w:rsidRPr="006B0B81">
        <w:rPr>
          <w:rFonts w:cstheme="minorHAnsi"/>
        </w:rPr>
        <w:t>,  D.G.R.</w:t>
      </w:r>
      <w:proofErr w:type="gramEnd"/>
      <w:r w:rsidRPr="006B0B81">
        <w:rPr>
          <w:rFonts w:cstheme="minorHAnsi"/>
        </w:rPr>
        <w:t xml:space="preserve"> 692/2018. Accordo di Programma per l'erogazione dei Servizi Educativi in favore dei disabili visivi e pluridisabili. Conferma dell'impegno n. 30470/2019, a saldo, di euro 375.000,00 sul cap. H41924 (Missione 12 – Programma 07), es. fin. 2019, in favore dell'I.P.A.B. "Centro regionale S. Alessio Margherita di Savoia per i Ciechi</w:t>
      </w:r>
      <w:r>
        <w:rPr>
          <w:rFonts w:cstheme="minorHAnsi"/>
        </w:rPr>
        <w:t xml:space="preserve">. </w:t>
      </w:r>
      <w:r w:rsidRPr="006B0B81">
        <w:rPr>
          <w:rFonts w:cstheme="minorHAnsi"/>
        </w:rPr>
        <w:t>(BUR n. 63 del 6.8.19)</w:t>
      </w:r>
    </w:p>
    <w:p w:rsidR="008B746C" w:rsidRDefault="008B746C" w:rsidP="008B746C">
      <w:pPr>
        <w:spacing w:after="0" w:line="20" w:lineRule="atLeast"/>
        <w:jc w:val="both"/>
        <w:rPr>
          <w:rFonts w:cstheme="minorHAnsi"/>
        </w:rPr>
      </w:pPr>
    </w:p>
    <w:p w:rsidR="008B746C" w:rsidRDefault="008B746C" w:rsidP="008B746C">
      <w:pPr>
        <w:spacing w:after="0" w:line="20" w:lineRule="atLeast"/>
        <w:jc w:val="both"/>
        <w:rPr>
          <w:rFonts w:cstheme="minorHAnsi"/>
        </w:rPr>
      </w:pPr>
      <w:r w:rsidRPr="006B0B81">
        <w:rPr>
          <w:rFonts w:cstheme="minorHAnsi"/>
          <w:b/>
        </w:rPr>
        <w:t xml:space="preserve">DGR 16 luglio 2019, n. </w:t>
      </w:r>
      <w:proofErr w:type="gramStart"/>
      <w:r w:rsidRPr="006B0B81">
        <w:rPr>
          <w:rFonts w:cstheme="minorHAnsi"/>
          <w:b/>
        </w:rPr>
        <w:t>476</w:t>
      </w:r>
      <w:r w:rsidRPr="006B0B81">
        <w:rPr>
          <w:rFonts w:cstheme="minorHAnsi"/>
        </w:rPr>
        <w:t>,  Decreto</w:t>
      </w:r>
      <w:proofErr w:type="gramEnd"/>
      <w:r w:rsidRPr="006B0B81">
        <w:rPr>
          <w:rFonts w:cstheme="minorHAnsi"/>
        </w:rPr>
        <w:t xml:space="preserve"> Direttore Generale del Ministero del lavoro e delle politiche sociali del 28 dicembre 2018, n. 669. Adesione alla sperimentazione del modello di intervento in materia di vita indipendente ed inclusione nella società delle persone con disabilità, bando anno 2018. Finanziamento ministeriale di 1.440.000,00. Cofinanziamento regionale obbligatorio ai costi progettuali del 20%, euro 360.000,00 sul cap. C11103, esercizio finanziario 2019. (BUR n. 64 dell’8.8.19)</w:t>
      </w:r>
    </w:p>
    <w:p w:rsidR="008B746C" w:rsidRDefault="008B746C" w:rsidP="008B746C">
      <w:pPr>
        <w:spacing w:after="0" w:line="20" w:lineRule="atLeast"/>
        <w:jc w:val="both"/>
        <w:rPr>
          <w:rFonts w:cstheme="minorHAnsi"/>
        </w:rPr>
      </w:pPr>
    </w:p>
    <w:p w:rsidR="008B746C" w:rsidRDefault="008B746C" w:rsidP="008B746C">
      <w:pPr>
        <w:spacing w:after="0" w:line="20" w:lineRule="atLeast"/>
        <w:jc w:val="both"/>
        <w:rPr>
          <w:rFonts w:cstheme="minorHAnsi"/>
        </w:rPr>
      </w:pPr>
      <w:r w:rsidRPr="00983BF8">
        <w:rPr>
          <w:rFonts w:cstheme="minorHAnsi"/>
          <w:b/>
        </w:rPr>
        <w:t xml:space="preserve">Determinazione 22 luglio 2019, n. G09926, </w:t>
      </w:r>
      <w:r w:rsidRPr="00983BF8">
        <w:rPr>
          <w:rFonts w:cstheme="minorHAnsi"/>
        </w:rPr>
        <w:t>Linee guida per lo svolgimento del servizio di trasporto scolastico degli alunni con disabilità residenti nella Regione Lazio e frequentanti le Istituzioni Scolastiche secondarie di II grado statali o paritarie o i Percorsi triennali di IeFP. Anno scolastico 2019/20. Impegno pluriennale di spesa di euro 1.700.000,00 in favore di creditori diversi a valere sul Capitolo F11900 di cui euro 850.000,00 per l'esercizio finanziario 2019 e euro 850.000,00 per l'esercizio finanziario 2020 attuazione della spesa</w:t>
      </w:r>
      <w:r>
        <w:rPr>
          <w:rFonts w:cstheme="minorHAnsi"/>
        </w:rPr>
        <w:t>. (BUR n. 63 del 6.8.19)</w:t>
      </w:r>
    </w:p>
    <w:p w:rsidR="008B746C" w:rsidRDefault="008B746C" w:rsidP="008B746C">
      <w:pPr>
        <w:spacing w:after="0" w:line="20" w:lineRule="atLeast"/>
        <w:jc w:val="both"/>
        <w:rPr>
          <w:rFonts w:cstheme="minorHAnsi"/>
        </w:rPr>
      </w:pPr>
    </w:p>
    <w:p w:rsidR="008B746C" w:rsidRPr="00315F03" w:rsidRDefault="008B746C" w:rsidP="008B746C">
      <w:pPr>
        <w:autoSpaceDE w:val="0"/>
        <w:autoSpaceDN w:val="0"/>
        <w:adjustRightInd w:val="0"/>
        <w:spacing w:after="0" w:line="20" w:lineRule="atLeast"/>
        <w:jc w:val="both"/>
      </w:pPr>
      <w:r w:rsidRPr="00315F03">
        <w:rPr>
          <w:b/>
        </w:rPr>
        <w:t>Determinazione 8 agosto 2019, n. G</w:t>
      </w:r>
      <w:proofErr w:type="gramStart"/>
      <w:r w:rsidRPr="00315F03">
        <w:rPr>
          <w:b/>
        </w:rPr>
        <w:t>10864</w:t>
      </w:r>
      <w:r w:rsidRPr="00315F03">
        <w:t>,  Legge</w:t>
      </w:r>
      <w:proofErr w:type="gramEnd"/>
      <w:r w:rsidRPr="00315F03">
        <w:t xml:space="preserve"> 13/1989 e L.R. 18.6.91 n. 21, art. 32 – Disposizioni per favorire il superamento e l'eliminazione delle barriere architettoniche negli edifici privati – Approvazione graduatorie e assunzione degli impegni di spesa sul capitolo E56102 (Missione 12, Programma 02, aggregato 2.03.01.02.000) per scorrimento graduatoria con codice A e con codice B per complessivi € 12.835.259,28 – Esercizio finanziario 2019. (BUR n. 68 del 22.8.19)</w:t>
      </w:r>
    </w:p>
    <w:p w:rsidR="008B746C" w:rsidRDefault="008B746C" w:rsidP="008B746C">
      <w:pPr>
        <w:spacing w:after="0" w:line="20" w:lineRule="atLeast"/>
        <w:jc w:val="both"/>
        <w:rPr>
          <w:rFonts w:cstheme="minorHAnsi"/>
        </w:rPr>
      </w:pPr>
    </w:p>
    <w:p w:rsidR="008B746C" w:rsidRDefault="008B746C" w:rsidP="008B746C">
      <w:pPr>
        <w:spacing w:after="0" w:line="20" w:lineRule="atLeast"/>
        <w:jc w:val="both"/>
      </w:pPr>
      <w:r w:rsidRPr="0096114A">
        <w:rPr>
          <w:b/>
        </w:rPr>
        <w:t xml:space="preserve">DGR  6 agosto 2019, n. </w:t>
      </w:r>
      <w:proofErr w:type="gramStart"/>
      <w:r w:rsidRPr="0096114A">
        <w:rPr>
          <w:b/>
        </w:rPr>
        <w:t>608</w:t>
      </w:r>
      <w:r w:rsidRPr="0096114A">
        <w:t>,  Legge</w:t>
      </w:r>
      <w:proofErr w:type="gramEnd"/>
      <w:r w:rsidRPr="0096114A">
        <w:t xml:space="preserve"> 112/2016 "Disposizioni in materia di assistenza in favore delle persone con disabilità grave prive del sostegno familiare". Individuazione dell'IPAB "Opera Pia Asilo Savoia", operante nell'ambito del Raggruppamento II.PP.A.B. "Opera Pia Asilo Savoia, Pio Istituto della Santissima Annunziata, Lascito Giovanni e Margherita Achillini" di Roma per attività finalizzate a supportare la realizzazione di innovative soluzioni alloggiative di cui all'articolo 5, comma 4 del DM del 23/11/2016 sul territorio di Roma Capitale. Approvazione schema accordo di programma.</w:t>
      </w:r>
      <w:r>
        <w:t xml:space="preserve"> </w:t>
      </w:r>
      <w:r w:rsidRPr="001900F5">
        <w:t>(BUR n. 69 del 27.8.19)</w:t>
      </w:r>
    </w:p>
    <w:p w:rsidR="008B746C" w:rsidRDefault="008B746C" w:rsidP="008B746C">
      <w:pPr>
        <w:spacing w:after="0" w:line="20" w:lineRule="atLeast"/>
        <w:jc w:val="both"/>
        <w:rPr>
          <w:rFonts w:cstheme="minorHAnsi"/>
        </w:rPr>
      </w:pPr>
    </w:p>
    <w:p w:rsidR="008B746C" w:rsidRDefault="008B746C" w:rsidP="008B746C">
      <w:pPr>
        <w:spacing w:after="0" w:line="20" w:lineRule="atLeast"/>
        <w:jc w:val="both"/>
      </w:pPr>
      <w:r w:rsidRPr="007B30AC">
        <w:rPr>
          <w:b/>
        </w:rPr>
        <w:t xml:space="preserve">DGR 6 agosto 2019, n. </w:t>
      </w:r>
      <w:proofErr w:type="gramStart"/>
      <w:r w:rsidRPr="007B30AC">
        <w:rPr>
          <w:b/>
        </w:rPr>
        <w:t>607</w:t>
      </w:r>
      <w:r>
        <w:rPr>
          <w:b/>
        </w:rPr>
        <w:t xml:space="preserve">, </w:t>
      </w:r>
      <w:r w:rsidRPr="007B30AC">
        <w:t xml:space="preserve"> L.R.</w:t>
      </w:r>
      <w:proofErr w:type="gramEnd"/>
      <w:r w:rsidRPr="007B30AC">
        <w:t>11/2016</w:t>
      </w:r>
      <w:r>
        <w:t xml:space="preserve">   Approvazione dello schema di Accordo di Programma fra la Regione Lazio e l'I.P.A.B. "Centro regionale S. Alessio - Margherita di Savoia per i Ciechi" per la prosecuzione annuale dei servizi in favore dei cittadini ciechi e con pluridisabilità, di cui alla legge 28 agosto 1997 n. 284, art. 3, alla </w:t>
      </w:r>
      <w:r>
        <w:lastRenderedPageBreak/>
        <w:t>legge regionale 14 gennaio 1987 n. 8 e alla legge regionale 28 dicembre 2007 n. 26, art. 17. (BUR n. 70 del 29.8.19)</w:t>
      </w:r>
    </w:p>
    <w:p w:rsidR="008B746C" w:rsidRDefault="008B746C" w:rsidP="008B746C">
      <w:pPr>
        <w:spacing w:after="0" w:line="20" w:lineRule="atLeast"/>
        <w:jc w:val="both"/>
      </w:pPr>
    </w:p>
    <w:p w:rsidR="008B746C" w:rsidRPr="000719A0" w:rsidRDefault="008B746C" w:rsidP="008B746C">
      <w:pPr>
        <w:autoSpaceDE w:val="0"/>
        <w:autoSpaceDN w:val="0"/>
        <w:adjustRightInd w:val="0"/>
        <w:spacing w:after="0" w:line="20" w:lineRule="atLeast"/>
        <w:jc w:val="both"/>
      </w:pPr>
      <w:r w:rsidRPr="0096114A">
        <w:rPr>
          <w:b/>
        </w:rPr>
        <w:t xml:space="preserve">DGR  6 agosto 2019, n. </w:t>
      </w:r>
      <w:proofErr w:type="gramStart"/>
      <w:r w:rsidRPr="0096114A">
        <w:rPr>
          <w:b/>
        </w:rPr>
        <w:t>608</w:t>
      </w:r>
      <w:r w:rsidRPr="0096114A">
        <w:t>,  Legge</w:t>
      </w:r>
      <w:proofErr w:type="gramEnd"/>
      <w:r w:rsidRPr="0096114A">
        <w:t xml:space="preserve"> 112/2016 "Disposizioni in materia di assistenza in favore delle persone con disabilità grave prive del sostegno familiare". Individuazione dell'IPAB "Opera Pia Asilo Savoia", operante nell'ambito del Raggruppamento II.PP.A.B. "Opera Pia Asilo Savoia, Pio Istituto della Santissima Annunziata, Lascito Giovanni e Margherita Achillini" di Roma per attività finalizzate a supportare la realizzazione di innovative soluzioni alloggiative di cui all'articolo 5, comma 4 del DM del 23/11/2016 sul territorio di Roma Capitale. Approvazione schema accordo di programma.</w:t>
      </w:r>
      <w:r>
        <w:t xml:space="preserve"> (BUR n. 70 del 29.8.19)</w:t>
      </w:r>
    </w:p>
    <w:p w:rsidR="008B746C" w:rsidRDefault="008B746C" w:rsidP="008B746C">
      <w:pPr>
        <w:spacing w:after="0" w:line="20" w:lineRule="atLeast"/>
        <w:jc w:val="both"/>
      </w:pPr>
    </w:p>
    <w:p w:rsidR="008B746C" w:rsidRPr="007E4689"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7E4689">
        <w:rPr>
          <w:rFonts w:cstheme="minorHAnsi"/>
          <w:b/>
        </w:rPr>
        <w:t>POLITICHE SOCIALI</w:t>
      </w:r>
    </w:p>
    <w:p w:rsidR="008B746C" w:rsidRPr="007E4689" w:rsidRDefault="008B746C" w:rsidP="008B746C">
      <w:pPr>
        <w:spacing w:after="0" w:line="20" w:lineRule="atLeast"/>
        <w:jc w:val="both"/>
        <w:rPr>
          <w:rFonts w:ascii="Corbel" w:hAnsi="Corbel" w:cs="Times New Roman"/>
          <w:sz w:val="28"/>
          <w:szCs w:val="28"/>
        </w:rPr>
      </w:pPr>
    </w:p>
    <w:p w:rsidR="008B746C" w:rsidRPr="007E4689" w:rsidRDefault="008B746C" w:rsidP="008B746C">
      <w:pPr>
        <w:spacing w:after="0" w:line="20" w:lineRule="atLeast"/>
        <w:jc w:val="both"/>
      </w:pPr>
      <w:r w:rsidRPr="007E4689">
        <w:rPr>
          <w:b/>
        </w:rPr>
        <w:t xml:space="preserve">DGR 30 luglio 2019, n. </w:t>
      </w:r>
      <w:proofErr w:type="gramStart"/>
      <w:r w:rsidRPr="007E4689">
        <w:rPr>
          <w:b/>
        </w:rPr>
        <w:t>565</w:t>
      </w:r>
      <w:r w:rsidRPr="007E4689">
        <w:t>,  Legge</w:t>
      </w:r>
      <w:proofErr w:type="gramEnd"/>
      <w:r w:rsidRPr="007E4689">
        <w:t xml:space="preserve"> regionale 28 dicembre 2018, n. 14. Programmazione delle risorse regionali da impegnare per gli interventi di carattere sociale e sociosanitari relativi all'esercizio finanziario 2019. (BUR n. 66 del 16.8.19)</w:t>
      </w:r>
    </w:p>
    <w:p w:rsidR="008B746C" w:rsidRDefault="008B746C" w:rsidP="008B746C">
      <w:pPr>
        <w:spacing w:after="0" w:line="20" w:lineRule="atLeast"/>
        <w:jc w:val="both"/>
        <w:rPr>
          <w:rFonts w:cstheme="minorHAnsi"/>
        </w:rPr>
      </w:pPr>
    </w:p>
    <w:p w:rsidR="008B746C" w:rsidRPr="00C52080"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C52080">
        <w:rPr>
          <w:rFonts w:cstheme="minorHAnsi"/>
          <w:b/>
        </w:rPr>
        <w:t>POVERTÀ INCLUSIONE SOCIALE</w:t>
      </w:r>
    </w:p>
    <w:p w:rsidR="008B746C" w:rsidRPr="006B0B81" w:rsidRDefault="008B746C" w:rsidP="008B746C">
      <w:pPr>
        <w:spacing w:after="0" w:line="20" w:lineRule="atLeast"/>
        <w:jc w:val="both"/>
        <w:rPr>
          <w:rFonts w:cstheme="minorHAnsi"/>
        </w:rPr>
      </w:pPr>
    </w:p>
    <w:p w:rsidR="008B746C" w:rsidRDefault="008B746C" w:rsidP="008B746C">
      <w:pPr>
        <w:spacing w:after="0" w:line="20" w:lineRule="atLeast"/>
        <w:jc w:val="both"/>
        <w:rPr>
          <w:rFonts w:cstheme="minorHAnsi"/>
        </w:rPr>
      </w:pPr>
      <w:r w:rsidRPr="006B0B81">
        <w:rPr>
          <w:rFonts w:cstheme="minorHAnsi"/>
          <w:b/>
        </w:rPr>
        <w:t>DGR  16 luglio 2019, n. 469</w:t>
      </w:r>
      <w:r w:rsidRPr="006B0B81">
        <w:rPr>
          <w:rFonts w:cstheme="minorHAnsi"/>
        </w:rPr>
        <w:t>, Decreto legge 28 gennaio 2019 n. 4, convertito, con modificazioni, dalla legge 28 marzo 2019, n. 26"Disposizioni urgenti in materia di reddito di cittadinanza e di pensioni". Approvazione schema di Convenzione tra la Regione Lazio e ANPAL Servizi S.p.A.- Piano straordinario di potenziamento dei Centri per l'Impiego e delle politiche attive per il lavoro.</w:t>
      </w:r>
      <w:r>
        <w:rPr>
          <w:rFonts w:cstheme="minorHAnsi"/>
        </w:rPr>
        <w:t xml:space="preserve"> </w:t>
      </w:r>
      <w:r w:rsidRPr="006B0B81">
        <w:rPr>
          <w:rFonts w:cstheme="minorHAnsi"/>
        </w:rPr>
        <w:t>(BUR n. 64 dell’8.8.19)</w:t>
      </w:r>
    </w:p>
    <w:p w:rsidR="008B746C" w:rsidRDefault="008B746C" w:rsidP="008B746C">
      <w:pPr>
        <w:spacing w:after="0" w:line="20" w:lineRule="atLeast"/>
        <w:jc w:val="both"/>
        <w:rPr>
          <w:rFonts w:cstheme="minorHAnsi"/>
        </w:rPr>
      </w:pPr>
    </w:p>
    <w:p w:rsidR="008B746C" w:rsidRPr="002C1A83" w:rsidRDefault="008B746C" w:rsidP="008B746C">
      <w:pPr>
        <w:spacing w:after="0" w:line="20" w:lineRule="atLeast"/>
        <w:jc w:val="both"/>
      </w:pPr>
      <w:r w:rsidRPr="002C1A83">
        <w:rPr>
          <w:b/>
        </w:rPr>
        <w:t xml:space="preserve">Determinazione 6 agosto 2019, n. G10759, </w:t>
      </w:r>
      <w:r w:rsidRPr="002C1A83">
        <w:t xml:space="preserve"> Determinazione a contrarre per l'affidamento, ai sensi dell'art. 63, comma 2, lett. c), del D.lgs n. 50/2016, al Gruppo Poste Italiane S.p.A. per lo svolgimento del ruolo di Soggetto Erogatore nell'ambito dell'Iniziativa RIESCO, a valere sull'Asse 1 – Occupazione – Priorità di investimento 8.i – Obiettivo specifico 8.5 e sull' Asse 2 – Inclusione sociale lotta alla Povertà – Priorità di investimento 9.i – Obiettivo specifico 9.2 – Azione Cardine 42 del POR Lazio FSE 2014-2020. (BUR n. 68 del 22.8.19)</w:t>
      </w:r>
    </w:p>
    <w:p w:rsidR="008B746C" w:rsidRDefault="008B746C" w:rsidP="008B746C">
      <w:pPr>
        <w:spacing w:after="0" w:line="20" w:lineRule="atLeast"/>
        <w:jc w:val="both"/>
        <w:rPr>
          <w:rFonts w:cstheme="minorHAnsi"/>
        </w:rPr>
      </w:pPr>
    </w:p>
    <w:p w:rsidR="008B746C" w:rsidRPr="009B3050"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9B3050">
        <w:rPr>
          <w:rFonts w:cstheme="minorHAnsi"/>
          <w:b/>
        </w:rPr>
        <w:t>SANITÀ</w:t>
      </w:r>
    </w:p>
    <w:p w:rsidR="008B746C" w:rsidRPr="006B0B81" w:rsidRDefault="008B746C" w:rsidP="008B746C">
      <w:pPr>
        <w:spacing w:after="0" w:line="20" w:lineRule="atLeast"/>
        <w:jc w:val="both"/>
        <w:rPr>
          <w:rFonts w:cstheme="minorHAnsi"/>
        </w:rPr>
      </w:pPr>
    </w:p>
    <w:p w:rsidR="008B746C" w:rsidRDefault="008B746C" w:rsidP="008B746C">
      <w:pPr>
        <w:autoSpaceDE w:val="0"/>
        <w:autoSpaceDN w:val="0"/>
        <w:adjustRightInd w:val="0"/>
        <w:spacing w:after="0" w:line="20" w:lineRule="atLeast"/>
        <w:jc w:val="both"/>
        <w:rPr>
          <w:rFonts w:cstheme="minorHAnsi"/>
        </w:rPr>
      </w:pPr>
      <w:r w:rsidRPr="00983BF8">
        <w:rPr>
          <w:rFonts w:cstheme="minorHAnsi"/>
          <w:b/>
        </w:rPr>
        <w:t>DCA 23 luglio 2019, n. U00295</w:t>
      </w:r>
      <w:r w:rsidRPr="00983BF8">
        <w:rPr>
          <w:rFonts w:cstheme="minorHAnsi"/>
        </w:rPr>
        <w:t>, Aggiornamento "Allegato A" del DCA 313/2013 concernente "Approvazione Nomenclatore Tariffario Regionale per Prestazioni di Assistenza Specialistica Ambulatoriale. D.M. 18.10.2012". Estensione dell'erogabilità di alcune prestazioni. (BUR n. 65 del 13.8.19)</w:t>
      </w:r>
    </w:p>
    <w:p w:rsidR="008B746C" w:rsidRDefault="008B746C" w:rsidP="008B746C">
      <w:pPr>
        <w:autoSpaceDE w:val="0"/>
        <w:autoSpaceDN w:val="0"/>
        <w:adjustRightInd w:val="0"/>
        <w:spacing w:after="0" w:line="20" w:lineRule="atLeast"/>
        <w:jc w:val="both"/>
        <w:rPr>
          <w:rFonts w:cstheme="minorHAnsi"/>
        </w:rPr>
      </w:pPr>
    </w:p>
    <w:p w:rsidR="008B746C" w:rsidRPr="00983BF8" w:rsidRDefault="008B746C" w:rsidP="008B746C">
      <w:pPr>
        <w:autoSpaceDE w:val="0"/>
        <w:autoSpaceDN w:val="0"/>
        <w:adjustRightInd w:val="0"/>
        <w:spacing w:after="0" w:line="20" w:lineRule="atLeast"/>
        <w:jc w:val="both"/>
        <w:rPr>
          <w:rFonts w:cstheme="minorHAnsi"/>
        </w:rPr>
      </w:pPr>
      <w:r w:rsidRPr="008B4F6D">
        <w:rPr>
          <w:rFonts w:cstheme="minorHAnsi"/>
          <w:b/>
        </w:rPr>
        <w:t>DCA 25 luglio 2019, n. U00302</w:t>
      </w:r>
      <w:r w:rsidRPr="00983BF8">
        <w:rPr>
          <w:rFonts w:cstheme="minorHAnsi"/>
        </w:rPr>
        <w:t>, Piano regionale per il governo delle Liste di Attesa 2019-2021.</w:t>
      </w:r>
      <w:r>
        <w:rPr>
          <w:rFonts w:cstheme="minorHAnsi"/>
        </w:rPr>
        <w:t xml:space="preserve"> </w:t>
      </w:r>
      <w:r w:rsidRPr="00983BF8">
        <w:rPr>
          <w:rFonts w:cstheme="minorHAnsi"/>
        </w:rPr>
        <w:t>(BUR n. 65 del 13.8.19)</w:t>
      </w:r>
    </w:p>
    <w:p w:rsidR="008B746C" w:rsidRDefault="008B746C" w:rsidP="008B746C">
      <w:pPr>
        <w:autoSpaceDE w:val="0"/>
        <w:autoSpaceDN w:val="0"/>
        <w:adjustRightInd w:val="0"/>
        <w:spacing w:after="0" w:line="20" w:lineRule="atLeast"/>
        <w:jc w:val="both"/>
        <w:rPr>
          <w:rFonts w:cstheme="minorHAnsi"/>
        </w:rPr>
      </w:pPr>
    </w:p>
    <w:p w:rsidR="008B746C" w:rsidRDefault="008B746C" w:rsidP="008B746C">
      <w:pPr>
        <w:autoSpaceDE w:val="0"/>
        <w:autoSpaceDN w:val="0"/>
        <w:adjustRightInd w:val="0"/>
        <w:spacing w:after="0" w:line="20" w:lineRule="atLeast"/>
        <w:jc w:val="both"/>
        <w:rPr>
          <w:rFonts w:cstheme="minorHAnsi"/>
        </w:rPr>
      </w:pPr>
      <w:r w:rsidRPr="008B4F6D">
        <w:rPr>
          <w:rFonts w:cstheme="minorHAnsi"/>
          <w:b/>
        </w:rPr>
        <w:t>DCA  25 luglio 2019, n. U00303</w:t>
      </w:r>
      <w:r w:rsidRPr="00FD24FB">
        <w:rPr>
          <w:rFonts w:cstheme="minorHAnsi"/>
        </w:rPr>
        <w:t>, Adozione del piano di rientro "Piano di riorganizzazione, riqualificazione e sviluppo del Servizio Sanitario Regionale 2019-2021" ai sensi e per gli effetti dell'art. 2, comma 88 della L. 191/2009.</w:t>
      </w:r>
      <w:r>
        <w:rPr>
          <w:rFonts w:cstheme="minorHAnsi"/>
        </w:rPr>
        <w:t xml:space="preserve"> </w:t>
      </w:r>
      <w:r w:rsidRPr="00983BF8">
        <w:rPr>
          <w:rFonts w:cstheme="minorHAnsi"/>
        </w:rPr>
        <w:t>(BUR n. 65 del 13.8.19)</w:t>
      </w:r>
    </w:p>
    <w:p w:rsidR="008B746C" w:rsidRDefault="008B746C" w:rsidP="008B746C">
      <w:pPr>
        <w:autoSpaceDE w:val="0"/>
        <w:autoSpaceDN w:val="0"/>
        <w:adjustRightInd w:val="0"/>
        <w:spacing w:after="0" w:line="20" w:lineRule="atLeast"/>
        <w:jc w:val="both"/>
        <w:rPr>
          <w:rFonts w:cstheme="minorHAnsi"/>
        </w:rPr>
      </w:pPr>
    </w:p>
    <w:p w:rsidR="008B746C" w:rsidRPr="00520846" w:rsidRDefault="008B746C" w:rsidP="008B746C">
      <w:pPr>
        <w:autoSpaceDE w:val="0"/>
        <w:autoSpaceDN w:val="0"/>
        <w:adjustRightInd w:val="0"/>
        <w:spacing w:after="0" w:line="20" w:lineRule="atLeast"/>
        <w:jc w:val="both"/>
      </w:pPr>
      <w:r w:rsidRPr="00520846">
        <w:rPr>
          <w:b/>
        </w:rPr>
        <w:t>DCA 26 luglio 2019, n. U</w:t>
      </w:r>
      <w:proofErr w:type="gramStart"/>
      <w:r w:rsidRPr="00520846">
        <w:rPr>
          <w:b/>
        </w:rPr>
        <w:t>00306</w:t>
      </w:r>
      <w:r w:rsidRPr="00520846">
        <w:t>,  Definizione</w:t>
      </w:r>
      <w:proofErr w:type="gramEnd"/>
      <w:r w:rsidRPr="00520846">
        <w:t xml:space="preserve"> delle discipline/attività affini e complementari. (BUR n. 66 del 16.8.19)</w:t>
      </w:r>
    </w:p>
    <w:p w:rsidR="008B746C" w:rsidRDefault="008B746C" w:rsidP="008B746C">
      <w:pPr>
        <w:spacing w:after="0" w:line="20" w:lineRule="atLeast"/>
        <w:jc w:val="both"/>
        <w:rPr>
          <w:rFonts w:cstheme="minorHAnsi"/>
        </w:rPr>
      </w:pPr>
    </w:p>
    <w:p w:rsidR="008B746C" w:rsidRDefault="008B746C" w:rsidP="008B746C">
      <w:pPr>
        <w:autoSpaceDE w:val="0"/>
        <w:autoSpaceDN w:val="0"/>
        <w:adjustRightInd w:val="0"/>
        <w:spacing w:after="0" w:line="20" w:lineRule="atLeast"/>
        <w:jc w:val="both"/>
      </w:pPr>
      <w:r w:rsidRPr="00520846">
        <w:rPr>
          <w:b/>
        </w:rPr>
        <w:t>DCA 30 luglio 2019, n. U</w:t>
      </w:r>
      <w:proofErr w:type="gramStart"/>
      <w:r w:rsidRPr="00520846">
        <w:rPr>
          <w:b/>
        </w:rPr>
        <w:t>00319</w:t>
      </w:r>
      <w:r w:rsidRPr="00520846">
        <w:t>,  D.M.</w:t>
      </w:r>
      <w:proofErr w:type="gramEnd"/>
      <w:r w:rsidRPr="00520846">
        <w:t xml:space="preserve"> 12 febbraio 2019 "Ripartizione del Fondo di 60 milioni di euro per la riduzione della quota fissa per ricetta di prestazioni di specialistica ambulatoriale" pubblicato sulla G.U. del 3 marzo 2019. Individuazione delle categorie vulnerabili per la riduzione della quota fissa sulla ricetta di specialistica ambulatoriale. (BUR n. 66 del 16.8.19)</w:t>
      </w:r>
    </w:p>
    <w:p w:rsidR="008B746C" w:rsidRDefault="008B746C" w:rsidP="008B746C">
      <w:pPr>
        <w:autoSpaceDE w:val="0"/>
        <w:autoSpaceDN w:val="0"/>
        <w:adjustRightInd w:val="0"/>
        <w:spacing w:after="0" w:line="20" w:lineRule="atLeast"/>
        <w:jc w:val="both"/>
      </w:pPr>
    </w:p>
    <w:p w:rsidR="008B746C" w:rsidRDefault="008B746C" w:rsidP="008B746C">
      <w:pPr>
        <w:spacing w:after="0" w:line="20" w:lineRule="atLeast"/>
        <w:jc w:val="both"/>
        <w:rPr>
          <w:rFonts w:cstheme="minorHAnsi"/>
        </w:rPr>
      </w:pPr>
      <w:r w:rsidRPr="006B0B81">
        <w:rPr>
          <w:rFonts w:cstheme="minorHAnsi"/>
          <w:b/>
        </w:rPr>
        <w:t>DCA 1 agosto 2019, n. U</w:t>
      </w:r>
      <w:proofErr w:type="gramStart"/>
      <w:r w:rsidRPr="006B0B81">
        <w:rPr>
          <w:rFonts w:cstheme="minorHAnsi"/>
          <w:b/>
        </w:rPr>
        <w:t>00322</w:t>
      </w:r>
      <w:r w:rsidRPr="006B0B81">
        <w:rPr>
          <w:rFonts w:cstheme="minorHAnsi"/>
        </w:rPr>
        <w:t>,  Approvazione</w:t>
      </w:r>
      <w:proofErr w:type="gramEnd"/>
      <w:r w:rsidRPr="006B0B81">
        <w:rPr>
          <w:rFonts w:cstheme="minorHAnsi"/>
        </w:rPr>
        <w:t xml:space="preserve"> dell'Atto Aziendale della ASL Roma 4.</w:t>
      </w:r>
      <w:r>
        <w:rPr>
          <w:rFonts w:cstheme="minorHAnsi"/>
        </w:rPr>
        <w:t xml:space="preserve"> (BUR n. 63 del 6.8.19)</w:t>
      </w:r>
    </w:p>
    <w:p w:rsidR="008B746C" w:rsidRPr="00457A53" w:rsidRDefault="008B746C" w:rsidP="008B746C">
      <w:pPr>
        <w:spacing w:after="0" w:line="20" w:lineRule="atLeast"/>
        <w:jc w:val="both"/>
      </w:pPr>
      <w:r w:rsidRPr="00457A53">
        <w:rPr>
          <w:b/>
        </w:rPr>
        <w:lastRenderedPageBreak/>
        <w:t xml:space="preserve">DGR 30 luglio 2019, n. </w:t>
      </w:r>
      <w:proofErr w:type="gramStart"/>
      <w:r w:rsidRPr="00457A53">
        <w:rPr>
          <w:b/>
        </w:rPr>
        <w:t>521</w:t>
      </w:r>
      <w:r w:rsidRPr="00457A53">
        <w:t>,  Obiettivi</w:t>
      </w:r>
      <w:proofErr w:type="gramEnd"/>
      <w:r w:rsidRPr="00457A53">
        <w:t xml:space="preserve"> di mandato dei direttori generali delle Aziende sanitarie disciplinato da contratto di prestazione d’opera intellettuale stipulato in conformità all’apposito schema approvato dalla Giunta regionale ed il relativo trattamento economico. (BUR n. 66 del 16.8.19)</w:t>
      </w:r>
    </w:p>
    <w:p w:rsidR="008B746C" w:rsidRDefault="008B746C" w:rsidP="008B746C">
      <w:pPr>
        <w:spacing w:after="0" w:line="20" w:lineRule="atLeast"/>
        <w:jc w:val="both"/>
        <w:rPr>
          <w:rFonts w:cstheme="minorHAnsi"/>
        </w:rPr>
      </w:pPr>
    </w:p>
    <w:p w:rsidR="008B746C" w:rsidRPr="00BC079D" w:rsidRDefault="008B746C" w:rsidP="008B746C">
      <w:pPr>
        <w:autoSpaceDE w:val="0"/>
        <w:autoSpaceDN w:val="0"/>
        <w:adjustRightInd w:val="0"/>
        <w:spacing w:after="0" w:line="20" w:lineRule="atLeast"/>
        <w:jc w:val="both"/>
      </w:pPr>
      <w:r w:rsidRPr="00BC079D">
        <w:rPr>
          <w:b/>
        </w:rPr>
        <w:t>DCA 1 agosto 2019, n. U</w:t>
      </w:r>
      <w:proofErr w:type="gramStart"/>
      <w:r w:rsidRPr="00BC079D">
        <w:rPr>
          <w:b/>
        </w:rPr>
        <w:t>00323</w:t>
      </w:r>
      <w:r w:rsidRPr="00BC079D">
        <w:t>,  Definizione</w:t>
      </w:r>
      <w:proofErr w:type="gramEnd"/>
      <w:r w:rsidRPr="00BC079D">
        <w:t xml:space="preserve"> del livello massimo di finanziamento per l'anno 2019 per le prestazioni, erogate da strutture private accreditate con onere a carico del SSR, di riabilitazione territoriale intensiva, estensiva e di mantenimento rivolta a persone con disabilità fisica, psichica e sensoriale. (BUR n. 67 del 20.8.19</w:t>
      </w:r>
      <w:r>
        <w:t>).</w:t>
      </w:r>
    </w:p>
    <w:p w:rsidR="008B746C" w:rsidRDefault="008B746C" w:rsidP="008B746C">
      <w:pPr>
        <w:spacing w:after="0" w:line="20" w:lineRule="atLeast"/>
        <w:jc w:val="both"/>
        <w:rPr>
          <w:rFonts w:cstheme="minorHAnsi"/>
        </w:rPr>
      </w:pPr>
    </w:p>
    <w:p w:rsidR="008B746C" w:rsidRPr="00BC079D" w:rsidRDefault="008B746C" w:rsidP="008B746C">
      <w:pPr>
        <w:autoSpaceDE w:val="0"/>
        <w:autoSpaceDN w:val="0"/>
        <w:adjustRightInd w:val="0"/>
        <w:spacing w:after="0" w:line="20" w:lineRule="atLeast"/>
        <w:jc w:val="both"/>
      </w:pPr>
      <w:r w:rsidRPr="00BC079D">
        <w:rPr>
          <w:b/>
        </w:rPr>
        <w:t>DCA 1 agosto 2019, n. U</w:t>
      </w:r>
      <w:proofErr w:type="gramStart"/>
      <w:r w:rsidRPr="00BC079D">
        <w:rPr>
          <w:b/>
        </w:rPr>
        <w:t>00324</w:t>
      </w:r>
      <w:r w:rsidRPr="00BC079D">
        <w:t>,  Indicatori</w:t>
      </w:r>
      <w:proofErr w:type="gramEnd"/>
      <w:r w:rsidRPr="00BC079D">
        <w:t xml:space="preserve"> di appropriatezza farmaceutica regionali. (BUR n. 67 del 20.8.19)</w:t>
      </w:r>
    </w:p>
    <w:p w:rsidR="008B746C" w:rsidRDefault="008B746C" w:rsidP="008B746C">
      <w:pPr>
        <w:spacing w:after="0" w:line="20" w:lineRule="atLeast"/>
        <w:jc w:val="both"/>
        <w:rPr>
          <w:rFonts w:cstheme="minorHAnsi"/>
        </w:rPr>
      </w:pPr>
    </w:p>
    <w:p w:rsidR="008B746C" w:rsidRPr="00BC079D" w:rsidRDefault="008B746C" w:rsidP="008B746C">
      <w:pPr>
        <w:autoSpaceDE w:val="0"/>
        <w:autoSpaceDN w:val="0"/>
        <w:adjustRightInd w:val="0"/>
        <w:spacing w:after="0" w:line="20" w:lineRule="atLeast"/>
        <w:jc w:val="both"/>
      </w:pPr>
      <w:r w:rsidRPr="00BC079D">
        <w:rPr>
          <w:b/>
        </w:rPr>
        <w:t xml:space="preserve">DGR 2 agosto 2019, n. </w:t>
      </w:r>
      <w:proofErr w:type="gramStart"/>
      <w:r w:rsidRPr="00BC079D">
        <w:rPr>
          <w:b/>
        </w:rPr>
        <w:t>574,</w:t>
      </w:r>
      <w:r w:rsidRPr="00BC079D">
        <w:t xml:space="preserve">  Revoca</w:t>
      </w:r>
      <w:proofErr w:type="gramEnd"/>
      <w:r w:rsidRPr="00BC079D">
        <w:t xml:space="preserve"> della DGR n.174 del 10/07/2013. Approvazione "Linee di indirizzo regionali recanti i criteri e le procedure per il conferimento degli incarichi di direzione di struttura complessa del ruolo sanitario nelle Aziende ed Enti del Servizio Sanitario Regionale in applicazione dell'art. 4 del D.L. n. 158/2012, convertito dalla Legge n. 189/2012". Integrazione al Protocollo d'intesa tra Regione Lazio e il Comando Regionale Lazio della Guardia di Finanza approvato con DGR n. 287 del 06/06/2017. (BUR n. 67 del 20.8.19)</w:t>
      </w:r>
    </w:p>
    <w:p w:rsidR="008B746C" w:rsidRDefault="008B746C" w:rsidP="008B746C">
      <w:pPr>
        <w:spacing w:after="0" w:line="20" w:lineRule="atLeast"/>
        <w:jc w:val="both"/>
        <w:rPr>
          <w:rFonts w:cstheme="minorHAnsi"/>
        </w:rPr>
      </w:pPr>
    </w:p>
    <w:p w:rsidR="008B746C" w:rsidRDefault="008B746C" w:rsidP="008B746C">
      <w:pPr>
        <w:spacing w:after="0" w:line="20" w:lineRule="atLeast"/>
        <w:jc w:val="both"/>
      </w:pPr>
      <w:r w:rsidRPr="00AB63AE">
        <w:rPr>
          <w:b/>
        </w:rPr>
        <w:t>DCA 7 agosto 2019, n. U</w:t>
      </w:r>
      <w:proofErr w:type="gramStart"/>
      <w:r w:rsidRPr="00AB63AE">
        <w:rPr>
          <w:b/>
        </w:rPr>
        <w:t>00352</w:t>
      </w:r>
      <w:r w:rsidRPr="00AB63AE">
        <w:t>,  Istituzione</w:t>
      </w:r>
      <w:proofErr w:type="gramEnd"/>
      <w:r w:rsidRPr="00AB63AE">
        <w:t xml:space="preserve"> del Coordinamento Regionale della Rete Nefrologica Ospedale – Territorio, ex lettera i, comma 5, art.1 DM 70/2015. (BUR n. 69 del 27.8.19)</w:t>
      </w:r>
    </w:p>
    <w:p w:rsidR="008B746C" w:rsidRDefault="008B746C" w:rsidP="008B746C">
      <w:pPr>
        <w:spacing w:after="0" w:line="20" w:lineRule="atLeast"/>
        <w:jc w:val="both"/>
      </w:pPr>
    </w:p>
    <w:p w:rsidR="008B746C" w:rsidRDefault="008B746C" w:rsidP="008B746C">
      <w:pPr>
        <w:spacing w:after="0" w:line="20" w:lineRule="atLeast"/>
        <w:jc w:val="both"/>
      </w:pPr>
      <w:r w:rsidRPr="0095783B">
        <w:rPr>
          <w:b/>
        </w:rPr>
        <w:t>DCA 7 agosto 2019, n. U</w:t>
      </w:r>
      <w:proofErr w:type="gramStart"/>
      <w:r w:rsidRPr="0095783B">
        <w:rPr>
          <w:b/>
        </w:rPr>
        <w:t>00355</w:t>
      </w:r>
      <w:r w:rsidRPr="0095783B">
        <w:t>,  Definizione</w:t>
      </w:r>
      <w:proofErr w:type="gramEnd"/>
      <w:r w:rsidRPr="0095783B">
        <w:t xml:space="preserve"> del livello massimo di finanziamento per le prestazioni di assistenza ospedaliera di riabilitazione post-acuzie, ad integrazione del livello di finanziamento assegnato con DCA 151/2019. Decreto del Commissario ad Acta 7 agosto 2019, n. U00355 Definizione del livello massimo di finanziamento per le prestazioni di assistenza ospedaliera di riabilitazione post-acuzie, ad integrazione del livello di finanziamento assegnato con DCA 151/2019.</w:t>
      </w:r>
      <w:r>
        <w:t xml:space="preserve"> </w:t>
      </w:r>
      <w:r w:rsidRPr="00AB63AE">
        <w:t>(BUR n. 69 del 27.8.19)</w:t>
      </w:r>
    </w:p>
    <w:p w:rsidR="008B746C" w:rsidRDefault="008B746C" w:rsidP="008B746C">
      <w:pPr>
        <w:spacing w:after="0" w:line="20" w:lineRule="atLeast"/>
        <w:jc w:val="both"/>
        <w:rPr>
          <w:rFonts w:cstheme="minorHAnsi"/>
        </w:rPr>
      </w:pPr>
    </w:p>
    <w:p w:rsidR="008B746C" w:rsidRPr="000719A0" w:rsidRDefault="008B746C" w:rsidP="008B746C">
      <w:pPr>
        <w:spacing w:after="0" w:line="20" w:lineRule="atLeast"/>
        <w:jc w:val="both"/>
      </w:pPr>
      <w:r w:rsidRPr="00F23649">
        <w:rPr>
          <w:b/>
        </w:rPr>
        <w:t>DGR  6 agosto 2019, n. 610,</w:t>
      </w:r>
      <w:r>
        <w:t xml:space="preserve">  Approvazione dello schema di Protocollo d'Intesa tra Regione Lazio, l'Istituto Nazionale Malattie Infettive "Lazzaro Spallanzani" (INMI) e il Raggruppamento delle Istituzioni di Pubblica Assistenza e Beneficenza Opera Pia Asilo Savoia, Pio Istituto SS. Annunziata e Opera Pia Lascito Giovanni e Margherita Achillini, per la realizzazione di un Centro per lo svolgimento di attività di prevenzione, consulenza e assistenza alle persone a maggior rischio di contagio da virus HIV, secondo il modello denominato "Check Point". (BUR n. 70 del 29.8.19)</w:t>
      </w:r>
    </w:p>
    <w:p w:rsidR="008B746C" w:rsidRDefault="008B746C" w:rsidP="008B746C">
      <w:pPr>
        <w:spacing w:after="0" w:line="20" w:lineRule="atLeast"/>
        <w:jc w:val="both"/>
        <w:rPr>
          <w:rFonts w:cstheme="minorHAnsi"/>
        </w:rPr>
      </w:pPr>
    </w:p>
    <w:p w:rsidR="008B746C" w:rsidRPr="00865F43"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865F43">
        <w:rPr>
          <w:rFonts w:cstheme="minorHAnsi"/>
          <w:b/>
        </w:rPr>
        <w:t>TERZO SETTORE</w:t>
      </w:r>
    </w:p>
    <w:p w:rsidR="008B746C" w:rsidRDefault="008B746C" w:rsidP="008B746C">
      <w:pPr>
        <w:spacing w:after="0" w:line="20" w:lineRule="atLeast"/>
        <w:jc w:val="both"/>
        <w:rPr>
          <w:rFonts w:cstheme="minorHAnsi"/>
        </w:rPr>
      </w:pPr>
    </w:p>
    <w:p w:rsidR="008B746C" w:rsidRPr="00983BF8" w:rsidRDefault="008B746C" w:rsidP="008B746C">
      <w:pPr>
        <w:autoSpaceDE w:val="0"/>
        <w:autoSpaceDN w:val="0"/>
        <w:adjustRightInd w:val="0"/>
        <w:spacing w:after="0" w:line="20" w:lineRule="atLeast"/>
        <w:jc w:val="both"/>
        <w:rPr>
          <w:rFonts w:cstheme="minorHAnsi"/>
        </w:rPr>
      </w:pPr>
      <w:r w:rsidRPr="00983BF8">
        <w:rPr>
          <w:rFonts w:cstheme="minorHAnsi"/>
          <w:b/>
        </w:rPr>
        <w:t xml:space="preserve">Determinazione 19 luglio 2019, n. G09845, </w:t>
      </w:r>
      <w:r w:rsidRPr="00983BF8">
        <w:rPr>
          <w:rFonts w:cstheme="minorHAnsi"/>
        </w:rPr>
        <w:t>LL. RR 24/1996 e 30/1997 – "LEVANTE SOCIETA' COOPERATIVA SOCIALE" codice fiscale 01152940571, con sede in Rieti, via Giorgio Fenoaltea 3 c.a.p. 02100 - Iscrizione all'albo regionale delle cooperative sociali sezione A. (BUR n. 64 dell’8.8.19)</w:t>
      </w:r>
    </w:p>
    <w:p w:rsidR="008B746C" w:rsidRPr="00983BF8" w:rsidRDefault="008B746C" w:rsidP="008B746C">
      <w:pPr>
        <w:spacing w:after="0" w:line="20" w:lineRule="atLeast"/>
        <w:jc w:val="both"/>
        <w:rPr>
          <w:rFonts w:cstheme="minorHAnsi"/>
        </w:rPr>
      </w:pPr>
    </w:p>
    <w:p w:rsidR="008B746C" w:rsidRPr="00983BF8" w:rsidRDefault="008B746C" w:rsidP="008B746C">
      <w:pPr>
        <w:autoSpaceDE w:val="0"/>
        <w:autoSpaceDN w:val="0"/>
        <w:adjustRightInd w:val="0"/>
        <w:spacing w:after="0" w:line="20" w:lineRule="atLeast"/>
        <w:jc w:val="both"/>
        <w:rPr>
          <w:rFonts w:cstheme="minorHAnsi"/>
        </w:rPr>
      </w:pPr>
      <w:r w:rsidRPr="00983BF8">
        <w:rPr>
          <w:rFonts w:cstheme="minorHAnsi"/>
          <w:b/>
        </w:rPr>
        <w:t xml:space="preserve">Determinazione 19 luglio 2019, n. G09846, </w:t>
      </w:r>
      <w:r w:rsidRPr="00983BF8">
        <w:rPr>
          <w:rFonts w:cstheme="minorHAnsi"/>
        </w:rPr>
        <w:t>LL. RR 24/1996 e 30/1997 – "ATHENA SOCIETA' COOPERATIVA SOCIALE ETICA" codice fiscale 14958211006, con sede in Tivoli (Rm), viale Giuseppe Mazzini, 11 c.a.p. 00019 - Iscrizione all'albo regionale delle cooperative sociali sezione A. (BUR n. 64 dell’8.8.19)</w:t>
      </w:r>
    </w:p>
    <w:p w:rsidR="008B746C" w:rsidRDefault="008B746C" w:rsidP="008B746C">
      <w:pPr>
        <w:autoSpaceDE w:val="0"/>
        <w:autoSpaceDN w:val="0"/>
        <w:adjustRightInd w:val="0"/>
        <w:spacing w:after="0" w:line="20" w:lineRule="atLeast"/>
        <w:jc w:val="both"/>
        <w:rPr>
          <w:rFonts w:cstheme="minorHAnsi"/>
          <w:b/>
        </w:rPr>
      </w:pPr>
    </w:p>
    <w:p w:rsidR="008B746C" w:rsidRDefault="008B746C" w:rsidP="008B746C">
      <w:pPr>
        <w:autoSpaceDE w:val="0"/>
        <w:autoSpaceDN w:val="0"/>
        <w:adjustRightInd w:val="0"/>
        <w:spacing w:after="0" w:line="20" w:lineRule="atLeast"/>
        <w:jc w:val="both"/>
        <w:rPr>
          <w:rFonts w:cstheme="minorHAnsi"/>
        </w:rPr>
      </w:pPr>
      <w:r w:rsidRPr="00983BF8">
        <w:rPr>
          <w:rFonts w:cstheme="minorHAnsi"/>
          <w:b/>
        </w:rPr>
        <w:t xml:space="preserve">Determinazione 6 agosto 2019, n. G10781, </w:t>
      </w:r>
      <w:r w:rsidRPr="00983BF8">
        <w:rPr>
          <w:rFonts w:cstheme="minorHAnsi"/>
        </w:rPr>
        <w:t>Approvazione dell'Avviso Pubblico denominato "Comunità solidali 2019" - sostegno di progetti di rilevanza locale promossi da organizzazioni di volontariato o associazioni di promozione sociale. - Accordo di programma sottoscritto tra il Ministero del Lavoro e delle Politiche Sociali e la Regione Lazio, ai sensi degli articoli 72 e 73 del d.lgs. 117/2017, Codice del Terzo Settore – Impegno di spesa in favore di creditori diversi della somma complessiva di euro 2.232.600,00, di cui euro 1.786.080,00 sul capitolo H41173 dell'esercizio finanziario 2019 e di euro 446.520,00 sul capitolo H41173 dell'esercizio finanziario 2021 (programma 08</w:t>
      </w:r>
      <w:r>
        <w:rPr>
          <w:rFonts w:cstheme="minorHAnsi"/>
        </w:rPr>
        <w:t xml:space="preserve"> </w:t>
      </w:r>
      <w:r w:rsidRPr="00983BF8">
        <w:rPr>
          <w:rFonts w:cstheme="minorHAnsi"/>
        </w:rPr>
        <w:t>della missione 12). (BUR n. 64 dell’8.8.19)</w:t>
      </w:r>
    </w:p>
    <w:p w:rsidR="008B746C" w:rsidRDefault="008B746C" w:rsidP="008B746C">
      <w:pPr>
        <w:autoSpaceDE w:val="0"/>
        <w:autoSpaceDN w:val="0"/>
        <w:adjustRightInd w:val="0"/>
        <w:spacing w:after="0" w:line="20" w:lineRule="atLeast"/>
        <w:jc w:val="both"/>
        <w:rPr>
          <w:rFonts w:cstheme="minorHAnsi"/>
        </w:rPr>
      </w:pPr>
    </w:p>
    <w:p w:rsidR="008B746C" w:rsidRDefault="008B746C" w:rsidP="008B746C">
      <w:pPr>
        <w:autoSpaceDE w:val="0"/>
        <w:autoSpaceDN w:val="0"/>
        <w:adjustRightInd w:val="0"/>
        <w:spacing w:after="0" w:line="20" w:lineRule="atLeast"/>
        <w:jc w:val="both"/>
      </w:pPr>
      <w:r w:rsidRPr="00520846">
        <w:rPr>
          <w:b/>
        </w:rPr>
        <w:lastRenderedPageBreak/>
        <w:t>DPGR  2 agosto 2019, n. T</w:t>
      </w:r>
      <w:proofErr w:type="gramStart"/>
      <w:r w:rsidRPr="00520846">
        <w:rPr>
          <w:b/>
        </w:rPr>
        <w:t>00203</w:t>
      </w:r>
      <w:r w:rsidRPr="00520846">
        <w:t>,  Art.</w:t>
      </w:r>
      <w:proofErr w:type="gramEnd"/>
      <w:r w:rsidRPr="00520846">
        <w:t xml:space="preserve"> 3, comma 2 della L.R. 13 giugno 2001, n. 13 "Riconoscimento della funzione sociale ed educativa degli oratori" – Nomina Commissione. (BUR n. 67 del 20.8.19)</w:t>
      </w:r>
    </w:p>
    <w:p w:rsidR="008B746C" w:rsidRDefault="008B746C" w:rsidP="008B746C">
      <w:pPr>
        <w:autoSpaceDE w:val="0"/>
        <w:autoSpaceDN w:val="0"/>
        <w:adjustRightInd w:val="0"/>
        <w:spacing w:after="0" w:line="20" w:lineRule="atLeast"/>
        <w:jc w:val="both"/>
      </w:pPr>
    </w:p>
    <w:p w:rsidR="008B746C" w:rsidRDefault="008B746C" w:rsidP="008B746C">
      <w:pPr>
        <w:autoSpaceDE w:val="0"/>
        <w:autoSpaceDN w:val="0"/>
        <w:adjustRightInd w:val="0"/>
        <w:spacing w:after="0" w:line="20" w:lineRule="atLeast"/>
        <w:jc w:val="both"/>
      </w:pPr>
    </w:p>
    <w:p w:rsidR="008B746C" w:rsidRPr="00DD4A14"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color w:val="000000"/>
        </w:rPr>
      </w:pPr>
      <w:r w:rsidRPr="00DD4A14">
        <w:rPr>
          <w:rFonts w:cstheme="minorHAnsi"/>
          <w:b/>
          <w:color w:val="000000"/>
        </w:rPr>
        <w:t>TUTELA DEI DIRITTI</w:t>
      </w:r>
    </w:p>
    <w:p w:rsidR="008B746C" w:rsidRPr="00DD4A14" w:rsidRDefault="008B746C" w:rsidP="008B746C">
      <w:pPr>
        <w:autoSpaceDE w:val="0"/>
        <w:autoSpaceDN w:val="0"/>
        <w:adjustRightInd w:val="0"/>
        <w:spacing w:after="0" w:line="20" w:lineRule="atLeast"/>
        <w:jc w:val="both"/>
        <w:rPr>
          <w:rFonts w:cstheme="minorHAnsi"/>
        </w:rPr>
      </w:pPr>
    </w:p>
    <w:p w:rsidR="008B746C" w:rsidRDefault="008B746C" w:rsidP="008B746C">
      <w:pPr>
        <w:autoSpaceDE w:val="0"/>
        <w:autoSpaceDN w:val="0"/>
        <w:adjustRightInd w:val="0"/>
        <w:spacing w:after="0" w:line="20" w:lineRule="atLeast"/>
        <w:jc w:val="both"/>
      </w:pPr>
      <w:r w:rsidRPr="00DD4A14">
        <w:rPr>
          <w:b/>
        </w:rPr>
        <w:t xml:space="preserve">DGR  30 luglio 2019, n. </w:t>
      </w:r>
      <w:proofErr w:type="gramStart"/>
      <w:r w:rsidRPr="00DD4A14">
        <w:rPr>
          <w:b/>
        </w:rPr>
        <w:t>519</w:t>
      </w:r>
      <w:r w:rsidRPr="00DD4A14">
        <w:t>,  Decreto</w:t>
      </w:r>
      <w:proofErr w:type="gramEnd"/>
      <w:r w:rsidRPr="00DD4A14">
        <w:t>-legge 14 agosto 2013, n. 93 - art. 5bis "Azioni per i Centri antiviolenza e le Case rifugio". L.R. 19 marzo 2014, n. 4. Programmazione delle risorse provenienti dal "Fondo per le politiche relative ai diritti e alle pari opportunità" assegnate alla Regione Lazio con DPCM 1 dicembre 2017. (BUR n. 66 del 16.8.19)</w:t>
      </w:r>
    </w:p>
    <w:p w:rsidR="008B746C" w:rsidRDefault="008B746C" w:rsidP="008B746C">
      <w:pPr>
        <w:autoSpaceDE w:val="0"/>
        <w:autoSpaceDN w:val="0"/>
        <w:adjustRightInd w:val="0"/>
        <w:spacing w:after="0" w:line="20" w:lineRule="atLeast"/>
        <w:jc w:val="both"/>
      </w:pPr>
    </w:p>
    <w:p w:rsidR="008B746C" w:rsidRPr="000719A0" w:rsidRDefault="008B746C" w:rsidP="008B746C">
      <w:pPr>
        <w:spacing w:after="0" w:line="20" w:lineRule="atLeast"/>
        <w:jc w:val="both"/>
      </w:pPr>
      <w:r w:rsidRPr="00BD6350">
        <w:rPr>
          <w:b/>
        </w:rPr>
        <w:t>Determinazione 2 agosto 2019, n. G</w:t>
      </w:r>
      <w:proofErr w:type="gramStart"/>
      <w:r w:rsidRPr="00BD6350">
        <w:rPr>
          <w:b/>
        </w:rPr>
        <w:t>10639</w:t>
      </w:r>
      <w:r>
        <w:rPr>
          <w:b/>
        </w:rPr>
        <w:t xml:space="preserve">, </w:t>
      </w:r>
      <w:r>
        <w:t xml:space="preserve"> Presa</w:t>
      </w:r>
      <w:proofErr w:type="gramEnd"/>
      <w:r>
        <w:t xml:space="preserve"> d'atto e ratifica delle prestazioni erogate per i servizi di ospitalità, accoglienza, ascolto e presa in carico nel periodo dal 1 gennaio 2019 al 31 luglio 2019 nei Centri Antiviolenza e Case Rifugio ex Città Metropolitana di Roma Capitale, nelle more della conclusione della procedura negoziata, indetta con determinazione dirigenziale del 25 settembre 2018 n. G11831. Impegno di spesa €398.426,42 Missione 12 programma 04 Capitolo H41909 esercizio finanziario 2019.  (BUR n. 70 del 29.8.19)</w:t>
      </w:r>
    </w:p>
    <w:p w:rsidR="008B746C" w:rsidRDefault="008B746C" w:rsidP="008B746C">
      <w:pPr>
        <w:autoSpaceDE w:val="0"/>
        <w:autoSpaceDN w:val="0"/>
        <w:adjustRightInd w:val="0"/>
        <w:spacing w:after="0" w:line="20" w:lineRule="atLeast"/>
        <w:jc w:val="both"/>
        <w:rPr>
          <w:rFonts w:cstheme="minorHAnsi"/>
        </w:rPr>
      </w:pPr>
    </w:p>
    <w:p w:rsidR="008B746C" w:rsidRDefault="008B746C" w:rsidP="008B746C">
      <w:pPr>
        <w:spacing w:after="0" w:line="20" w:lineRule="atLeast"/>
        <w:jc w:val="center"/>
        <w:rPr>
          <w:rFonts w:ascii="Broadway" w:hAnsi="Broadway" w:cstheme="majorHAnsi"/>
          <w:b/>
          <w:sz w:val="40"/>
          <w:szCs w:val="40"/>
        </w:rPr>
      </w:pPr>
      <w:r>
        <w:rPr>
          <w:rFonts w:ascii="Broadway" w:hAnsi="Broadway" w:cstheme="majorHAnsi"/>
          <w:b/>
          <w:sz w:val="40"/>
          <w:szCs w:val="40"/>
        </w:rPr>
        <w:t>LIGURIA</w:t>
      </w:r>
    </w:p>
    <w:p w:rsidR="008B746C" w:rsidRPr="007A5543" w:rsidRDefault="008B746C" w:rsidP="008B746C">
      <w:pPr>
        <w:spacing w:after="0" w:line="20" w:lineRule="atLeast"/>
        <w:jc w:val="center"/>
        <w:rPr>
          <w:rFonts w:ascii="Broadway" w:hAnsi="Broadway" w:cstheme="majorHAnsi"/>
          <w:b/>
          <w:sz w:val="24"/>
          <w:szCs w:val="24"/>
        </w:rPr>
      </w:pPr>
    </w:p>
    <w:p w:rsidR="008B746C" w:rsidRPr="00645A91"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color w:val="000000"/>
        </w:rPr>
      </w:pPr>
      <w:r w:rsidRPr="00645A91">
        <w:rPr>
          <w:rFonts w:cstheme="minorHAnsi"/>
          <w:b/>
          <w:color w:val="000000"/>
        </w:rPr>
        <w:t>POVERTÀ INCLUSIONE SOCIALE</w:t>
      </w:r>
    </w:p>
    <w:p w:rsidR="008B746C" w:rsidRDefault="008B746C" w:rsidP="008B746C">
      <w:pPr>
        <w:autoSpaceDE w:val="0"/>
        <w:autoSpaceDN w:val="0"/>
        <w:adjustRightInd w:val="0"/>
        <w:spacing w:after="0" w:line="20" w:lineRule="atLeast"/>
        <w:jc w:val="both"/>
        <w:rPr>
          <w:rFonts w:cstheme="minorHAnsi"/>
          <w:color w:val="000000"/>
        </w:rPr>
      </w:pPr>
    </w:p>
    <w:p w:rsidR="008B746C" w:rsidRDefault="008B746C" w:rsidP="008B746C">
      <w:pPr>
        <w:autoSpaceDE w:val="0"/>
        <w:autoSpaceDN w:val="0"/>
        <w:adjustRightInd w:val="0"/>
        <w:spacing w:after="0" w:line="240" w:lineRule="auto"/>
        <w:jc w:val="both"/>
        <w:rPr>
          <w:rFonts w:cstheme="minorHAnsi"/>
          <w:bCs/>
        </w:rPr>
      </w:pPr>
      <w:r w:rsidRPr="00404587">
        <w:rPr>
          <w:rFonts w:cs="TimesNewRomanPS-BoldMT"/>
          <w:b/>
          <w:bCs/>
        </w:rPr>
        <w:t xml:space="preserve">DGR  19 luglio 2019, n. 630, </w:t>
      </w:r>
      <w:r w:rsidRPr="000E4D29">
        <w:rPr>
          <w:rFonts w:cs="TimesNewRomanPS-BoldMT"/>
          <w:bCs/>
        </w:rPr>
        <w:t>Attività regionali concernenti la donazione e la distribuzione di prodotti alimentari a fini di solidarietà sociale e per la limitazione degli sprechi: istituzione tavolo di coordinamento regionale</w:t>
      </w:r>
      <w:r>
        <w:rPr>
          <w:rFonts w:cs="TimesNewRomanPS-BoldMT"/>
          <w:bCs/>
        </w:rPr>
        <w:t xml:space="preserve">. </w:t>
      </w:r>
      <w:r w:rsidRPr="000E4D29">
        <w:rPr>
          <w:rFonts w:cstheme="minorHAnsi"/>
          <w:bCs/>
        </w:rPr>
        <w:t>(BUR n. 44 del 13.8.19)</w:t>
      </w:r>
    </w:p>
    <w:p w:rsidR="008B746C" w:rsidRDefault="008B746C" w:rsidP="008B746C">
      <w:pPr>
        <w:autoSpaceDE w:val="0"/>
        <w:autoSpaceDN w:val="0"/>
        <w:adjustRightInd w:val="0"/>
        <w:spacing w:after="0" w:line="240" w:lineRule="auto"/>
        <w:jc w:val="both"/>
        <w:rPr>
          <w:rFonts w:cstheme="minorHAnsi"/>
          <w:bCs/>
        </w:rPr>
      </w:pPr>
    </w:p>
    <w:p w:rsidR="008B746C" w:rsidRPr="00B86B59"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40" w:lineRule="auto"/>
        <w:jc w:val="center"/>
        <w:rPr>
          <w:rFonts w:cstheme="minorHAnsi"/>
          <w:b/>
        </w:rPr>
      </w:pPr>
      <w:r w:rsidRPr="00B86B59">
        <w:rPr>
          <w:rFonts w:cstheme="minorHAnsi"/>
          <w:b/>
        </w:rPr>
        <w:t>PROGRAMMAZIONE</w:t>
      </w:r>
    </w:p>
    <w:p w:rsidR="008B746C" w:rsidRDefault="008B746C" w:rsidP="008B746C">
      <w:pPr>
        <w:autoSpaceDE w:val="0"/>
        <w:autoSpaceDN w:val="0"/>
        <w:adjustRightInd w:val="0"/>
        <w:spacing w:after="0" w:line="240" w:lineRule="auto"/>
        <w:jc w:val="both"/>
        <w:rPr>
          <w:rFonts w:cstheme="minorHAnsi"/>
        </w:rPr>
      </w:pPr>
    </w:p>
    <w:p w:rsidR="008B746C" w:rsidRPr="00B86B59" w:rsidRDefault="008B746C" w:rsidP="008B746C">
      <w:pPr>
        <w:autoSpaceDE w:val="0"/>
        <w:autoSpaceDN w:val="0"/>
        <w:adjustRightInd w:val="0"/>
        <w:spacing w:after="0" w:line="240" w:lineRule="auto"/>
        <w:jc w:val="both"/>
      </w:pPr>
      <w:r w:rsidRPr="00B86B59">
        <w:rPr>
          <w:b/>
        </w:rPr>
        <w:t xml:space="preserve">DCR 31 </w:t>
      </w:r>
      <w:r>
        <w:rPr>
          <w:b/>
        </w:rPr>
        <w:t>l</w:t>
      </w:r>
      <w:r w:rsidRPr="00B86B59">
        <w:rPr>
          <w:b/>
        </w:rPr>
        <w:t xml:space="preserve">uglio 2019, n. </w:t>
      </w:r>
      <w:proofErr w:type="gramStart"/>
      <w:r w:rsidRPr="00B86B59">
        <w:rPr>
          <w:b/>
        </w:rPr>
        <w:t>21</w:t>
      </w:r>
      <w:r>
        <w:rPr>
          <w:b/>
        </w:rPr>
        <w:t xml:space="preserve">, </w:t>
      </w:r>
      <w:r w:rsidRPr="00B86B59">
        <w:t xml:space="preserve"> Documento</w:t>
      </w:r>
      <w:proofErr w:type="gramEnd"/>
      <w:r w:rsidRPr="00B86B59">
        <w:t xml:space="preserve"> di Economia e Finanza Regionale 2020/2022. (BUR n. 34 del 21.8.19)</w:t>
      </w:r>
    </w:p>
    <w:p w:rsidR="008B746C" w:rsidRDefault="008B746C" w:rsidP="008B746C">
      <w:pPr>
        <w:autoSpaceDE w:val="0"/>
        <w:autoSpaceDN w:val="0"/>
        <w:adjustRightInd w:val="0"/>
        <w:spacing w:after="0" w:line="240" w:lineRule="auto"/>
        <w:jc w:val="both"/>
        <w:rPr>
          <w:rFonts w:cstheme="minorHAnsi"/>
          <w:bCs/>
        </w:rPr>
      </w:pPr>
    </w:p>
    <w:p w:rsidR="008B746C" w:rsidRPr="00645A91" w:rsidRDefault="008B746C" w:rsidP="008B746C">
      <w:pPr>
        <w:pBdr>
          <w:top w:val="single" w:sz="4" w:space="1" w:color="auto"/>
          <w:left w:val="single" w:sz="4" w:space="4" w:color="auto"/>
          <w:bottom w:val="single" w:sz="4" w:space="0" w:color="auto"/>
          <w:right w:val="single" w:sz="4" w:space="4" w:color="auto"/>
          <w:between w:val="single" w:sz="4" w:space="1" w:color="auto"/>
          <w:bar w:val="single" w:sz="4" w:color="auto"/>
        </w:pBdr>
        <w:spacing w:after="0" w:line="20" w:lineRule="atLeast"/>
        <w:jc w:val="center"/>
        <w:rPr>
          <w:rFonts w:cstheme="minorHAnsi"/>
          <w:b/>
        </w:rPr>
      </w:pPr>
      <w:r w:rsidRPr="00645A91">
        <w:rPr>
          <w:rFonts w:cstheme="minorHAnsi"/>
          <w:b/>
        </w:rPr>
        <w:t>SANITÀ</w:t>
      </w:r>
    </w:p>
    <w:p w:rsidR="008B746C" w:rsidRDefault="008B746C" w:rsidP="008B746C">
      <w:pPr>
        <w:spacing w:after="0" w:line="20" w:lineRule="atLeast"/>
        <w:jc w:val="both"/>
        <w:rPr>
          <w:rFonts w:cstheme="minorHAnsi"/>
        </w:rPr>
      </w:pPr>
    </w:p>
    <w:p w:rsidR="008B746C" w:rsidRDefault="008B746C" w:rsidP="008B746C">
      <w:pPr>
        <w:autoSpaceDE w:val="0"/>
        <w:autoSpaceDN w:val="0"/>
        <w:adjustRightInd w:val="0"/>
        <w:spacing w:after="0" w:line="240" w:lineRule="auto"/>
        <w:rPr>
          <w:rFonts w:cstheme="minorHAnsi"/>
          <w:bCs/>
        </w:rPr>
      </w:pPr>
      <w:r w:rsidRPr="00FD24FB">
        <w:rPr>
          <w:rFonts w:cstheme="minorHAnsi"/>
          <w:b/>
          <w:bCs/>
        </w:rPr>
        <w:t>DGR  19 luglio 2019, n.  631</w:t>
      </w:r>
      <w:r w:rsidRPr="00FD24FB">
        <w:rPr>
          <w:rFonts w:cstheme="minorHAnsi"/>
          <w:bCs/>
        </w:rPr>
        <w:t>, Approvazione ed autorizzazione alla stipula di addendum alla Convenzione tra Regione Liguria e Università degli Studi di Genova-DISSAL Progetto CCM “Vaccinazioni antinfluenzali negli anziani” 2015.</w:t>
      </w:r>
      <w:r w:rsidRPr="0031291A">
        <w:rPr>
          <w:rFonts w:cstheme="minorHAnsi"/>
          <w:bCs/>
        </w:rPr>
        <w:t xml:space="preserve"> </w:t>
      </w:r>
      <w:r>
        <w:rPr>
          <w:rFonts w:cstheme="minorHAnsi"/>
          <w:bCs/>
        </w:rPr>
        <w:t>(BUR n. 44 del 13.8.19)</w:t>
      </w:r>
    </w:p>
    <w:p w:rsidR="008B746C" w:rsidRPr="00FD24FB" w:rsidRDefault="008B746C" w:rsidP="008B746C">
      <w:pPr>
        <w:autoSpaceDE w:val="0"/>
        <w:autoSpaceDN w:val="0"/>
        <w:adjustRightInd w:val="0"/>
        <w:spacing w:after="0" w:line="240" w:lineRule="auto"/>
        <w:rPr>
          <w:rFonts w:cstheme="minorHAnsi"/>
          <w:bCs/>
        </w:rPr>
      </w:pPr>
    </w:p>
    <w:p w:rsidR="008B746C" w:rsidRDefault="008B746C" w:rsidP="008B746C">
      <w:pPr>
        <w:spacing w:after="0" w:line="20" w:lineRule="atLeast"/>
        <w:jc w:val="center"/>
        <w:rPr>
          <w:rFonts w:ascii="Broadway" w:hAnsi="Broadway" w:cstheme="majorHAnsi"/>
          <w:b/>
          <w:sz w:val="40"/>
          <w:szCs w:val="40"/>
        </w:rPr>
      </w:pPr>
      <w:r>
        <w:rPr>
          <w:rFonts w:ascii="Broadway" w:hAnsi="Broadway" w:cstheme="majorHAnsi"/>
          <w:b/>
          <w:sz w:val="40"/>
          <w:szCs w:val="40"/>
        </w:rPr>
        <w:t>LOMBARDIA</w:t>
      </w:r>
    </w:p>
    <w:p w:rsidR="008B746C" w:rsidRPr="005459E0" w:rsidRDefault="008B746C" w:rsidP="008B746C">
      <w:pPr>
        <w:spacing w:after="0" w:line="20" w:lineRule="atLeast"/>
        <w:jc w:val="center"/>
        <w:rPr>
          <w:rFonts w:ascii="Broadway" w:hAnsi="Broadway" w:cstheme="majorHAnsi"/>
          <w:b/>
          <w:sz w:val="24"/>
          <w:szCs w:val="24"/>
        </w:rPr>
      </w:pPr>
    </w:p>
    <w:p w:rsidR="008B746C" w:rsidRPr="009B3050"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9B3050">
        <w:rPr>
          <w:rFonts w:cstheme="minorHAnsi"/>
          <w:b/>
        </w:rPr>
        <w:t>ASSISTENZA PENITENZIARIA</w:t>
      </w:r>
    </w:p>
    <w:p w:rsidR="008B746C" w:rsidRDefault="008B746C" w:rsidP="008B746C">
      <w:pPr>
        <w:spacing w:after="0" w:line="20" w:lineRule="atLeast"/>
        <w:jc w:val="both"/>
        <w:rPr>
          <w:rFonts w:cstheme="minorHAnsi"/>
          <w:b/>
        </w:rPr>
      </w:pPr>
    </w:p>
    <w:p w:rsidR="008B746C" w:rsidRDefault="008B746C" w:rsidP="008B746C">
      <w:pPr>
        <w:spacing w:after="0" w:line="20" w:lineRule="atLeast"/>
        <w:jc w:val="both"/>
        <w:rPr>
          <w:rFonts w:cstheme="minorHAnsi"/>
        </w:rPr>
      </w:pPr>
      <w:r w:rsidRPr="006B0B81">
        <w:rPr>
          <w:rFonts w:cstheme="minorHAnsi"/>
          <w:b/>
        </w:rPr>
        <w:t>DGR  31 luglio 2019 - n. XI/</w:t>
      </w:r>
      <w:proofErr w:type="gramStart"/>
      <w:r w:rsidRPr="006B0B81">
        <w:rPr>
          <w:rFonts w:cstheme="minorHAnsi"/>
          <w:b/>
        </w:rPr>
        <w:t>2022</w:t>
      </w:r>
      <w:r w:rsidRPr="006B0B81">
        <w:rPr>
          <w:rFonts w:cstheme="minorHAnsi"/>
        </w:rPr>
        <w:t>,  Presa</w:t>
      </w:r>
      <w:proofErr w:type="gramEnd"/>
      <w:r w:rsidRPr="006B0B81">
        <w:rPr>
          <w:rFonts w:cstheme="minorHAnsi"/>
        </w:rPr>
        <w:t xml:space="preserve"> d’atto dell’accordo stipulato con la conferenza delle regioni e delle province autonome per la promozione di una programmazione condivisa relativa ad interventi d’inclusione sociale a favore delle persone in esecuzione penale e relativa modifica ed integrazione dell’allegato B) della d.g.r. 5456/2016 (BUR n. 32 del </w:t>
      </w:r>
      <w:r>
        <w:rPr>
          <w:rFonts w:cstheme="minorHAnsi"/>
        </w:rPr>
        <w:t>9</w:t>
      </w:r>
      <w:r w:rsidRPr="006B0B81">
        <w:rPr>
          <w:rFonts w:cstheme="minorHAnsi"/>
        </w:rPr>
        <w:t>.8.19)</w:t>
      </w:r>
    </w:p>
    <w:p w:rsidR="008B746C" w:rsidRDefault="008B746C" w:rsidP="008B746C">
      <w:pPr>
        <w:spacing w:after="0" w:line="20" w:lineRule="atLeast"/>
        <w:jc w:val="both"/>
        <w:rPr>
          <w:rFonts w:cstheme="minorHAnsi"/>
        </w:rPr>
      </w:pPr>
    </w:p>
    <w:p w:rsidR="008B746C" w:rsidRPr="0037633A"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37633A">
        <w:rPr>
          <w:rFonts w:cstheme="minorHAnsi"/>
          <w:b/>
        </w:rPr>
        <w:t>EDILIZIA</w:t>
      </w:r>
    </w:p>
    <w:p w:rsidR="008B746C" w:rsidRPr="00B73FD1" w:rsidRDefault="008B746C" w:rsidP="008B746C">
      <w:pPr>
        <w:spacing w:after="0" w:line="20" w:lineRule="atLeast"/>
        <w:jc w:val="both"/>
        <w:rPr>
          <w:rFonts w:cstheme="minorHAnsi"/>
        </w:rPr>
      </w:pPr>
    </w:p>
    <w:p w:rsidR="008B746C" w:rsidRDefault="008B746C" w:rsidP="008B746C">
      <w:pPr>
        <w:spacing w:after="0" w:line="20" w:lineRule="atLeast"/>
        <w:jc w:val="both"/>
        <w:rPr>
          <w:rFonts w:cstheme="minorHAnsi"/>
        </w:rPr>
      </w:pPr>
      <w:r w:rsidRPr="00B73FD1">
        <w:rPr>
          <w:rFonts w:cstheme="minorHAnsi"/>
          <w:b/>
          <w:bCs/>
        </w:rPr>
        <w:t>D</w:t>
      </w:r>
      <w:r>
        <w:rPr>
          <w:rFonts w:cstheme="minorHAnsi"/>
          <w:b/>
          <w:bCs/>
        </w:rPr>
        <w:t xml:space="preserve">GR </w:t>
      </w:r>
      <w:r w:rsidRPr="00B73FD1">
        <w:rPr>
          <w:rFonts w:cstheme="minorHAnsi"/>
          <w:b/>
          <w:bCs/>
        </w:rPr>
        <w:t>31 luglio 2019</w:t>
      </w:r>
      <w:r>
        <w:rPr>
          <w:rFonts w:cstheme="minorHAnsi"/>
          <w:b/>
          <w:bCs/>
        </w:rPr>
        <w:t xml:space="preserve">, </w:t>
      </w:r>
      <w:r w:rsidRPr="00B73FD1">
        <w:rPr>
          <w:rFonts w:cstheme="minorHAnsi"/>
          <w:b/>
          <w:bCs/>
        </w:rPr>
        <w:t>n. XI/</w:t>
      </w:r>
      <w:proofErr w:type="gramStart"/>
      <w:r w:rsidRPr="00B73FD1">
        <w:rPr>
          <w:rFonts w:cstheme="minorHAnsi"/>
          <w:b/>
          <w:bCs/>
        </w:rPr>
        <w:t>2063</w:t>
      </w:r>
      <w:r>
        <w:rPr>
          <w:rFonts w:cstheme="minorHAnsi"/>
          <w:b/>
          <w:bCs/>
        </w:rPr>
        <w:t xml:space="preserve">, </w:t>
      </w:r>
      <w:r w:rsidRPr="00B73FD1">
        <w:rPr>
          <w:rFonts w:cstheme="minorHAnsi"/>
          <w:b/>
          <w:bCs/>
        </w:rPr>
        <w:t xml:space="preserve"> </w:t>
      </w:r>
      <w:r w:rsidRPr="0037633A">
        <w:rPr>
          <w:rFonts w:cstheme="minorHAnsi"/>
          <w:bCs/>
          <w:color w:val="000000"/>
        </w:rPr>
        <w:t>Determinazioni</w:t>
      </w:r>
      <w:proofErr w:type="gramEnd"/>
      <w:r w:rsidRPr="0037633A">
        <w:rPr>
          <w:rFonts w:cstheme="minorHAnsi"/>
          <w:bCs/>
          <w:color w:val="000000"/>
        </w:rPr>
        <w:t xml:space="preserve"> in ordine alle condizioni ed alle modalità di accesso e permanenza nei servizi abitativi transitori di cui al comma 13 dell’articolo 23 della legge regionale 8 luglio 2016, n. 16 «Disciplina regionale dei servizi abitativi»</w:t>
      </w:r>
      <w:r>
        <w:rPr>
          <w:rFonts w:cstheme="minorHAnsi"/>
          <w:bCs/>
          <w:color w:val="000000"/>
        </w:rPr>
        <w:t xml:space="preserve">. </w:t>
      </w:r>
      <w:r w:rsidRPr="006B0B81">
        <w:rPr>
          <w:rFonts w:cstheme="minorHAnsi"/>
        </w:rPr>
        <w:t>(BUR n. 32 del</w:t>
      </w:r>
      <w:r>
        <w:rPr>
          <w:rFonts w:cstheme="minorHAnsi"/>
        </w:rPr>
        <w:t xml:space="preserve"> 6</w:t>
      </w:r>
      <w:r w:rsidRPr="006B0B81">
        <w:rPr>
          <w:rFonts w:cstheme="minorHAnsi"/>
        </w:rPr>
        <w:t>.8.19)</w:t>
      </w:r>
    </w:p>
    <w:p w:rsidR="008B746C" w:rsidRDefault="008B746C" w:rsidP="008B746C">
      <w:pPr>
        <w:spacing w:after="0" w:line="20" w:lineRule="atLeast"/>
        <w:jc w:val="both"/>
        <w:rPr>
          <w:rFonts w:cstheme="minorHAnsi"/>
        </w:rPr>
      </w:pPr>
    </w:p>
    <w:p w:rsidR="008B746C" w:rsidRDefault="008B746C" w:rsidP="008B746C">
      <w:pPr>
        <w:spacing w:after="0" w:line="20" w:lineRule="atLeast"/>
        <w:jc w:val="both"/>
        <w:rPr>
          <w:rFonts w:cstheme="minorHAnsi"/>
        </w:rPr>
      </w:pPr>
      <w:r w:rsidRPr="00EC6ED6">
        <w:rPr>
          <w:rFonts w:cstheme="minorHAnsi"/>
          <w:b/>
        </w:rPr>
        <w:t>DGR  31 luglio 2019, n. XI/</w:t>
      </w:r>
      <w:proofErr w:type="gramStart"/>
      <w:r w:rsidRPr="00EC6ED6">
        <w:rPr>
          <w:rFonts w:cstheme="minorHAnsi"/>
          <w:b/>
        </w:rPr>
        <w:t>2064</w:t>
      </w:r>
      <w:r>
        <w:rPr>
          <w:rFonts w:cstheme="minorHAnsi"/>
        </w:rPr>
        <w:t xml:space="preserve">, </w:t>
      </w:r>
      <w:r w:rsidRPr="006B0B81">
        <w:rPr>
          <w:rFonts w:cstheme="minorHAnsi"/>
        </w:rPr>
        <w:t xml:space="preserve"> Contributo</w:t>
      </w:r>
      <w:proofErr w:type="gramEnd"/>
      <w:r w:rsidRPr="006B0B81">
        <w:rPr>
          <w:rFonts w:cstheme="minorHAnsi"/>
        </w:rPr>
        <w:t xml:space="preserve"> regionale di solidarietà 2019 - Riparto delle risorse e linee guida per l’accesso al contributo, in attuazione alla l.r. n. 16/2016 «Disciplina regionale dei servizi abitativi»</w:t>
      </w:r>
      <w:r>
        <w:rPr>
          <w:rFonts w:cstheme="minorHAnsi"/>
        </w:rPr>
        <w:t>. (BUR n. 32 dell’8.8.19)</w:t>
      </w:r>
    </w:p>
    <w:p w:rsidR="008B746C" w:rsidRDefault="008B746C" w:rsidP="008B746C">
      <w:pPr>
        <w:spacing w:after="0" w:line="20" w:lineRule="atLeast"/>
        <w:jc w:val="both"/>
        <w:rPr>
          <w:rFonts w:cstheme="minorHAnsi"/>
        </w:rPr>
      </w:pPr>
    </w:p>
    <w:p w:rsidR="008B746C" w:rsidRDefault="008B746C" w:rsidP="008B746C">
      <w:pPr>
        <w:spacing w:after="0" w:line="20" w:lineRule="atLeast"/>
        <w:jc w:val="both"/>
        <w:rPr>
          <w:rFonts w:cstheme="minorHAnsi"/>
        </w:rPr>
      </w:pPr>
      <w:r w:rsidRPr="005E3EEE">
        <w:rPr>
          <w:rFonts w:cstheme="minorHAnsi"/>
          <w:b/>
        </w:rPr>
        <w:t>DGR  31 luglio 2019, n. XI/2065</w:t>
      </w:r>
      <w:r>
        <w:rPr>
          <w:rFonts w:cstheme="minorHAnsi"/>
        </w:rPr>
        <w:t xml:space="preserve">, </w:t>
      </w:r>
      <w:r w:rsidRPr="006B0B81">
        <w:rPr>
          <w:rFonts w:cstheme="minorHAnsi"/>
        </w:rPr>
        <w:t>Approvazione linee guida per interventi volti al contenimento dell’emergenza abitativa e al mantenimento dell’alloggio in locazione – Anno 2019</w:t>
      </w:r>
      <w:r>
        <w:rPr>
          <w:rFonts w:cstheme="minorHAnsi"/>
        </w:rPr>
        <w:t xml:space="preserve"> (BUR n. 32 dell</w:t>
      </w:r>
      <w:proofErr w:type="gramStart"/>
      <w:r>
        <w:rPr>
          <w:rFonts w:cstheme="minorHAnsi"/>
        </w:rPr>
        <w:t>’.8.8.19</w:t>
      </w:r>
      <w:proofErr w:type="gramEnd"/>
      <w:r>
        <w:rPr>
          <w:rFonts w:cstheme="minorHAnsi"/>
        </w:rPr>
        <w:t>)</w:t>
      </w:r>
    </w:p>
    <w:p w:rsidR="008B746C" w:rsidRDefault="008B746C" w:rsidP="008B746C">
      <w:pPr>
        <w:spacing w:after="0" w:line="20" w:lineRule="atLeast"/>
        <w:jc w:val="both"/>
        <w:rPr>
          <w:rFonts w:cstheme="minorHAnsi"/>
        </w:rPr>
      </w:pPr>
    </w:p>
    <w:p w:rsidR="008B746C" w:rsidRPr="00F43D53"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color w:val="000000"/>
        </w:rPr>
      </w:pPr>
      <w:r w:rsidRPr="00F43D53">
        <w:rPr>
          <w:rFonts w:cstheme="minorHAnsi"/>
          <w:b/>
          <w:color w:val="000000"/>
        </w:rPr>
        <w:t>FAMIGLIA</w:t>
      </w:r>
    </w:p>
    <w:p w:rsidR="008B746C" w:rsidRDefault="008B746C" w:rsidP="008B746C">
      <w:pPr>
        <w:autoSpaceDE w:val="0"/>
        <w:autoSpaceDN w:val="0"/>
        <w:adjustRightInd w:val="0"/>
        <w:spacing w:after="0" w:line="20" w:lineRule="atLeast"/>
        <w:jc w:val="both"/>
        <w:rPr>
          <w:rFonts w:cstheme="minorHAnsi"/>
          <w:color w:val="000000"/>
        </w:rPr>
      </w:pPr>
    </w:p>
    <w:p w:rsidR="008B746C" w:rsidRDefault="008B746C" w:rsidP="008B746C">
      <w:pPr>
        <w:spacing w:after="0" w:line="20" w:lineRule="atLeast"/>
        <w:jc w:val="both"/>
        <w:rPr>
          <w:rFonts w:cstheme="minorHAnsi"/>
        </w:rPr>
      </w:pPr>
      <w:r w:rsidRPr="00F43D53">
        <w:rPr>
          <w:rFonts w:cstheme="minorHAnsi"/>
          <w:b/>
        </w:rPr>
        <w:t xml:space="preserve">DGR  31 luglio </w:t>
      </w:r>
      <w:proofErr w:type="gramStart"/>
      <w:r w:rsidRPr="00F43D53">
        <w:rPr>
          <w:rFonts w:cstheme="minorHAnsi"/>
          <w:b/>
        </w:rPr>
        <w:t>2019,  n.</w:t>
      </w:r>
      <w:proofErr w:type="gramEnd"/>
      <w:r w:rsidRPr="00F43D53">
        <w:rPr>
          <w:rFonts w:cstheme="minorHAnsi"/>
          <w:b/>
        </w:rPr>
        <w:t xml:space="preserve"> XI/2023,</w:t>
      </w:r>
      <w:r>
        <w:rPr>
          <w:rFonts w:cstheme="minorHAnsi"/>
        </w:rPr>
        <w:t xml:space="preserve"> </w:t>
      </w:r>
      <w:r w:rsidRPr="006B0B81">
        <w:rPr>
          <w:rFonts w:cstheme="minorHAnsi"/>
        </w:rPr>
        <w:t xml:space="preserve"> Fondo nazionale per le politiche della famiglia anno 2019 - d.m. 30 aprile 2019: destinazione delle risorse</w:t>
      </w:r>
      <w:r>
        <w:rPr>
          <w:rFonts w:cstheme="minorHAnsi"/>
        </w:rPr>
        <w:t xml:space="preserve">. </w:t>
      </w:r>
      <w:r w:rsidRPr="006B0B81">
        <w:rPr>
          <w:rFonts w:cstheme="minorHAnsi"/>
        </w:rPr>
        <w:t>(BUR n. 32 del 5.8.19)</w:t>
      </w:r>
    </w:p>
    <w:p w:rsidR="008B746C" w:rsidRDefault="008B746C" w:rsidP="008B746C">
      <w:pPr>
        <w:spacing w:after="0" w:line="20" w:lineRule="atLeast"/>
        <w:jc w:val="both"/>
        <w:rPr>
          <w:rFonts w:cstheme="minorHAnsi"/>
        </w:rPr>
      </w:pPr>
    </w:p>
    <w:p w:rsidR="008B746C" w:rsidRPr="0037633A" w:rsidRDefault="008B746C" w:rsidP="008B746C">
      <w:pPr>
        <w:pStyle w:val="Default"/>
        <w:pBdr>
          <w:top w:val="single" w:sz="4" w:space="1" w:color="auto"/>
          <w:left w:val="single" w:sz="4" w:space="4" w:color="auto"/>
          <w:bottom w:val="single" w:sz="4" w:space="1" w:color="auto"/>
          <w:right w:val="single" w:sz="4" w:space="4" w:color="auto"/>
          <w:between w:val="single" w:sz="4" w:space="1" w:color="auto"/>
          <w:bar w:val="single" w:sz="4" w:color="auto"/>
        </w:pBdr>
        <w:spacing w:line="20" w:lineRule="atLeast"/>
        <w:jc w:val="center"/>
        <w:rPr>
          <w:rFonts w:asciiTheme="minorHAnsi" w:hAnsiTheme="minorHAnsi" w:cstheme="minorHAnsi"/>
          <w:b/>
          <w:sz w:val="22"/>
          <w:szCs w:val="22"/>
        </w:rPr>
      </w:pPr>
      <w:r w:rsidRPr="0037633A">
        <w:rPr>
          <w:rFonts w:asciiTheme="minorHAnsi" w:hAnsiTheme="minorHAnsi" w:cstheme="minorHAnsi"/>
          <w:b/>
          <w:sz w:val="22"/>
          <w:szCs w:val="22"/>
        </w:rPr>
        <w:t>GIOVANI</w:t>
      </w:r>
    </w:p>
    <w:p w:rsidR="008B746C" w:rsidRPr="0037633A" w:rsidRDefault="008B746C" w:rsidP="008B746C">
      <w:pPr>
        <w:pStyle w:val="Default"/>
        <w:spacing w:line="20" w:lineRule="atLeast"/>
        <w:jc w:val="both"/>
        <w:rPr>
          <w:rFonts w:asciiTheme="minorHAnsi" w:hAnsiTheme="minorHAnsi" w:cstheme="minorHAnsi"/>
          <w:b/>
          <w:bCs/>
          <w:sz w:val="22"/>
          <w:szCs w:val="22"/>
        </w:rPr>
      </w:pPr>
    </w:p>
    <w:p w:rsidR="008B746C" w:rsidRDefault="008B746C" w:rsidP="008B746C">
      <w:pPr>
        <w:pStyle w:val="Default"/>
        <w:spacing w:line="20" w:lineRule="atLeast"/>
        <w:jc w:val="both"/>
        <w:rPr>
          <w:rFonts w:asciiTheme="minorHAnsi" w:hAnsiTheme="minorHAnsi" w:cstheme="minorHAnsi"/>
          <w:bCs/>
          <w:sz w:val="22"/>
          <w:szCs w:val="22"/>
        </w:rPr>
      </w:pPr>
      <w:r w:rsidRPr="0037633A">
        <w:rPr>
          <w:rFonts w:asciiTheme="minorHAnsi" w:hAnsiTheme="minorHAnsi" w:cstheme="minorHAnsi"/>
          <w:b/>
          <w:bCs/>
          <w:sz w:val="22"/>
          <w:szCs w:val="22"/>
        </w:rPr>
        <w:t xml:space="preserve">DGR  31 luglio 2019 - n. XI/2041, </w:t>
      </w:r>
      <w:r w:rsidRPr="0037633A">
        <w:rPr>
          <w:rFonts w:asciiTheme="minorHAnsi" w:hAnsiTheme="minorHAnsi" w:cstheme="minorHAnsi"/>
          <w:bCs/>
          <w:sz w:val="22"/>
          <w:szCs w:val="22"/>
        </w:rPr>
        <w:t>Approvazione dello schema di accordo con Anci Lombardia per l’attuazione di iniziative, misure e interventi a favore dei giovani. (BUR n. 32 del 7.8.19)</w:t>
      </w:r>
    </w:p>
    <w:p w:rsidR="008B746C" w:rsidRDefault="008B746C" w:rsidP="008B746C">
      <w:pPr>
        <w:pStyle w:val="Default"/>
        <w:spacing w:line="20" w:lineRule="atLeast"/>
        <w:jc w:val="both"/>
        <w:rPr>
          <w:rFonts w:asciiTheme="minorHAnsi" w:hAnsiTheme="minorHAnsi" w:cstheme="minorHAnsi"/>
          <w:bCs/>
          <w:sz w:val="22"/>
          <w:szCs w:val="22"/>
        </w:rPr>
      </w:pPr>
    </w:p>
    <w:p w:rsidR="008B746C" w:rsidRPr="00A31A3D" w:rsidRDefault="008B746C" w:rsidP="008B746C">
      <w:pPr>
        <w:pStyle w:val="Default"/>
        <w:pBdr>
          <w:top w:val="single" w:sz="4" w:space="1" w:color="auto"/>
          <w:left w:val="single" w:sz="4" w:space="4" w:color="auto"/>
          <w:bottom w:val="single" w:sz="4" w:space="1" w:color="auto"/>
          <w:right w:val="single" w:sz="4" w:space="4" w:color="auto"/>
          <w:between w:val="single" w:sz="4" w:space="1" w:color="auto"/>
          <w:bar w:val="single" w:sz="4" w:color="auto"/>
        </w:pBdr>
        <w:spacing w:line="20" w:lineRule="atLeast"/>
        <w:jc w:val="center"/>
        <w:rPr>
          <w:rStyle w:val="A8"/>
          <w:rFonts w:asciiTheme="minorHAnsi" w:hAnsiTheme="minorHAnsi" w:cstheme="minorHAnsi"/>
          <w:b/>
          <w:sz w:val="22"/>
          <w:szCs w:val="22"/>
        </w:rPr>
      </w:pPr>
      <w:r w:rsidRPr="00A31A3D">
        <w:rPr>
          <w:rStyle w:val="A8"/>
          <w:rFonts w:asciiTheme="minorHAnsi" w:hAnsiTheme="minorHAnsi" w:cstheme="minorHAnsi"/>
          <w:b/>
          <w:sz w:val="22"/>
          <w:szCs w:val="22"/>
        </w:rPr>
        <w:t>INTERVENTI ASSISTENZIALI</w:t>
      </w:r>
    </w:p>
    <w:p w:rsidR="008B746C" w:rsidRDefault="008B746C" w:rsidP="008B746C">
      <w:pPr>
        <w:pStyle w:val="Default"/>
        <w:spacing w:line="20" w:lineRule="atLeast"/>
        <w:jc w:val="both"/>
        <w:rPr>
          <w:rStyle w:val="A8"/>
          <w:rFonts w:asciiTheme="minorHAnsi" w:hAnsiTheme="minorHAnsi" w:cstheme="minorHAnsi"/>
          <w:sz w:val="22"/>
          <w:szCs w:val="22"/>
        </w:rPr>
      </w:pPr>
    </w:p>
    <w:p w:rsidR="008B746C" w:rsidRDefault="008B746C" w:rsidP="008B746C">
      <w:pPr>
        <w:pStyle w:val="Default"/>
        <w:spacing w:line="20" w:lineRule="atLeast"/>
        <w:jc w:val="both"/>
        <w:rPr>
          <w:rFonts w:asciiTheme="minorHAnsi" w:hAnsiTheme="minorHAnsi" w:cstheme="minorHAnsi"/>
          <w:bCs/>
          <w:sz w:val="22"/>
          <w:szCs w:val="22"/>
        </w:rPr>
      </w:pPr>
      <w:r w:rsidRPr="00A31A3D">
        <w:rPr>
          <w:rFonts w:asciiTheme="minorHAnsi" w:hAnsiTheme="minorHAnsi" w:cstheme="minorHAnsi"/>
          <w:b/>
          <w:bCs/>
          <w:sz w:val="22"/>
          <w:szCs w:val="22"/>
        </w:rPr>
        <w:t>DGR  31 luglio 2019 - n. XI/</w:t>
      </w:r>
      <w:proofErr w:type="gramStart"/>
      <w:r w:rsidRPr="00A31A3D">
        <w:rPr>
          <w:rFonts w:asciiTheme="minorHAnsi" w:hAnsiTheme="minorHAnsi" w:cstheme="minorHAnsi"/>
          <w:b/>
          <w:bCs/>
          <w:sz w:val="22"/>
          <w:szCs w:val="22"/>
        </w:rPr>
        <w:t>2072</w:t>
      </w:r>
      <w:r w:rsidRPr="00A31A3D">
        <w:rPr>
          <w:rFonts w:asciiTheme="minorHAnsi" w:hAnsiTheme="minorHAnsi" w:cstheme="minorHAnsi"/>
          <w:bCs/>
          <w:sz w:val="22"/>
          <w:szCs w:val="22"/>
        </w:rPr>
        <w:t>,  Revisione</w:t>
      </w:r>
      <w:proofErr w:type="gramEnd"/>
      <w:r w:rsidRPr="00A31A3D">
        <w:rPr>
          <w:rFonts w:asciiTheme="minorHAnsi" w:hAnsiTheme="minorHAnsi" w:cstheme="minorHAnsi"/>
          <w:bCs/>
          <w:sz w:val="22"/>
          <w:szCs w:val="22"/>
        </w:rPr>
        <w:t xml:space="preserve"> dei criteri e delle modalità per l’assegnazione di contributi ai familiari delle vittime della criminalità, approvati dalla d.g.r. n. 4370/2015 (l.r. 17/2015, art. 21, comma 1)</w:t>
      </w:r>
      <w:r w:rsidRPr="00A31A3D">
        <w:rPr>
          <w:rFonts w:asciiTheme="minorHAnsi" w:hAnsiTheme="minorHAnsi" w:cstheme="minorHAnsi"/>
          <w:b/>
          <w:bCs/>
          <w:sz w:val="22"/>
          <w:szCs w:val="22"/>
        </w:rPr>
        <w:t xml:space="preserve"> </w:t>
      </w:r>
      <w:r w:rsidRPr="00A31A3D">
        <w:rPr>
          <w:rFonts w:asciiTheme="minorHAnsi" w:hAnsiTheme="minorHAnsi" w:cstheme="minorHAnsi"/>
          <w:bCs/>
          <w:sz w:val="22"/>
          <w:szCs w:val="22"/>
        </w:rPr>
        <w:t>(BUR n. 32 dell’8.8.19)</w:t>
      </w:r>
    </w:p>
    <w:p w:rsidR="008B746C" w:rsidRDefault="008B746C" w:rsidP="008B746C">
      <w:pPr>
        <w:pStyle w:val="Default"/>
        <w:spacing w:line="20" w:lineRule="atLeast"/>
        <w:jc w:val="both"/>
        <w:rPr>
          <w:rFonts w:asciiTheme="minorHAnsi" w:hAnsiTheme="minorHAnsi" w:cstheme="minorHAnsi"/>
          <w:bCs/>
          <w:sz w:val="22"/>
          <w:szCs w:val="22"/>
        </w:rPr>
      </w:pPr>
    </w:p>
    <w:p w:rsidR="008B746C" w:rsidRPr="002C33CD"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2C33CD">
        <w:rPr>
          <w:rFonts w:cstheme="minorHAnsi"/>
          <w:b/>
        </w:rPr>
        <w:t>POVERTÀ INCLUSIONE SOCIALE</w:t>
      </w:r>
    </w:p>
    <w:p w:rsidR="008B746C" w:rsidRPr="006B0B81" w:rsidRDefault="008B746C" w:rsidP="008B746C">
      <w:pPr>
        <w:spacing w:after="0" w:line="20" w:lineRule="atLeast"/>
        <w:jc w:val="both"/>
        <w:rPr>
          <w:rFonts w:cstheme="minorHAnsi"/>
        </w:rPr>
      </w:pPr>
    </w:p>
    <w:p w:rsidR="008B746C" w:rsidRDefault="008B746C" w:rsidP="008B746C">
      <w:pPr>
        <w:spacing w:after="0" w:line="20" w:lineRule="atLeast"/>
        <w:jc w:val="both"/>
        <w:rPr>
          <w:rFonts w:cstheme="minorHAnsi"/>
        </w:rPr>
      </w:pPr>
      <w:r w:rsidRPr="002C33CD">
        <w:rPr>
          <w:rFonts w:cstheme="minorHAnsi"/>
          <w:b/>
        </w:rPr>
        <w:t xml:space="preserve">DGR  31 luglio </w:t>
      </w:r>
      <w:proofErr w:type="gramStart"/>
      <w:r w:rsidRPr="002C33CD">
        <w:rPr>
          <w:rFonts w:cstheme="minorHAnsi"/>
          <w:b/>
        </w:rPr>
        <w:t>2019,  n.</w:t>
      </w:r>
      <w:proofErr w:type="gramEnd"/>
      <w:r w:rsidRPr="002C33CD">
        <w:rPr>
          <w:rFonts w:cstheme="minorHAnsi"/>
          <w:b/>
        </w:rPr>
        <w:t xml:space="preserve"> XI/2034</w:t>
      </w:r>
      <w:r>
        <w:rPr>
          <w:rFonts w:cstheme="minorHAnsi"/>
        </w:rPr>
        <w:t xml:space="preserve">, </w:t>
      </w:r>
      <w:r w:rsidRPr="006B0B81">
        <w:rPr>
          <w:rFonts w:cstheme="minorHAnsi"/>
        </w:rPr>
        <w:t xml:space="preserve"> Approvazione dei criteri per l’assegnazione di contributi per il finanziamento di progetti innovativi, che favoriscano lo sviluppo e la costituzione di reti per la tutela e la promozione del diritto al cibo (l.r. 34/2015)</w:t>
      </w:r>
      <w:r>
        <w:rPr>
          <w:rFonts w:cstheme="minorHAnsi"/>
        </w:rPr>
        <w:t>. (BUR n. 32 del 6.8.19)</w:t>
      </w:r>
    </w:p>
    <w:p w:rsidR="008B746C" w:rsidRDefault="008B746C" w:rsidP="008B746C">
      <w:pPr>
        <w:spacing w:after="0" w:line="20" w:lineRule="atLeast"/>
        <w:jc w:val="both"/>
        <w:rPr>
          <w:rFonts w:cstheme="minorHAnsi"/>
        </w:rPr>
      </w:pPr>
    </w:p>
    <w:p w:rsidR="008B746C" w:rsidRPr="00165FFA"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165FFA">
        <w:rPr>
          <w:rFonts w:cstheme="minorHAnsi"/>
          <w:b/>
        </w:rPr>
        <w:t>SANITÀ</w:t>
      </w:r>
    </w:p>
    <w:p w:rsidR="008B746C" w:rsidRDefault="008B746C" w:rsidP="008B746C">
      <w:pPr>
        <w:pStyle w:val="Default"/>
        <w:spacing w:line="20" w:lineRule="atLeast"/>
        <w:jc w:val="both"/>
        <w:rPr>
          <w:rFonts w:asciiTheme="minorHAnsi" w:hAnsiTheme="minorHAnsi" w:cstheme="minorHAnsi"/>
          <w:sz w:val="22"/>
          <w:szCs w:val="22"/>
        </w:rPr>
      </w:pPr>
    </w:p>
    <w:p w:rsidR="008B746C" w:rsidRDefault="008B746C" w:rsidP="008B746C">
      <w:pPr>
        <w:spacing w:after="0" w:line="20" w:lineRule="atLeast"/>
        <w:jc w:val="both"/>
        <w:rPr>
          <w:rFonts w:cstheme="minorHAnsi"/>
        </w:rPr>
      </w:pPr>
      <w:r w:rsidRPr="00165FFA">
        <w:rPr>
          <w:rFonts w:cstheme="minorHAnsi"/>
          <w:b/>
        </w:rPr>
        <w:t xml:space="preserve">DGR  31 luglio </w:t>
      </w:r>
      <w:proofErr w:type="gramStart"/>
      <w:r w:rsidRPr="00165FFA">
        <w:rPr>
          <w:rFonts w:cstheme="minorHAnsi"/>
          <w:b/>
        </w:rPr>
        <w:t>2019,  n.</w:t>
      </w:r>
      <w:proofErr w:type="gramEnd"/>
      <w:r w:rsidRPr="00165FFA">
        <w:rPr>
          <w:rFonts w:cstheme="minorHAnsi"/>
          <w:b/>
        </w:rPr>
        <w:t xml:space="preserve"> XI/2013</w:t>
      </w:r>
      <w:r>
        <w:rPr>
          <w:rFonts w:cstheme="minorHAnsi"/>
        </w:rPr>
        <w:t xml:space="preserve">, </w:t>
      </w:r>
      <w:r w:rsidRPr="006B0B81">
        <w:rPr>
          <w:rFonts w:cstheme="minorHAnsi"/>
        </w:rPr>
        <w:t xml:space="preserve"> Ulteriori indicazioni In merito alle attività di cui all’articolo 8-quinquies del decreto legislativo 30 dicembre 1992, n. 502 nei termini disposti dal d.l. 95/2012 (art 15, comma 14) e dalla legge 208/2015 (art. 1, commi 574-577)</w:t>
      </w:r>
      <w:r>
        <w:rPr>
          <w:rFonts w:cstheme="minorHAnsi"/>
        </w:rPr>
        <w:t>. (BUR n. 32 del 7.8.19)</w:t>
      </w:r>
    </w:p>
    <w:p w:rsidR="008B746C" w:rsidRDefault="008B746C" w:rsidP="008B746C">
      <w:pPr>
        <w:spacing w:after="0" w:line="20" w:lineRule="atLeast"/>
        <w:jc w:val="both"/>
        <w:rPr>
          <w:rFonts w:cstheme="minorHAnsi"/>
        </w:rPr>
      </w:pPr>
    </w:p>
    <w:p w:rsidR="008B746C" w:rsidRDefault="008B746C" w:rsidP="008B746C">
      <w:pPr>
        <w:spacing w:after="0" w:line="20" w:lineRule="atLeast"/>
        <w:jc w:val="both"/>
        <w:rPr>
          <w:rFonts w:cstheme="minorHAnsi"/>
        </w:rPr>
      </w:pPr>
      <w:r w:rsidRPr="004F2972">
        <w:rPr>
          <w:rFonts w:cstheme="minorHAnsi"/>
          <w:b/>
        </w:rPr>
        <w:t xml:space="preserve">DGR 31 luglio </w:t>
      </w:r>
      <w:proofErr w:type="gramStart"/>
      <w:r w:rsidRPr="004F2972">
        <w:rPr>
          <w:rFonts w:cstheme="minorHAnsi"/>
          <w:b/>
        </w:rPr>
        <w:t>2019,  n.</w:t>
      </w:r>
      <w:proofErr w:type="gramEnd"/>
      <w:r w:rsidRPr="004F2972">
        <w:rPr>
          <w:rFonts w:cstheme="minorHAnsi"/>
          <w:b/>
        </w:rPr>
        <w:t xml:space="preserve"> XI/2014</w:t>
      </w:r>
      <w:r>
        <w:rPr>
          <w:rFonts w:cstheme="minorHAnsi"/>
        </w:rPr>
        <w:t xml:space="preserve">, </w:t>
      </w:r>
      <w:r w:rsidRPr="006B0B81">
        <w:rPr>
          <w:rFonts w:cstheme="minorHAnsi"/>
        </w:rPr>
        <w:t xml:space="preserve"> Criteri per la definizione delle attività e servizi da finanziare con l’istituto delle funzioni di cui all’articolo 8-sexies del d.lgs. 502/1992, a decorrere dall’esercizio 2019</w:t>
      </w:r>
      <w:r>
        <w:rPr>
          <w:rFonts w:cstheme="minorHAnsi"/>
        </w:rPr>
        <w:t>. (BUR n. 32 del 7.8.19)</w:t>
      </w:r>
    </w:p>
    <w:p w:rsidR="008B746C" w:rsidRDefault="008B746C" w:rsidP="008B746C">
      <w:pPr>
        <w:spacing w:after="0" w:line="20" w:lineRule="atLeast"/>
        <w:jc w:val="both"/>
        <w:rPr>
          <w:rFonts w:cstheme="minorHAnsi"/>
        </w:rPr>
      </w:pPr>
    </w:p>
    <w:p w:rsidR="008B746C" w:rsidRDefault="008B746C" w:rsidP="008B746C">
      <w:pPr>
        <w:spacing w:after="0" w:line="20" w:lineRule="atLeast"/>
        <w:jc w:val="both"/>
        <w:rPr>
          <w:rFonts w:cstheme="minorHAnsi"/>
        </w:rPr>
      </w:pPr>
      <w:r w:rsidRPr="006B0B81">
        <w:rPr>
          <w:rFonts w:cstheme="minorHAnsi"/>
        </w:rPr>
        <w:t>D</w:t>
      </w:r>
      <w:r>
        <w:rPr>
          <w:rFonts w:cstheme="minorHAnsi"/>
        </w:rPr>
        <w:t xml:space="preserve">GR </w:t>
      </w:r>
      <w:r w:rsidRPr="006B0B81">
        <w:rPr>
          <w:rFonts w:cstheme="minorHAnsi"/>
        </w:rPr>
        <w:t xml:space="preserve"> 31 luglio </w:t>
      </w:r>
      <w:proofErr w:type="gramStart"/>
      <w:r w:rsidRPr="006B0B81">
        <w:rPr>
          <w:rFonts w:cstheme="minorHAnsi"/>
        </w:rPr>
        <w:t>2019</w:t>
      </w:r>
      <w:r>
        <w:rPr>
          <w:rFonts w:cstheme="minorHAnsi"/>
        </w:rPr>
        <w:t xml:space="preserve">, </w:t>
      </w:r>
      <w:r w:rsidRPr="006B0B81">
        <w:rPr>
          <w:rFonts w:cstheme="minorHAnsi"/>
        </w:rPr>
        <w:t xml:space="preserve"> n.</w:t>
      </w:r>
      <w:proofErr w:type="gramEnd"/>
      <w:r w:rsidRPr="006B0B81">
        <w:rPr>
          <w:rFonts w:cstheme="minorHAnsi"/>
        </w:rPr>
        <w:t xml:space="preserve"> XI/2019</w:t>
      </w:r>
      <w:r>
        <w:rPr>
          <w:rFonts w:cstheme="minorHAnsi"/>
        </w:rPr>
        <w:t xml:space="preserve">, </w:t>
      </w:r>
      <w:r w:rsidRPr="006B0B81">
        <w:rPr>
          <w:rFonts w:cstheme="minorHAnsi"/>
        </w:rPr>
        <w:t xml:space="preserve"> Prime indicazioni per l’avvio del percorso di riordino e di riclassificazione dei PreSST, dei POT e delle degenze di comunità</w:t>
      </w:r>
      <w:r>
        <w:rPr>
          <w:rFonts w:cstheme="minorHAnsi"/>
        </w:rPr>
        <w:t xml:space="preserve">. (BUR n. 32 </w:t>
      </w:r>
      <w:proofErr w:type="gramStart"/>
      <w:r>
        <w:rPr>
          <w:rFonts w:cstheme="minorHAnsi"/>
        </w:rPr>
        <w:t>dell’ 8.8.19</w:t>
      </w:r>
      <w:proofErr w:type="gramEnd"/>
      <w:r>
        <w:rPr>
          <w:rFonts w:cstheme="minorHAnsi"/>
        </w:rPr>
        <w:t>)</w:t>
      </w:r>
    </w:p>
    <w:p w:rsidR="008B746C" w:rsidRDefault="008B746C" w:rsidP="008B746C">
      <w:pPr>
        <w:spacing w:after="0" w:line="20" w:lineRule="atLeast"/>
        <w:jc w:val="both"/>
        <w:rPr>
          <w:rFonts w:cstheme="minorHAnsi"/>
        </w:rPr>
      </w:pPr>
    </w:p>
    <w:p w:rsidR="008B746C" w:rsidRPr="000574E8" w:rsidRDefault="008B746C" w:rsidP="008B746C">
      <w:pPr>
        <w:pStyle w:val="Pa11"/>
        <w:pBdr>
          <w:top w:val="single" w:sz="4" w:space="1" w:color="auto"/>
          <w:left w:val="single" w:sz="4" w:space="4" w:color="auto"/>
          <w:bottom w:val="single" w:sz="4" w:space="1" w:color="auto"/>
          <w:right w:val="single" w:sz="4" w:space="4" w:color="auto"/>
          <w:between w:val="single" w:sz="4" w:space="1" w:color="auto"/>
          <w:bar w:val="single" w:sz="4" w:color="auto"/>
        </w:pBdr>
        <w:spacing w:line="20" w:lineRule="atLeast"/>
        <w:jc w:val="center"/>
        <w:rPr>
          <w:rFonts w:asciiTheme="minorHAnsi" w:hAnsiTheme="minorHAnsi" w:cstheme="minorHAnsi"/>
          <w:b/>
          <w:bCs/>
          <w:sz w:val="22"/>
          <w:szCs w:val="22"/>
        </w:rPr>
      </w:pPr>
      <w:r w:rsidRPr="000574E8">
        <w:rPr>
          <w:rFonts w:asciiTheme="minorHAnsi" w:hAnsiTheme="minorHAnsi" w:cstheme="minorHAnsi"/>
          <w:b/>
          <w:bCs/>
          <w:sz w:val="22"/>
          <w:szCs w:val="22"/>
        </w:rPr>
        <w:t>TUTELA DEI DIRITTI</w:t>
      </w:r>
    </w:p>
    <w:p w:rsidR="008B746C" w:rsidRPr="000574E8" w:rsidRDefault="008B746C" w:rsidP="008B746C">
      <w:pPr>
        <w:pStyle w:val="Default"/>
      </w:pPr>
    </w:p>
    <w:p w:rsidR="008B746C" w:rsidRDefault="008B746C" w:rsidP="008B746C">
      <w:pPr>
        <w:pStyle w:val="Pa9"/>
        <w:spacing w:line="20" w:lineRule="atLeast"/>
        <w:jc w:val="both"/>
        <w:rPr>
          <w:rFonts w:asciiTheme="minorHAnsi" w:hAnsiTheme="minorHAnsi" w:cstheme="minorHAnsi"/>
          <w:bCs/>
          <w:sz w:val="22"/>
          <w:szCs w:val="22"/>
        </w:rPr>
      </w:pPr>
      <w:r w:rsidRPr="000574E8">
        <w:rPr>
          <w:rFonts w:asciiTheme="minorHAnsi" w:hAnsiTheme="minorHAnsi" w:cstheme="minorHAnsi"/>
          <w:b/>
          <w:bCs/>
          <w:sz w:val="22"/>
          <w:szCs w:val="22"/>
        </w:rPr>
        <w:t>D.d.u.o. 31 luglio 2019 - n. 11316 I</w:t>
      </w:r>
      <w:r w:rsidRPr="000574E8">
        <w:rPr>
          <w:rFonts w:asciiTheme="minorHAnsi" w:hAnsiTheme="minorHAnsi" w:cstheme="minorHAnsi"/>
          <w:bCs/>
          <w:sz w:val="22"/>
          <w:szCs w:val="22"/>
        </w:rPr>
        <w:t>scrizione all’albo regionale dei centri antiviolenza, delle case rifugio e delle case di accoglienza – Sezione B «Case rifugio» – «La Tua Isola societ</w:t>
      </w:r>
      <w:r>
        <w:rPr>
          <w:rFonts w:asciiTheme="minorHAnsi" w:hAnsiTheme="minorHAnsi" w:cstheme="minorHAnsi"/>
          <w:bCs/>
          <w:sz w:val="22"/>
          <w:szCs w:val="22"/>
        </w:rPr>
        <w:t>à</w:t>
      </w:r>
      <w:r w:rsidRPr="000574E8">
        <w:rPr>
          <w:rFonts w:asciiTheme="minorHAnsi" w:hAnsiTheme="minorHAnsi" w:cstheme="minorHAnsi"/>
          <w:bCs/>
          <w:sz w:val="22"/>
          <w:szCs w:val="22"/>
        </w:rPr>
        <w:t xml:space="preserve"> cooperativa sociale a r.l.»</w:t>
      </w:r>
      <w:r w:rsidRPr="000574E8">
        <w:rPr>
          <w:rFonts w:asciiTheme="minorHAnsi" w:hAnsiTheme="minorHAnsi" w:cstheme="minorHAnsi"/>
          <w:b/>
          <w:bCs/>
          <w:sz w:val="22"/>
          <w:szCs w:val="22"/>
        </w:rPr>
        <w:t xml:space="preserve"> </w:t>
      </w:r>
      <w:r w:rsidRPr="000574E8">
        <w:rPr>
          <w:rFonts w:asciiTheme="minorHAnsi" w:hAnsiTheme="minorHAnsi" w:cstheme="minorHAnsi"/>
          <w:bCs/>
          <w:sz w:val="22"/>
          <w:szCs w:val="22"/>
        </w:rPr>
        <w:t>(BUR n. 33 del 13.8.19</w:t>
      </w:r>
    </w:p>
    <w:p w:rsidR="008B746C" w:rsidRDefault="008B746C" w:rsidP="008B746C">
      <w:pPr>
        <w:pStyle w:val="Pa9"/>
        <w:spacing w:line="20" w:lineRule="atLeast"/>
        <w:jc w:val="both"/>
        <w:rPr>
          <w:rFonts w:asciiTheme="minorHAnsi" w:hAnsiTheme="minorHAnsi" w:cstheme="minorHAnsi"/>
          <w:bCs/>
          <w:sz w:val="22"/>
          <w:szCs w:val="22"/>
        </w:rPr>
      </w:pPr>
    </w:p>
    <w:p w:rsidR="008B746C" w:rsidRPr="00B73FD1" w:rsidRDefault="008B746C" w:rsidP="008B746C">
      <w:pPr>
        <w:pStyle w:val="Pa9"/>
        <w:spacing w:line="20" w:lineRule="atLeast"/>
        <w:jc w:val="both"/>
        <w:rPr>
          <w:rFonts w:asciiTheme="minorHAnsi" w:hAnsiTheme="minorHAnsi" w:cstheme="minorHAnsi"/>
          <w:sz w:val="22"/>
          <w:szCs w:val="22"/>
        </w:rPr>
      </w:pPr>
      <w:r w:rsidRPr="00B73FD1">
        <w:rPr>
          <w:rFonts w:asciiTheme="minorHAnsi" w:hAnsiTheme="minorHAnsi" w:cstheme="minorHAnsi"/>
          <w:b/>
          <w:bCs/>
          <w:color w:val="000000"/>
          <w:sz w:val="22"/>
          <w:szCs w:val="22"/>
        </w:rPr>
        <w:t xml:space="preserve">D.d.u.o. 1 agosto 2019 - n. </w:t>
      </w:r>
      <w:proofErr w:type="gramStart"/>
      <w:r w:rsidRPr="00B73FD1">
        <w:rPr>
          <w:rFonts w:asciiTheme="minorHAnsi" w:hAnsiTheme="minorHAnsi" w:cstheme="minorHAnsi"/>
          <w:b/>
          <w:bCs/>
          <w:color w:val="000000"/>
          <w:sz w:val="22"/>
          <w:szCs w:val="22"/>
        </w:rPr>
        <w:t>11481</w:t>
      </w:r>
      <w:r>
        <w:rPr>
          <w:rFonts w:asciiTheme="minorHAnsi" w:hAnsiTheme="minorHAnsi" w:cstheme="minorHAnsi"/>
          <w:b/>
          <w:bCs/>
          <w:color w:val="000000"/>
          <w:sz w:val="22"/>
          <w:szCs w:val="22"/>
        </w:rPr>
        <w:t xml:space="preserve">,  </w:t>
      </w:r>
      <w:r w:rsidRPr="000574E8">
        <w:rPr>
          <w:rFonts w:asciiTheme="minorHAnsi" w:hAnsiTheme="minorHAnsi" w:cstheme="minorHAnsi"/>
          <w:bCs/>
          <w:sz w:val="22"/>
          <w:szCs w:val="22"/>
        </w:rPr>
        <w:t>Iscrizione</w:t>
      </w:r>
      <w:proofErr w:type="gramEnd"/>
      <w:r w:rsidRPr="000574E8">
        <w:rPr>
          <w:rFonts w:asciiTheme="minorHAnsi" w:hAnsiTheme="minorHAnsi" w:cstheme="minorHAnsi"/>
          <w:bCs/>
          <w:sz w:val="22"/>
          <w:szCs w:val="22"/>
        </w:rPr>
        <w:t xml:space="preserve"> all’Albo regionale dei Centri Antiviolenza, delle Case Rifugio e delle Case di Accoglienza – sezione C «Case di Accoglienza» – «Fondazione Madre Rosa Gozzoli ONLUS» </w:t>
      </w:r>
      <w:r w:rsidRPr="00B73FD1">
        <w:rPr>
          <w:rFonts w:asciiTheme="minorHAnsi" w:hAnsiTheme="minorHAnsi" w:cstheme="minorHAnsi"/>
          <w:sz w:val="22"/>
          <w:szCs w:val="22"/>
        </w:rPr>
        <w:t xml:space="preserve"> </w:t>
      </w:r>
    </w:p>
    <w:p w:rsidR="008B746C" w:rsidRDefault="008B746C" w:rsidP="008B746C">
      <w:pPr>
        <w:pStyle w:val="Default"/>
      </w:pPr>
    </w:p>
    <w:p w:rsidR="008B746C" w:rsidRDefault="008B746C" w:rsidP="008B746C">
      <w:pPr>
        <w:pStyle w:val="Default"/>
        <w:jc w:val="both"/>
        <w:rPr>
          <w:rFonts w:asciiTheme="minorHAnsi" w:hAnsiTheme="minorHAnsi" w:cstheme="minorHAnsi"/>
          <w:sz w:val="22"/>
          <w:szCs w:val="22"/>
        </w:rPr>
      </w:pPr>
      <w:r w:rsidRPr="00EA7782">
        <w:rPr>
          <w:rFonts w:asciiTheme="minorHAnsi" w:hAnsiTheme="minorHAnsi" w:cstheme="minorHAnsi"/>
          <w:b/>
          <w:sz w:val="22"/>
          <w:szCs w:val="22"/>
        </w:rPr>
        <w:t xml:space="preserve">D.d.u.o. 21 agosto </w:t>
      </w:r>
      <w:proofErr w:type="gramStart"/>
      <w:r w:rsidRPr="00EA7782">
        <w:rPr>
          <w:rFonts w:asciiTheme="minorHAnsi" w:hAnsiTheme="minorHAnsi" w:cstheme="minorHAnsi"/>
          <w:b/>
          <w:sz w:val="22"/>
          <w:szCs w:val="22"/>
        </w:rPr>
        <w:t>2019,  n.</w:t>
      </w:r>
      <w:proofErr w:type="gramEnd"/>
      <w:r w:rsidRPr="00EA7782">
        <w:rPr>
          <w:rFonts w:asciiTheme="minorHAnsi" w:hAnsiTheme="minorHAnsi" w:cstheme="minorHAnsi"/>
          <w:b/>
          <w:sz w:val="22"/>
          <w:szCs w:val="22"/>
        </w:rPr>
        <w:t xml:space="preserve"> 12163</w:t>
      </w:r>
      <w:r>
        <w:rPr>
          <w:rFonts w:asciiTheme="minorHAnsi" w:hAnsiTheme="minorHAnsi" w:cstheme="minorHAnsi"/>
          <w:sz w:val="22"/>
          <w:szCs w:val="22"/>
        </w:rPr>
        <w:t xml:space="preserve">, </w:t>
      </w:r>
      <w:r w:rsidRPr="00EA7782">
        <w:rPr>
          <w:rFonts w:asciiTheme="minorHAnsi" w:hAnsiTheme="minorHAnsi" w:cstheme="minorHAnsi"/>
          <w:sz w:val="22"/>
          <w:szCs w:val="22"/>
        </w:rPr>
        <w:t xml:space="preserve"> Iscrizione all’albo regionale dei centri antiviolenza, delle case rifugio e delle case di accoglienza – Sezione B «Case rifugio» – «Cooperativa sociale RINNOVAMENTO onlus»</w:t>
      </w:r>
      <w:r>
        <w:rPr>
          <w:rFonts w:asciiTheme="minorHAnsi" w:hAnsiTheme="minorHAnsi" w:cstheme="minorHAnsi"/>
          <w:sz w:val="22"/>
          <w:szCs w:val="22"/>
        </w:rPr>
        <w:t xml:space="preserve"> (BUR n. 35 del 29.8.19)</w:t>
      </w:r>
    </w:p>
    <w:p w:rsidR="008B746C" w:rsidRDefault="008B746C" w:rsidP="008B746C">
      <w:pPr>
        <w:pStyle w:val="Default"/>
        <w:jc w:val="both"/>
        <w:rPr>
          <w:rFonts w:asciiTheme="minorHAnsi" w:hAnsiTheme="minorHAnsi" w:cstheme="minorHAnsi"/>
          <w:sz w:val="22"/>
          <w:szCs w:val="22"/>
        </w:rPr>
      </w:pPr>
    </w:p>
    <w:p w:rsidR="008B746C" w:rsidRDefault="008B746C" w:rsidP="008B746C">
      <w:pPr>
        <w:pStyle w:val="Default"/>
        <w:jc w:val="both"/>
        <w:rPr>
          <w:rFonts w:asciiTheme="minorHAnsi" w:hAnsiTheme="minorHAnsi" w:cstheme="minorHAnsi"/>
          <w:sz w:val="22"/>
          <w:szCs w:val="22"/>
        </w:rPr>
      </w:pPr>
      <w:r w:rsidRPr="000E0F29">
        <w:rPr>
          <w:rFonts w:asciiTheme="minorHAnsi" w:hAnsiTheme="minorHAnsi" w:cstheme="minorHAnsi"/>
          <w:b/>
          <w:sz w:val="22"/>
          <w:szCs w:val="22"/>
        </w:rPr>
        <w:t>D.d.u.o. 21 agosto 2019 - n. 12164</w:t>
      </w:r>
      <w:r w:rsidRPr="00EA7782">
        <w:rPr>
          <w:rFonts w:asciiTheme="minorHAnsi" w:hAnsiTheme="minorHAnsi" w:cstheme="minorHAnsi"/>
          <w:sz w:val="22"/>
          <w:szCs w:val="22"/>
        </w:rPr>
        <w:t xml:space="preserve"> Iscrizione all’albo regionale dei centri antiviolenza, delle case rifugio e delle case di accoglienza – Sezioni B «Case rifugio» e C «Case di accoglienza» – «La Sorgente - Società cooperativa sociale - onlus»</w:t>
      </w:r>
      <w:r>
        <w:rPr>
          <w:rFonts w:asciiTheme="minorHAnsi" w:hAnsiTheme="minorHAnsi" w:cstheme="minorHAnsi"/>
          <w:sz w:val="22"/>
          <w:szCs w:val="22"/>
        </w:rPr>
        <w:t xml:space="preserve"> (BUR n. 35 del 29.8.19)</w:t>
      </w:r>
    </w:p>
    <w:p w:rsidR="008B746C" w:rsidRDefault="008B746C" w:rsidP="008B746C">
      <w:pPr>
        <w:spacing w:after="0" w:line="20" w:lineRule="atLeast"/>
        <w:jc w:val="both"/>
        <w:rPr>
          <w:rFonts w:cstheme="minorHAnsi"/>
        </w:rPr>
      </w:pPr>
    </w:p>
    <w:p w:rsidR="008B746C" w:rsidRDefault="008B746C" w:rsidP="008B746C">
      <w:pPr>
        <w:spacing w:after="0" w:line="20" w:lineRule="atLeast"/>
        <w:jc w:val="center"/>
        <w:rPr>
          <w:rFonts w:ascii="Broadway" w:hAnsi="Broadway" w:cstheme="majorHAnsi"/>
          <w:b/>
          <w:sz w:val="40"/>
          <w:szCs w:val="40"/>
        </w:rPr>
      </w:pPr>
      <w:r>
        <w:rPr>
          <w:rFonts w:ascii="Broadway" w:hAnsi="Broadway" w:cstheme="majorHAnsi"/>
          <w:b/>
          <w:sz w:val="40"/>
          <w:szCs w:val="40"/>
        </w:rPr>
        <w:t xml:space="preserve">MARCHE </w:t>
      </w:r>
    </w:p>
    <w:p w:rsidR="008B746C" w:rsidRPr="00B81D31" w:rsidRDefault="008B746C" w:rsidP="008B746C">
      <w:pPr>
        <w:pStyle w:val="Default"/>
      </w:pPr>
    </w:p>
    <w:p w:rsidR="008B746C" w:rsidRPr="00B81D31" w:rsidRDefault="008B746C" w:rsidP="008B746C">
      <w:pPr>
        <w:pStyle w:val="Default"/>
        <w:pBdr>
          <w:top w:val="single" w:sz="4" w:space="1" w:color="auto"/>
          <w:left w:val="single" w:sz="4" w:space="4" w:color="auto"/>
          <w:bottom w:val="single" w:sz="4" w:space="1" w:color="auto"/>
          <w:right w:val="single" w:sz="4" w:space="4" w:color="auto"/>
          <w:between w:val="single" w:sz="4" w:space="1" w:color="auto"/>
          <w:bar w:val="single" w:sz="4" w:color="auto"/>
        </w:pBdr>
        <w:jc w:val="center"/>
        <w:rPr>
          <w:rFonts w:asciiTheme="minorHAnsi" w:hAnsiTheme="minorHAnsi" w:cstheme="minorHAnsi"/>
          <w:b/>
          <w:sz w:val="22"/>
          <w:szCs w:val="22"/>
        </w:rPr>
      </w:pPr>
      <w:r w:rsidRPr="00B81D31">
        <w:rPr>
          <w:rFonts w:asciiTheme="minorHAnsi" w:hAnsiTheme="minorHAnsi" w:cstheme="minorHAnsi"/>
          <w:b/>
          <w:sz w:val="22"/>
          <w:szCs w:val="22"/>
        </w:rPr>
        <w:t>FAMIGLIA</w:t>
      </w:r>
    </w:p>
    <w:p w:rsidR="008B746C" w:rsidRDefault="008B746C" w:rsidP="008B746C">
      <w:pPr>
        <w:pStyle w:val="Default"/>
      </w:pPr>
    </w:p>
    <w:p w:rsidR="008B746C" w:rsidRDefault="008B746C" w:rsidP="008B746C">
      <w:pPr>
        <w:autoSpaceDE w:val="0"/>
        <w:autoSpaceDN w:val="0"/>
        <w:adjustRightInd w:val="0"/>
        <w:spacing w:after="0" w:line="20" w:lineRule="atLeast"/>
        <w:jc w:val="both"/>
        <w:rPr>
          <w:rFonts w:cstheme="minorHAnsi"/>
          <w:iCs/>
        </w:rPr>
      </w:pPr>
      <w:r w:rsidRPr="00B1066E">
        <w:rPr>
          <w:rFonts w:cstheme="minorHAnsi"/>
          <w:b/>
          <w:bCs/>
          <w:color w:val="191919"/>
        </w:rPr>
        <w:t xml:space="preserve">DGR  29 luglio 2019, n. 921, </w:t>
      </w:r>
      <w:r w:rsidRPr="00B1066E">
        <w:rPr>
          <w:rFonts w:cstheme="minorHAnsi"/>
          <w:iCs/>
          <w:color w:val="191919"/>
        </w:rPr>
        <w:t>Approvazione di criteri e modalità di utilizzo del Fondo statale per le politiche della famiglia 2019, di cui all’Intesa n. 30 approvata in sede di Conferenza Unificata il 17/04/2019.</w:t>
      </w:r>
      <w:r w:rsidRPr="00B1066E">
        <w:rPr>
          <w:rFonts w:cstheme="minorHAnsi"/>
          <w:iCs/>
        </w:rPr>
        <w:t xml:space="preserve"> (BUR n. 66 del 9.8.19)</w:t>
      </w:r>
    </w:p>
    <w:p w:rsidR="008B746C" w:rsidRDefault="008B746C" w:rsidP="008B746C">
      <w:pPr>
        <w:autoSpaceDE w:val="0"/>
        <w:autoSpaceDN w:val="0"/>
        <w:adjustRightInd w:val="0"/>
        <w:spacing w:after="0" w:line="20" w:lineRule="atLeast"/>
        <w:jc w:val="both"/>
        <w:rPr>
          <w:rFonts w:cstheme="minorHAnsi"/>
          <w:iCs/>
        </w:rPr>
      </w:pPr>
    </w:p>
    <w:p w:rsidR="008B746C" w:rsidRPr="00B81D31" w:rsidRDefault="008B746C" w:rsidP="008B746C">
      <w:pPr>
        <w:pStyle w:val="Default"/>
        <w:pBdr>
          <w:top w:val="single" w:sz="4" w:space="1" w:color="auto"/>
          <w:left w:val="single" w:sz="4" w:space="4" w:color="auto"/>
          <w:bottom w:val="single" w:sz="4" w:space="1" w:color="auto"/>
          <w:right w:val="single" w:sz="4" w:space="4" w:color="auto"/>
          <w:between w:val="single" w:sz="4" w:space="1" w:color="auto"/>
          <w:bar w:val="single" w:sz="4" w:color="auto"/>
        </w:pBdr>
        <w:jc w:val="center"/>
        <w:rPr>
          <w:rFonts w:asciiTheme="minorHAnsi" w:hAnsiTheme="minorHAnsi" w:cstheme="minorHAnsi"/>
          <w:b/>
          <w:sz w:val="22"/>
          <w:szCs w:val="22"/>
        </w:rPr>
      </w:pPr>
      <w:r w:rsidRPr="00B81D31">
        <w:rPr>
          <w:rFonts w:asciiTheme="minorHAnsi" w:hAnsiTheme="minorHAnsi" w:cstheme="minorHAnsi"/>
          <w:b/>
          <w:sz w:val="22"/>
          <w:szCs w:val="22"/>
        </w:rPr>
        <w:t>PERSONE CON DISABILITÀ</w:t>
      </w:r>
    </w:p>
    <w:p w:rsidR="008B746C" w:rsidRDefault="008B746C" w:rsidP="008B746C">
      <w:pPr>
        <w:pStyle w:val="Default"/>
      </w:pPr>
    </w:p>
    <w:p w:rsidR="008B746C" w:rsidRPr="00B81D31" w:rsidRDefault="008B746C" w:rsidP="008B746C">
      <w:pPr>
        <w:autoSpaceDE w:val="0"/>
        <w:autoSpaceDN w:val="0"/>
        <w:adjustRightInd w:val="0"/>
        <w:spacing w:after="0" w:line="20" w:lineRule="atLeast"/>
        <w:jc w:val="both"/>
        <w:rPr>
          <w:rFonts w:cstheme="minorHAnsi"/>
          <w:iCs/>
        </w:rPr>
      </w:pPr>
      <w:r w:rsidRPr="00D00562">
        <w:rPr>
          <w:rFonts w:cstheme="minorHAnsi"/>
          <w:b/>
          <w:bCs/>
          <w:color w:val="191919"/>
        </w:rPr>
        <w:t xml:space="preserve">DGR   29 luglio 2019, n. 910, </w:t>
      </w:r>
      <w:r w:rsidRPr="00B81D31">
        <w:rPr>
          <w:rFonts w:cstheme="minorHAnsi"/>
          <w:iCs/>
          <w:color w:val="191919"/>
        </w:rPr>
        <w:t>“L.R. 24/1985 Interventi per favorire il funzionamento degli organi e delle strutture delle associazioni che perseguono la tutela e la promozione sociale dei cittadini invalidi, mutilati e disabili - Criteri per il censimento delle associazioni di cui all’art. 2”.</w:t>
      </w:r>
      <w:r w:rsidRPr="00B81D31">
        <w:rPr>
          <w:rFonts w:cstheme="minorHAnsi"/>
          <w:iCs/>
        </w:rPr>
        <w:t xml:space="preserve"> (BUR n. 66 del 9.8.19)</w:t>
      </w:r>
    </w:p>
    <w:p w:rsidR="008B746C" w:rsidRDefault="008B746C" w:rsidP="008B746C">
      <w:pPr>
        <w:autoSpaceDE w:val="0"/>
        <w:autoSpaceDN w:val="0"/>
        <w:adjustRightInd w:val="0"/>
        <w:spacing w:after="0" w:line="20" w:lineRule="atLeast"/>
        <w:jc w:val="both"/>
        <w:rPr>
          <w:rFonts w:cstheme="minorHAnsi"/>
          <w:iCs/>
        </w:rPr>
      </w:pPr>
    </w:p>
    <w:p w:rsidR="008B746C" w:rsidRDefault="008B746C" w:rsidP="008B746C">
      <w:pPr>
        <w:autoSpaceDE w:val="0"/>
        <w:autoSpaceDN w:val="0"/>
        <w:adjustRightInd w:val="0"/>
        <w:spacing w:after="0" w:line="20" w:lineRule="atLeast"/>
        <w:jc w:val="both"/>
        <w:rPr>
          <w:rFonts w:cstheme="minorHAnsi"/>
          <w:iCs/>
        </w:rPr>
      </w:pPr>
      <w:r w:rsidRPr="00B81D31">
        <w:rPr>
          <w:rFonts w:cstheme="minorHAnsi"/>
          <w:b/>
          <w:bCs/>
          <w:color w:val="191919"/>
        </w:rPr>
        <w:t xml:space="preserve">DGR  29 luglio 2019, n. 911, </w:t>
      </w:r>
      <w:r w:rsidRPr="00B81D31">
        <w:rPr>
          <w:rFonts w:cstheme="minorHAnsi"/>
          <w:iCs/>
          <w:color w:val="191919"/>
        </w:rPr>
        <w:t xml:space="preserve">“L. 112/2016 - Disposizioni in materia di </w:t>
      </w:r>
      <w:proofErr w:type="gramStart"/>
      <w:r w:rsidRPr="00B81D31">
        <w:rPr>
          <w:rFonts w:cstheme="minorHAnsi"/>
          <w:iCs/>
          <w:color w:val="191919"/>
        </w:rPr>
        <w:t>assistenza  in</w:t>
      </w:r>
      <w:proofErr w:type="gramEnd"/>
      <w:r w:rsidRPr="00B81D31">
        <w:rPr>
          <w:rFonts w:cstheme="minorHAnsi"/>
          <w:iCs/>
          <w:color w:val="191919"/>
        </w:rPr>
        <w:t xml:space="preserve"> favore delle persone con disabilità grave prive di sostegno familiare - Dopo di Noi. Indirizzi di programmazione regionale per l’attuazione degli interventi e dei servizi di cui all’art.3 del D.M. del 23.11.2016 e criteri di riparto delle risorse tra gli Ambiti Territoriali Sociali Fondo nazionale 2018”.</w:t>
      </w:r>
      <w:r w:rsidRPr="00B81D31">
        <w:rPr>
          <w:rFonts w:cstheme="minorHAnsi"/>
          <w:iCs/>
        </w:rPr>
        <w:t xml:space="preserve"> (BUR n. 66 del 9.8.19)</w:t>
      </w:r>
    </w:p>
    <w:p w:rsidR="008B746C" w:rsidRDefault="008B746C" w:rsidP="008B746C">
      <w:pPr>
        <w:autoSpaceDE w:val="0"/>
        <w:autoSpaceDN w:val="0"/>
        <w:adjustRightInd w:val="0"/>
        <w:spacing w:after="0" w:line="20" w:lineRule="atLeast"/>
        <w:jc w:val="both"/>
        <w:rPr>
          <w:rFonts w:cstheme="minorHAnsi"/>
          <w:iCs/>
        </w:rPr>
      </w:pPr>
    </w:p>
    <w:p w:rsidR="008B746C" w:rsidRPr="00D00562" w:rsidRDefault="008B746C" w:rsidP="008B746C">
      <w:pPr>
        <w:autoSpaceDE w:val="0"/>
        <w:autoSpaceDN w:val="0"/>
        <w:adjustRightInd w:val="0"/>
        <w:spacing w:after="0" w:line="20" w:lineRule="atLeast"/>
        <w:jc w:val="both"/>
        <w:rPr>
          <w:rFonts w:cstheme="minorHAnsi"/>
          <w:iCs/>
        </w:rPr>
      </w:pPr>
      <w:r w:rsidRPr="00B1066E">
        <w:rPr>
          <w:rFonts w:cstheme="minorHAnsi"/>
          <w:b/>
          <w:bCs/>
          <w:color w:val="191919"/>
        </w:rPr>
        <w:t xml:space="preserve">DGR   </w:t>
      </w:r>
      <w:proofErr w:type="gramStart"/>
      <w:r w:rsidRPr="00B1066E">
        <w:rPr>
          <w:rFonts w:cstheme="minorHAnsi"/>
          <w:b/>
          <w:bCs/>
          <w:color w:val="191919"/>
        </w:rPr>
        <w:t>29  luglio</w:t>
      </w:r>
      <w:proofErr w:type="gramEnd"/>
      <w:r w:rsidRPr="00B1066E">
        <w:rPr>
          <w:rFonts w:cstheme="minorHAnsi"/>
          <w:b/>
          <w:bCs/>
          <w:color w:val="191919"/>
        </w:rPr>
        <w:t xml:space="preserve"> 2019, n. 912, </w:t>
      </w:r>
      <w:r w:rsidRPr="00B1066E">
        <w:rPr>
          <w:rFonts w:cstheme="minorHAnsi"/>
          <w:iCs/>
          <w:color w:val="191919"/>
        </w:rPr>
        <w:t>Interventi socio assistenziali a favore degli</w:t>
      </w:r>
      <w:r>
        <w:rPr>
          <w:rFonts w:cstheme="minorHAnsi"/>
          <w:iCs/>
          <w:color w:val="191919"/>
        </w:rPr>
        <w:t xml:space="preserve"> </w:t>
      </w:r>
      <w:r w:rsidRPr="00B1066E">
        <w:rPr>
          <w:rFonts w:cstheme="minorHAnsi"/>
          <w:iCs/>
          <w:color w:val="191919"/>
        </w:rPr>
        <w:t>alunni con disabilità fisiche o sensoriali. Criteri per l’attuazione degli interventi e per il riparto delle risorse da trasferire agli Ambiti Territoriali Sociali - a.s. 2019/2020</w:t>
      </w:r>
      <w:r w:rsidRPr="00D00562">
        <w:rPr>
          <w:rFonts w:cstheme="minorHAnsi"/>
          <w:i/>
          <w:iCs/>
          <w:color w:val="191919"/>
        </w:rPr>
        <w:t>.</w:t>
      </w:r>
      <w:r w:rsidRPr="00D00562">
        <w:rPr>
          <w:rFonts w:cstheme="minorHAnsi"/>
          <w:iCs/>
        </w:rPr>
        <w:t xml:space="preserve"> </w:t>
      </w:r>
      <w:r>
        <w:rPr>
          <w:rFonts w:cstheme="minorHAnsi"/>
          <w:iCs/>
        </w:rPr>
        <w:t>(</w:t>
      </w:r>
      <w:r w:rsidRPr="00D00562">
        <w:rPr>
          <w:rFonts w:cstheme="minorHAnsi"/>
          <w:iCs/>
        </w:rPr>
        <w:t>BUR n. 66 del 9.8.19)</w:t>
      </w:r>
    </w:p>
    <w:p w:rsidR="008B746C" w:rsidRDefault="008B746C" w:rsidP="008B746C">
      <w:pPr>
        <w:autoSpaceDE w:val="0"/>
        <w:autoSpaceDN w:val="0"/>
        <w:adjustRightInd w:val="0"/>
        <w:spacing w:after="0" w:line="20" w:lineRule="atLeast"/>
        <w:jc w:val="both"/>
        <w:rPr>
          <w:rFonts w:cstheme="minorHAnsi"/>
          <w:iCs/>
        </w:rPr>
      </w:pPr>
    </w:p>
    <w:p w:rsidR="008B746C" w:rsidRDefault="008B746C" w:rsidP="008B746C">
      <w:pPr>
        <w:autoSpaceDE w:val="0"/>
        <w:autoSpaceDN w:val="0"/>
        <w:adjustRightInd w:val="0"/>
        <w:spacing w:after="0" w:line="20" w:lineRule="atLeast"/>
        <w:jc w:val="both"/>
        <w:rPr>
          <w:rFonts w:cstheme="minorHAnsi"/>
          <w:iCs/>
        </w:rPr>
      </w:pPr>
      <w:r w:rsidRPr="00D00562">
        <w:rPr>
          <w:rFonts w:cstheme="minorHAnsi"/>
          <w:b/>
          <w:bCs/>
          <w:color w:val="191919"/>
        </w:rPr>
        <w:t xml:space="preserve">DGR del 29 luglio 2019, n. 913, </w:t>
      </w:r>
      <w:r w:rsidRPr="00D00562">
        <w:rPr>
          <w:rFonts w:cstheme="minorHAnsi"/>
          <w:iCs/>
          <w:color w:val="191919"/>
        </w:rPr>
        <w:t>L.R. 24/1985 Interventi per favorire il funzionamento degli organi e delle strutture delle associazioni che perseguono la tutela e la promozione sociale dei cittadini invalidi, mutilati e disabili - Criteri e modalità di concessione dei contributi per l’anno 2019.</w:t>
      </w:r>
      <w:r>
        <w:rPr>
          <w:rFonts w:cstheme="minorHAnsi"/>
          <w:iCs/>
          <w:color w:val="191919"/>
        </w:rPr>
        <w:t xml:space="preserve"> </w:t>
      </w:r>
      <w:r>
        <w:rPr>
          <w:rFonts w:cstheme="minorHAnsi"/>
          <w:iCs/>
        </w:rPr>
        <w:t>(</w:t>
      </w:r>
      <w:r w:rsidRPr="00D00562">
        <w:rPr>
          <w:rFonts w:cstheme="minorHAnsi"/>
          <w:iCs/>
        </w:rPr>
        <w:t>BUR n. 66 del 9.8.19)</w:t>
      </w:r>
    </w:p>
    <w:p w:rsidR="008B746C" w:rsidRDefault="008B746C" w:rsidP="008B746C">
      <w:pPr>
        <w:autoSpaceDE w:val="0"/>
        <w:autoSpaceDN w:val="0"/>
        <w:adjustRightInd w:val="0"/>
        <w:spacing w:after="0" w:line="20" w:lineRule="atLeast"/>
        <w:jc w:val="both"/>
        <w:rPr>
          <w:rFonts w:cstheme="minorHAnsi"/>
          <w:iCs/>
        </w:rPr>
      </w:pPr>
    </w:p>
    <w:p w:rsidR="008B746C" w:rsidRPr="003C0209" w:rsidRDefault="008B746C" w:rsidP="008B746C">
      <w:pPr>
        <w:pStyle w:val="Default"/>
        <w:pBdr>
          <w:top w:val="single" w:sz="4" w:space="1" w:color="auto"/>
          <w:left w:val="single" w:sz="4" w:space="4" w:color="auto"/>
          <w:bottom w:val="single" w:sz="4" w:space="1" w:color="auto"/>
          <w:right w:val="single" w:sz="4" w:space="4" w:color="auto"/>
          <w:between w:val="single" w:sz="4" w:space="1" w:color="auto"/>
          <w:bar w:val="single" w:sz="4" w:color="auto"/>
        </w:pBdr>
        <w:jc w:val="center"/>
        <w:rPr>
          <w:rFonts w:asciiTheme="minorHAnsi" w:hAnsiTheme="minorHAnsi" w:cstheme="minorHAnsi"/>
          <w:b/>
          <w:sz w:val="22"/>
          <w:szCs w:val="22"/>
        </w:rPr>
      </w:pPr>
      <w:r w:rsidRPr="003C0209">
        <w:rPr>
          <w:rFonts w:asciiTheme="minorHAnsi" w:hAnsiTheme="minorHAnsi" w:cstheme="minorHAnsi"/>
          <w:b/>
          <w:sz w:val="22"/>
          <w:szCs w:val="22"/>
        </w:rPr>
        <w:t>SANITÀ</w:t>
      </w:r>
    </w:p>
    <w:p w:rsidR="008B746C" w:rsidRDefault="008B746C" w:rsidP="008B746C">
      <w:pPr>
        <w:pStyle w:val="Default"/>
      </w:pPr>
    </w:p>
    <w:p w:rsidR="008B746C" w:rsidRDefault="008B746C" w:rsidP="008B746C">
      <w:pPr>
        <w:autoSpaceDE w:val="0"/>
        <w:autoSpaceDN w:val="0"/>
        <w:adjustRightInd w:val="0"/>
        <w:spacing w:after="0" w:line="20" w:lineRule="atLeast"/>
        <w:jc w:val="both"/>
        <w:rPr>
          <w:rFonts w:cstheme="minorHAnsi"/>
          <w:iCs/>
        </w:rPr>
      </w:pPr>
      <w:r w:rsidRPr="00297C22">
        <w:rPr>
          <w:rFonts w:cstheme="minorHAnsi"/>
          <w:b/>
          <w:bCs/>
        </w:rPr>
        <w:t xml:space="preserve">DGR   del 29 luglio 2019, n. 909, </w:t>
      </w:r>
      <w:r w:rsidRPr="00297C22">
        <w:rPr>
          <w:rFonts w:cstheme="minorHAnsi"/>
          <w:iCs/>
        </w:rPr>
        <w:t>Legge nazionale 662/96, art.1 comma 34 e</w:t>
      </w:r>
      <w:r>
        <w:rPr>
          <w:rFonts w:cstheme="minorHAnsi"/>
          <w:iCs/>
        </w:rPr>
        <w:t xml:space="preserve"> </w:t>
      </w:r>
      <w:r w:rsidRPr="00297C22">
        <w:rPr>
          <w:rFonts w:cstheme="minorHAnsi"/>
          <w:iCs/>
        </w:rPr>
        <w:t>34bis - Approvazione dei progetti della Regione Marche per il perseguimento degli Obiettivi di carattere prioritario e di rilievo nazionale per l’anno 2019, individuati nell’Accordo del 6 giugno 2019 tra il Governo, le Regioni e le Province autonome di Trento e Bolzano (Rep. Atti n.91/CSR). (BUR n. 66 del 9.8.19)</w:t>
      </w:r>
    </w:p>
    <w:p w:rsidR="008B746C" w:rsidRDefault="008B746C" w:rsidP="008B746C">
      <w:pPr>
        <w:autoSpaceDE w:val="0"/>
        <w:autoSpaceDN w:val="0"/>
        <w:adjustRightInd w:val="0"/>
        <w:spacing w:after="0" w:line="20" w:lineRule="atLeast"/>
        <w:jc w:val="both"/>
        <w:rPr>
          <w:rFonts w:cstheme="minorHAnsi"/>
          <w:iCs/>
        </w:rPr>
      </w:pPr>
    </w:p>
    <w:p w:rsidR="008B746C" w:rsidRDefault="008B746C" w:rsidP="008B746C">
      <w:pPr>
        <w:spacing w:after="0" w:line="20" w:lineRule="atLeast"/>
        <w:jc w:val="center"/>
        <w:rPr>
          <w:rFonts w:ascii="Broadway" w:hAnsi="Broadway" w:cstheme="majorHAnsi"/>
          <w:b/>
          <w:sz w:val="40"/>
          <w:szCs w:val="40"/>
        </w:rPr>
      </w:pPr>
      <w:r>
        <w:rPr>
          <w:rFonts w:ascii="Broadway" w:hAnsi="Broadway" w:cstheme="majorHAnsi"/>
          <w:b/>
          <w:sz w:val="40"/>
          <w:szCs w:val="40"/>
        </w:rPr>
        <w:t xml:space="preserve">PIEMONTE </w:t>
      </w:r>
    </w:p>
    <w:p w:rsidR="008B746C" w:rsidRDefault="008B746C" w:rsidP="008B746C">
      <w:pPr>
        <w:autoSpaceDE w:val="0"/>
        <w:autoSpaceDN w:val="0"/>
        <w:adjustRightInd w:val="0"/>
        <w:spacing w:after="0" w:line="20" w:lineRule="atLeast"/>
        <w:jc w:val="both"/>
        <w:rPr>
          <w:rFonts w:cstheme="minorHAnsi"/>
          <w:iCs/>
        </w:rPr>
      </w:pPr>
    </w:p>
    <w:p w:rsidR="008B746C" w:rsidRPr="00C02130"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40" w:lineRule="auto"/>
        <w:jc w:val="center"/>
        <w:rPr>
          <w:rFonts w:cstheme="minorHAnsi"/>
          <w:b/>
          <w:color w:val="000000"/>
        </w:rPr>
      </w:pPr>
      <w:r w:rsidRPr="00C02130">
        <w:rPr>
          <w:rFonts w:cstheme="minorHAnsi"/>
          <w:b/>
          <w:color w:val="000000"/>
        </w:rPr>
        <w:t>FAMIGLIA</w:t>
      </w:r>
    </w:p>
    <w:p w:rsidR="008B746C" w:rsidRDefault="008B746C" w:rsidP="008B746C">
      <w:pPr>
        <w:autoSpaceDE w:val="0"/>
        <w:autoSpaceDN w:val="0"/>
        <w:adjustRightInd w:val="0"/>
        <w:spacing w:after="0" w:line="240" w:lineRule="auto"/>
        <w:rPr>
          <w:rFonts w:ascii="Times New Roman" w:hAnsi="Times New Roman" w:cs="Times New Roman"/>
          <w:b/>
          <w:color w:val="000000"/>
          <w:sz w:val="24"/>
          <w:szCs w:val="24"/>
        </w:rPr>
      </w:pPr>
    </w:p>
    <w:p w:rsidR="008B746C" w:rsidRDefault="008B746C" w:rsidP="008B746C">
      <w:pPr>
        <w:autoSpaceDE w:val="0"/>
        <w:autoSpaceDN w:val="0"/>
        <w:adjustRightInd w:val="0"/>
        <w:spacing w:after="0" w:line="20" w:lineRule="atLeast"/>
        <w:jc w:val="both"/>
        <w:rPr>
          <w:rFonts w:cstheme="minorHAnsi"/>
          <w:bCs/>
          <w:color w:val="000000"/>
        </w:rPr>
      </w:pPr>
      <w:r w:rsidRPr="00C02130">
        <w:rPr>
          <w:rFonts w:cstheme="minorHAnsi"/>
          <w:b/>
          <w:color w:val="000000"/>
        </w:rPr>
        <w:t>DGR 26 luglio 2019, n. 6-116</w:t>
      </w:r>
      <w:r w:rsidRPr="00C02130">
        <w:rPr>
          <w:rFonts w:cstheme="minorHAnsi"/>
          <w:color w:val="000000"/>
        </w:rPr>
        <w:t xml:space="preserve">, </w:t>
      </w:r>
      <w:r w:rsidRPr="00C02130">
        <w:rPr>
          <w:rFonts w:cstheme="minorHAnsi"/>
          <w:bCs/>
          <w:color w:val="000000"/>
        </w:rPr>
        <w:t xml:space="preserve">Art. 1, comma 1251 della L. 296/2006. Approvazione scheda attuativa in materia di politiche per la Famiglia - Anno 2019. Spesa totale di </w:t>
      </w:r>
      <w:proofErr w:type="gramStart"/>
      <w:r w:rsidRPr="00C02130">
        <w:rPr>
          <w:rFonts w:cstheme="minorHAnsi"/>
          <w:bCs/>
          <w:color w:val="000000"/>
        </w:rPr>
        <w:t>Euro  .</w:t>
      </w:r>
      <w:proofErr w:type="gramEnd"/>
      <w:r w:rsidRPr="00C02130">
        <w:rPr>
          <w:rFonts w:cstheme="minorHAnsi"/>
          <w:bCs/>
          <w:color w:val="000000"/>
        </w:rPr>
        <w:t xml:space="preserve">292.400,00 di cui finanziamento statale </w:t>
      </w:r>
      <w:r w:rsidRPr="00C02130">
        <w:rPr>
          <w:rFonts w:cstheme="minorHAnsi"/>
          <w:bCs/>
          <w:color w:val="000000"/>
        </w:rPr>
        <w:lastRenderedPageBreak/>
        <w:t>Euro 1.077.000,00 e finanziamento regionale Euro 215.400,00 (cap. vari del bilancio 2019 e 2020). (</w:t>
      </w:r>
      <w:proofErr w:type="gramStart"/>
      <w:r w:rsidRPr="00C02130">
        <w:rPr>
          <w:rFonts w:cstheme="minorHAnsi"/>
          <w:bCs/>
          <w:color w:val="000000"/>
        </w:rPr>
        <w:t xml:space="preserve">BUR </w:t>
      </w:r>
      <w:r>
        <w:rPr>
          <w:rFonts w:cstheme="minorHAnsi"/>
          <w:bCs/>
          <w:color w:val="000000"/>
        </w:rPr>
        <w:t xml:space="preserve"> n.</w:t>
      </w:r>
      <w:proofErr w:type="gramEnd"/>
      <w:r>
        <w:rPr>
          <w:rFonts w:cstheme="minorHAnsi"/>
          <w:bCs/>
          <w:color w:val="000000"/>
        </w:rPr>
        <w:t xml:space="preserve"> </w:t>
      </w:r>
      <w:r w:rsidRPr="00C02130">
        <w:rPr>
          <w:rFonts w:cstheme="minorHAnsi"/>
          <w:bCs/>
          <w:color w:val="000000"/>
        </w:rPr>
        <w:t>33 del 14.8.19)</w:t>
      </w:r>
    </w:p>
    <w:p w:rsidR="008B746C" w:rsidRDefault="008B746C" w:rsidP="008B746C">
      <w:pPr>
        <w:autoSpaceDE w:val="0"/>
        <w:autoSpaceDN w:val="0"/>
        <w:adjustRightInd w:val="0"/>
        <w:spacing w:after="0" w:line="20" w:lineRule="atLeast"/>
        <w:jc w:val="both"/>
        <w:rPr>
          <w:rFonts w:cstheme="minorHAnsi"/>
          <w:bCs/>
          <w:color w:val="000000"/>
        </w:rPr>
      </w:pPr>
    </w:p>
    <w:p w:rsidR="008B746C" w:rsidRPr="00A97A19"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40" w:lineRule="auto"/>
        <w:jc w:val="center"/>
        <w:rPr>
          <w:rFonts w:cstheme="minorHAnsi"/>
          <w:b/>
        </w:rPr>
      </w:pPr>
      <w:r w:rsidRPr="00A97A19">
        <w:rPr>
          <w:rFonts w:cstheme="minorHAnsi"/>
          <w:b/>
        </w:rPr>
        <w:t>IMMIGRATI</w:t>
      </w:r>
    </w:p>
    <w:p w:rsidR="008B746C" w:rsidRDefault="008B746C" w:rsidP="008B746C">
      <w:pPr>
        <w:autoSpaceDE w:val="0"/>
        <w:autoSpaceDN w:val="0"/>
        <w:adjustRightInd w:val="0"/>
        <w:spacing w:after="0" w:line="240" w:lineRule="auto"/>
        <w:jc w:val="both"/>
        <w:rPr>
          <w:rFonts w:ascii="Times New Roman" w:hAnsi="Times New Roman" w:cs="Times New Roman"/>
          <w:b/>
          <w:sz w:val="24"/>
          <w:szCs w:val="24"/>
        </w:rPr>
      </w:pPr>
    </w:p>
    <w:p w:rsidR="008B746C" w:rsidRDefault="008B746C" w:rsidP="008B746C">
      <w:pPr>
        <w:spacing w:after="0" w:line="20" w:lineRule="atLeast"/>
        <w:jc w:val="both"/>
        <w:rPr>
          <w:rFonts w:cstheme="minorHAnsi"/>
        </w:rPr>
      </w:pPr>
      <w:r w:rsidRPr="00C7249D">
        <w:rPr>
          <w:rFonts w:cstheme="minorHAnsi"/>
          <w:b/>
        </w:rPr>
        <w:t>D.D. 18 giugno 2019, n. 840</w:t>
      </w:r>
      <w:r w:rsidRPr="006B0B81">
        <w:rPr>
          <w:rFonts w:cstheme="minorHAnsi"/>
        </w:rPr>
        <w:t xml:space="preserve"> Progetto “InterAzioni in Piemonte 2” (prog. 2364), finanziato a valere sul Fondo Asilo Migrazione Integrazione (FAMI) 2014/2020 CUP J69F18000640007. Approvazione dell’ampliamento del partenariato, dello schema di Convenzione con gli enti partner, dell’informativa e delle istruzioni ai sensi degli artt. 13 e 28 del RGPD e del riparto fondi tra gli enti partner di progetto. </w:t>
      </w:r>
      <w:r>
        <w:rPr>
          <w:rFonts w:cstheme="minorHAnsi"/>
        </w:rPr>
        <w:t xml:space="preserve">(BUR n. 32 </w:t>
      </w:r>
      <w:proofErr w:type="gramStart"/>
      <w:r>
        <w:rPr>
          <w:rFonts w:cstheme="minorHAnsi"/>
        </w:rPr>
        <w:t>dell’ 8.8.19</w:t>
      </w:r>
      <w:proofErr w:type="gramEnd"/>
      <w:r>
        <w:rPr>
          <w:rFonts w:cstheme="minorHAnsi"/>
        </w:rPr>
        <w:t>)</w:t>
      </w:r>
    </w:p>
    <w:p w:rsidR="008B746C" w:rsidRDefault="008B746C" w:rsidP="008B746C">
      <w:pPr>
        <w:autoSpaceDE w:val="0"/>
        <w:autoSpaceDN w:val="0"/>
        <w:adjustRightInd w:val="0"/>
        <w:spacing w:after="0" w:line="20" w:lineRule="atLeast"/>
        <w:jc w:val="both"/>
        <w:rPr>
          <w:rFonts w:cstheme="minorHAnsi"/>
          <w:b/>
        </w:rPr>
      </w:pPr>
    </w:p>
    <w:p w:rsidR="008B746C" w:rsidRDefault="008B746C" w:rsidP="008B746C">
      <w:pPr>
        <w:autoSpaceDE w:val="0"/>
        <w:autoSpaceDN w:val="0"/>
        <w:adjustRightInd w:val="0"/>
        <w:spacing w:after="0" w:line="20" w:lineRule="atLeast"/>
        <w:jc w:val="both"/>
        <w:rPr>
          <w:rFonts w:cstheme="minorHAnsi"/>
          <w:bCs/>
          <w:color w:val="000000"/>
        </w:rPr>
      </w:pPr>
      <w:r w:rsidRPr="00793621">
        <w:rPr>
          <w:rFonts w:cstheme="minorHAnsi"/>
          <w:b/>
        </w:rPr>
        <w:t>DGR   9 agosto 2019, n. 12-203</w:t>
      </w:r>
      <w:r w:rsidRPr="00C41928">
        <w:rPr>
          <w:rFonts w:ascii="Times New Roman" w:hAnsi="Times New Roman" w:cs="Times New Roman"/>
          <w:b/>
          <w:sz w:val="24"/>
          <w:szCs w:val="24"/>
        </w:rPr>
        <w:t>,</w:t>
      </w:r>
      <w:r>
        <w:rPr>
          <w:rFonts w:ascii="Times New Roman" w:hAnsi="Times New Roman" w:cs="Times New Roman"/>
          <w:sz w:val="24"/>
          <w:szCs w:val="24"/>
        </w:rPr>
        <w:t xml:space="preserve"> </w:t>
      </w:r>
      <w:r w:rsidRPr="00C41928">
        <w:rPr>
          <w:rFonts w:ascii="Times New Roman" w:hAnsi="Times New Roman" w:cs="Times New Roman"/>
          <w:bCs/>
          <w:sz w:val="24"/>
          <w:szCs w:val="24"/>
        </w:rPr>
        <w:t xml:space="preserve">D.lgs. 286/98 e Reg. UE 516/2014. Approvazione schema di </w:t>
      </w:r>
      <w:r>
        <w:rPr>
          <w:rFonts w:ascii="Times New Roman" w:hAnsi="Times New Roman" w:cs="Times New Roman"/>
          <w:bCs/>
          <w:sz w:val="24"/>
          <w:szCs w:val="24"/>
        </w:rPr>
        <w:t>A</w:t>
      </w:r>
      <w:r w:rsidRPr="00C41928">
        <w:rPr>
          <w:rFonts w:ascii="Times New Roman" w:hAnsi="Times New Roman" w:cs="Times New Roman"/>
          <w:bCs/>
          <w:sz w:val="24"/>
          <w:szCs w:val="24"/>
        </w:rPr>
        <w:t>ccordo di collaborazione tra la Regione Piemonte e le Prefetture piemontesi per le attivit</w:t>
      </w:r>
      <w:r>
        <w:rPr>
          <w:rFonts w:ascii="Times New Roman" w:hAnsi="Times New Roman" w:cs="Times New Roman"/>
          <w:bCs/>
          <w:sz w:val="24"/>
          <w:szCs w:val="24"/>
        </w:rPr>
        <w:t>à</w:t>
      </w:r>
      <w:r w:rsidRPr="00C41928">
        <w:rPr>
          <w:rFonts w:ascii="Times New Roman" w:hAnsi="Times New Roman" w:cs="Times New Roman"/>
          <w:bCs/>
          <w:sz w:val="24"/>
          <w:szCs w:val="24"/>
        </w:rPr>
        <w:t xml:space="preserve"> di raccordo istituzionale nell'ambito delle iniziative volte a favorire il Rimpatrio Volontario Assistito (RVA) dei migranti nel territorio piemontese</w:t>
      </w:r>
      <w:proofErr w:type="gramStart"/>
      <w:r w:rsidRPr="00C41928">
        <w:rPr>
          <w:rFonts w:ascii="Times New Roman" w:hAnsi="Times New Roman" w:cs="Times New Roman"/>
          <w:bCs/>
          <w:sz w:val="24"/>
          <w:szCs w:val="24"/>
        </w:rPr>
        <w:t>.</w:t>
      </w:r>
      <w:r>
        <w:rPr>
          <w:rFonts w:ascii="Times New Roman" w:hAnsi="Times New Roman" w:cs="Times New Roman"/>
          <w:bCs/>
          <w:sz w:val="24"/>
          <w:szCs w:val="24"/>
        </w:rPr>
        <w:t xml:space="preserve"> </w:t>
      </w:r>
      <w:r w:rsidRPr="00C02130">
        <w:rPr>
          <w:rFonts w:cstheme="minorHAnsi"/>
          <w:bCs/>
          <w:color w:val="000000"/>
        </w:rPr>
        <w:t>)</w:t>
      </w:r>
      <w:proofErr w:type="gramEnd"/>
      <w:r w:rsidRPr="00C02130">
        <w:rPr>
          <w:rFonts w:cstheme="minorHAnsi"/>
          <w:bCs/>
          <w:color w:val="000000"/>
        </w:rPr>
        <w:t>. (</w:t>
      </w:r>
      <w:proofErr w:type="gramStart"/>
      <w:r w:rsidRPr="00C02130">
        <w:rPr>
          <w:rFonts w:cstheme="minorHAnsi"/>
          <w:bCs/>
          <w:color w:val="000000"/>
        </w:rPr>
        <w:t xml:space="preserve">BUR </w:t>
      </w:r>
      <w:r>
        <w:rPr>
          <w:rFonts w:cstheme="minorHAnsi"/>
          <w:bCs/>
          <w:color w:val="000000"/>
        </w:rPr>
        <w:t xml:space="preserve"> n.</w:t>
      </w:r>
      <w:proofErr w:type="gramEnd"/>
      <w:r>
        <w:rPr>
          <w:rFonts w:cstheme="minorHAnsi"/>
          <w:bCs/>
          <w:color w:val="000000"/>
        </w:rPr>
        <w:t xml:space="preserve"> </w:t>
      </w:r>
      <w:r w:rsidRPr="00C02130">
        <w:rPr>
          <w:rFonts w:cstheme="minorHAnsi"/>
          <w:bCs/>
          <w:color w:val="000000"/>
        </w:rPr>
        <w:t>33 del 14.8.19)</w:t>
      </w:r>
    </w:p>
    <w:p w:rsidR="008B746C" w:rsidRDefault="008B746C" w:rsidP="008B746C">
      <w:pPr>
        <w:autoSpaceDE w:val="0"/>
        <w:autoSpaceDN w:val="0"/>
        <w:adjustRightInd w:val="0"/>
        <w:spacing w:after="0" w:line="20" w:lineRule="atLeast"/>
        <w:jc w:val="both"/>
        <w:rPr>
          <w:rFonts w:cstheme="minorHAnsi"/>
          <w:bCs/>
          <w:color w:val="000000"/>
        </w:rPr>
      </w:pPr>
    </w:p>
    <w:p w:rsidR="008B746C" w:rsidRPr="0052370F"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bCs/>
          <w:color w:val="000000"/>
        </w:rPr>
      </w:pPr>
      <w:r w:rsidRPr="0052370F">
        <w:rPr>
          <w:rFonts w:cstheme="minorHAnsi"/>
          <w:b/>
          <w:bCs/>
          <w:color w:val="000000"/>
        </w:rPr>
        <w:t>MINORI</w:t>
      </w:r>
    </w:p>
    <w:p w:rsidR="008B746C" w:rsidRDefault="008B746C" w:rsidP="008B746C">
      <w:pPr>
        <w:autoSpaceDE w:val="0"/>
        <w:autoSpaceDN w:val="0"/>
        <w:adjustRightInd w:val="0"/>
        <w:spacing w:after="0" w:line="20" w:lineRule="atLeast"/>
        <w:jc w:val="both"/>
        <w:rPr>
          <w:rFonts w:cstheme="minorHAnsi"/>
          <w:bCs/>
          <w:color w:val="000000"/>
        </w:rPr>
      </w:pPr>
    </w:p>
    <w:p w:rsidR="008B746C" w:rsidRDefault="008B746C" w:rsidP="008B746C">
      <w:pPr>
        <w:spacing w:after="0" w:line="20" w:lineRule="atLeast"/>
        <w:jc w:val="both"/>
        <w:rPr>
          <w:rFonts w:cstheme="minorHAnsi"/>
        </w:rPr>
      </w:pPr>
      <w:r w:rsidRPr="00C7249D">
        <w:rPr>
          <w:rFonts w:cstheme="minorHAnsi"/>
          <w:b/>
        </w:rPr>
        <w:t>D.D. 2 agosto 2019, n. 1115</w:t>
      </w:r>
      <w:r w:rsidRPr="006B0B81">
        <w:rPr>
          <w:rFonts w:cstheme="minorHAnsi"/>
        </w:rPr>
        <w:t xml:space="preserve"> Indizione procedura di selezione pubblica per titoli finalizzata al conferimento di un incarico professionale di psicologo/a per l'ulteriore implementazione, diffusione e disseminazione del progetto "Da bambino a bambino: l'esperienza dell'adozione raccontata dai coetanei che l'hanno vissuta". </w:t>
      </w:r>
      <w:r>
        <w:rPr>
          <w:rFonts w:cstheme="minorHAnsi"/>
        </w:rPr>
        <w:t xml:space="preserve">(BUR n. 32 </w:t>
      </w:r>
      <w:proofErr w:type="gramStart"/>
      <w:r>
        <w:rPr>
          <w:rFonts w:cstheme="minorHAnsi"/>
        </w:rPr>
        <w:t>dell’ 8.8.19</w:t>
      </w:r>
      <w:proofErr w:type="gramEnd"/>
      <w:r>
        <w:rPr>
          <w:rFonts w:cstheme="minorHAnsi"/>
        </w:rPr>
        <w:t>)</w:t>
      </w:r>
    </w:p>
    <w:p w:rsidR="008B746C" w:rsidRDefault="008B746C" w:rsidP="008B746C">
      <w:pPr>
        <w:spacing w:after="0" w:line="20" w:lineRule="atLeast"/>
        <w:jc w:val="both"/>
        <w:rPr>
          <w:rFonts w:cstheme="minorHAnsi"/>
        </w:rPr>
      </w:pPr>
    </w:p>
    <w:p w:rsidR="008B746C" w:rsidRPr="003648B2"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3648B2">
        <w:rPr>
          <w:rFonts w:cstheme="minorHAnsi"/>
          <w:b/>
        </w:rPr>
        <w:t>PERSONE CON DISABILITÀ</w:t>
      </w:r>
    </w:p>
    <w:p w:rsidR="008B746C" w:rsidRDefault="008B746C" w:rsidP="008B746C">
      <w:pPr>
        <w:spacing w:after="0" w:line="20" w:lineRule="atLeast"/>
        <w:jc w:val="both"/>
        <w:rPr>
          <w:rFonts w:cstheme="minorHAnsi"/>
        </w:rPr>
      </w:pPr>
    </w:p>
    <w:p w:rsidR="008B746C" w:rsidRPr="003648B2" w:rsidRDefault="008B746C" w:rsidP="008B746C">
      <w:pPr>
        <w:tabs>
          <w:tab w:val="left" w:pos="3420"/>
        </w:tabs>
        <w:spacing w:after="0" w:line="20" w:lineRule="atLeast"/>
        <w:jc w:val="both"/>
      </w:pPr>
      <w:r w:rsidRPr="003648B2">
        <w:rPr>
          <w:b/>
        </w:rPr>
        <w:t>DGR 2 agosto 2019, n. 4-</w:t>
      </w:r>
      <w:proofErr w:type="gramStart"/>
      <w:r w:rsidRPr="003648B2">
        <w:rPr>
          <w:b/>
        </w:rPr>
        <w:t>148</w:t>
      </w:r>
      <w:r w:rsidRPr="003648B2">
        <w:t>,  Legge</w:t>
      </w:r>
      <w:proofErr w:type="gramEnd"/>
      <w:r w:rsidRPr="003648B2">
        <w:t xml:space="preserve"> 22 giugno 2016, n. 112. Fondo per l'assistenza alle persone con disabilit</w:t>
      </w:r>
      <w:r>
        <w:t>à</w:t>
      </w:r>
      <w:r w:rsidRPr="003648B2">
        <w:t xml:space="preserve"> grave prive del sostegno familiare. Approvazione Programma attuativo anno 2018 e criteri di riparto delle risorse ministeriali agli Enti gestori delle funzioni socio-assistenziali. </w:t>
      </w:r>
      <w:r>
        <w:t>(BUR n. 34 del 22.8.19)</w:t>
      </w:r>
    </w:p>
    <w:p w:rsidR="008B746C" w:rsidRDefault="008B746C" w:rsidP="008B746C">
      <w:pPr>
        <w:spacing w:after="0" w:line="20" w:lineRule="atLeast"/>
        <w:jc w:val="both"/>
        <w:rPr>
          <w:rFonts w:cstheme="minorHAnsi"/>
        </w:rPr>
      </w:pPr>
    </w:p>
    <w:p w:rsidR="008B746C" w:rsidRDefault="008B746C" w:rsidP="008B746C">
      <w:pPr>
        <w:spacing w:after="0" w:line="20" w:lineRule="atLeast"/>
        <w:jc w:val="both"/>
      </w:pPr>
      <w:r w:rsidRPr="00E27F3D">
        <w:rPr>
          <w:b/>
        </w:rPr>
        <w:t xml:space="preserve">D.D. 23 luglio 2019, n. </w:t>
      </w:r>
      <w:proofErr w:type="gramStart"/>
      <w:r w:rsidRPr="00E27F3D">
        <w:rPr>
          <w:b/>
        </w:rPr>
        <w:t>573 ,</w:t>
      </w:r>
      <w:proofErr w:type="gramEnd"/>
      <w:r>
        <w:t xml:space="preserve"> D.G.R. n. 31-8596 del </w:t>
      </w:r>
      <w:r w:rsidRPr="00E27F3D">
        <w:rPr>
          <w:b/>
        </w:rPr>
        <w:t>2</w:t>
      </w:r>
      <w:r>
        <w:t>2/03/2019 - Strutture socio sanitarie residenziali e diurne per disabili. Aggiornamento fabbisogno regionale.  (BUR n. 35 del 29.8.19)</w:t>
      </w:r>
    </w:p>
    <w:p w:rsidR="008B746C" w:rsidRDefault="008B746C" w:rsidP="008B746C">
      <w:pPr>
        <w:spacing w:after="0" w:line="20" w:lineRule="atLeast"/>
        <w:jc w:val="both"/>
        <w:rPr>
          <w:rFonts w:cstheme="minorHAnsi"/>
        </w:rPr>
      </w:pPr>
    </w:p>
    <w:p w:rsidR="008B746C" w:rsidRPr="009047D9"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9047D9">
        <w:rPr>
          <w:rFonts w:cstheme="minorHAnsi"/>
          <w:b/>
        </w:rPr>
        <w:t>TUTELA DEI DIRITTI</w:t>
      </w:r>
    </w:p>
    <w:p w:rsidR="008B746C" w:rsidRDefault="008B746C" w:rsidP="008B746C">
      <w:pPr>
        <w:spacing w:after="0" w:line="20" w:lineRule="atLeast"/>
        <w:jc w:val="both"/>
        <w:rPr>
          <w:rFonts w:cstheme="minorHAnsi"/>
        </w:rPr>
      </w:pPr>
    </w:p>
    <w:p w:rsidR="008B746C" w:rsidRDefault="008B746C" w:rsidP="008B746C">
      <w:pPr>
        <w:spacing w:after="0" w:line="20" w:lineRule="atLeast"/>
        <w:jc w:val="both"/>
        <w:rPr>
          <w:rFonts w:cstheme="minorHAnsi"/>
        </w:rPr>
      </w:pPr>
      <w:r w:rsidRPr="006B0B81">
        <w:rPr>
          <w:rFonts w:cstheme="minorHAnsi"/>
        </w:rPr>
        <w:t xml:space="preserve"> </w:t>
      </w:r>
      <w:r w:rsidRPr="009047D9">
        <w:rPr>
          <w:rFonts w:cstheme="minorHAnsi"/>
          <w:b/>
        </w:rPr>
        <w:t>D.D. 12 giugno 2019, n. 827</w:t>
      </w:r>
      <w:r w:rsidRPr="006B0B81">
        <w:rPr>
          <w:rFonts w:cstheme="minorHAnsi"/>
        </w:rPr>
        <w:t xml:space="preserve"> LR n. 5/2018, art. 11 Azioni positive. Programma di iniziative contro l'omofobia e la transfobia. Assegnazione Contributo al Coordinamento Torino Pride GLBT di euro 25.000,00</w:t>
      </w:r>
      <w:r>
        <w:rPr>
          <w:rFonts w:cstheme="minorHAnsi"/>
        </w:rPr>
        <w:t>.  (BUR n. 32 dell’8.8.19)</w:t>
      </w:r>
    </w:p>
    <w:p w:rsidR="008B746C" w:rsidRDefault="008B746C" w:rsidP="008B746C">
      <w:pPr>
        <w:spacing w:after="0" w:line="20" w:lineRule="atLeast"/>
        <w:jc w:val="both"/>
        <w:rPr>
          <w:rFonts w:cstheme="minorHAnsi"/>
        </w:rPr>
      </w:pPr>
    </w:p>
    <w:p w:rsidR="008B746C" w:rsidRDefault="008B746C" w:rsidP="008B746C">
      <w:pPr>
        <w:spacing w:after="0" w:line="20" w:lineRule="atLeast"/>
        <w:jc w:val="both"/>
        <w:rPr>
          <w:rFonts w:cstheme="minorHAnsi"/>
        </w:rPr>
      </w:pPr>
      <w:r w:rsidRPr="009047D9">
        <w:rPr>
          <w:rFonts w:cstheme="minorHAnsi"/>
          <w:b/>
        </w:rPr>
        <w:t>D.D. 14 giugno 2019, n. 831</w:t>
      </w:r>
      <w:r w:rsidRPr="006B0B81">
        <w:rPr>
          <w:rFonts w:cstheme="minorHAnsi"/>
        </w:rPr>
        <w:t xml:space="preserve"> L.R. n. 4/2016, Art. 22, e D.G.R. n. 26-4393 del 19 dicembre 2016. Impegno di spesa di euro 79.250,00 a favore di Finpiemonte S.p.A. per la gestione del "Fondo di solidarieta' per il patrocinio legale alle donne vittime di violenza e maltrattamenti". </w:t>
      </w:r>
      <w:r>
        <w:rPr>
          <w:rFonts w:cstheme="minorHAnsi"/>
        </w:rPr>
        <w:t>(BUR n. 32 dell’8.8.19)</w:t>
      </w:r>
    </w:p>
    <w:p w:rsidR="008B746C" w:rsidRDefault="008B746C" w:rsidP="008B746C">
      <w:pPr>
        <w:autoSpaceDE w:val="0"/>
        <w:autoSpaceDN w:val="0"/>
        <w:adjustRightInd w:val="0"/>
        <w:spacing w:after="0" w:line="20" w:lineRule="atLeast"/>
        <w:jc w:val="both"/>
        <w:rPr>
          <w:rFonts w:cstheme="minorHAnsi"/>
          <w:bCs/>
          <w:color w:val="000000"/>
        </w:rPr>
      </w:pPr>
    </w:p>
    <w:p w:rsidR="008B746C" w:rsidRDefault="008B746C" w:rsidP="008B746C">
      <w:pPr>
        <w:spacing w:after="0" w:line="20" w:lineRule="atLeast"/>
        <w:jc w:val="center"/>
        <w:rPr>
          <w:rFonts w:ascii="Broadway" w:hAnsi="Broadway" w:cstheme="majorHAnsi"/>
          <w:b/>
          <w:sz w:val="40"/>
          <w:szCs w:val="40"/>
        </w:rPr>
      </w:pPr>
      <w:r>
        <w:rPr>
          <w:rFonts w:ascii="Broadway" w:hAnsi="Broadway" w:cstheme="majorHAnsi"/>
          <w:b/>
          <w:sz w:val="40"/>
          <w:szCs w:val="40"/>
        </w:rPr>
        <w:t xml:space="preserve">PUGLIA  </w:t>
      </w:r>
    </w:p>
    <w:p w:rsidR="008B746C" w:rsidRPr="00025F31" w:rsidRDefault="008B746C" w:rsidP="008B746C">
      <w:pPr>
        <w:pBdr>
          <w:bottom w:val="single" w:sz="12" w:space="1" w:color="auto"/>
        </w:pBdr>
        <w:autoSpaceDE w:val="0"/>
        <w:autoSpaceDN w:val="0"/>
        <w:adjustRightInd w:val="0"/>
        <w:spacing w:after="0" w:line="240" w:lineRule="auto"/>
        <w:jc w:val="both"/>
        <w:rPr>
          <w:rFonts w:cstheme="minorHAnsi"/>
        </w:rPr>
      </w:pPr>
    </w:p>
    <w:p w:rsidR="008B746C"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rPr>
      </w:pPr>
      <w:r>
        <w:rPr>
          <w:rFonts w:cstheme="minorHAnsi"/>
        </w:rPr>
        <w:t>AMMINISTRAZIONE REGIONALE</w:t>
      </w:r>
    </w:p>
    <w:p w:rsidR="008B746C" w:rsidRDefault="008B746C" w:rsidP="008B746C">
      <w:pPr>
        <w:spacing w:after="0" w:line="20" w:lineRule="atLeast"/>
        <w:jc w:val="both"/>
        <w:rPr>
          <w:rFonts w:cstheme="minorHAnsi"/>
        </w:rPr>
      </w:pPr>
    </w:p>
    <w:p w:rsidR="008B746C" w:rsidRDefault="008B746C" w:rsidP="008B746C">
      <w:pPr>
        <w:autoSpaceDE w:val="0"/>
        <w:autoSpaceDN w:val="0"/>
        <w:adjustRightInd w:val="0"/>
        <w:spacing w:after="0" w:line="20" w:lineRule="atLeast"/>
        <w:jc w:val="both"/>
        <w:rPr>
          <w:rFonts w:cstheme="minorHAnsi"/>
          <w:bCs/>
          <w:color w:val="000000"/>
        </w:rPr>
      </w:pPr>
      <w:r w:rsidRPr="00C8559D">
        <w:rPr>
          <w:rFonts w:ascii="Corbel" w:hAnsi="Corbel"/>
          <w:b/>
        </w:rPr>
        <w:t xml:space="preserve"> </w:t>
      </w:r>
      <w:r w:rsidRPr="00C8559D">
        <w:rPr>
          <w:rFonts w:ascii="Corbel" w:hAnsi="Corbel" w:cs="Calibri"/>
          <w:b/>
          <w:color w:val="000000"/>
        </w:rPr>
        <w:t>DGR 8 luglio 2019, n. 1273</w:t>
      </w:r>
      <w:r w:rsidRPr="00C8559D">
        <w:rPr>
          <w:rFonts w:ascii="Corbel" w:hAnsi="Corbel" w:cs="Calibri"/>
          <w:color w:val="000000"/>
        </w:rPr>
        <w:t xml:space="preserve">, </w:t>
      </w:r>
      <w:r w:rsidRPr="00C8559D">
        <w:rPr>
          <w:rFonts w:ascii="Corbel" w:hAnsi="Corbel" w:cs="Calibri"/>
          <w:bCs/>
          <w:color w:val="000000"/>
        </w:rPr>
        <w:t>Azioni di sistema a supporto dell’attuazione della riforma del welfare locale. Approvazione Convenzione Regione Puglia - LUM Jean Monnet - School of Management per svolgimento di tirocini formativi nell’ambito del Master in Executive Assistant (MEXAS).</w:t>
      </w:r>
      <w:r w:rsidRPr="00C8559D">
        <w:rPr>
          <w:rFonts w:ascii="Corbel" w:hAnsi="Corbel" w:cs="Calibri"/>
          <w:b/>
          <w:bCs/>
          <w:color w:val="000000"/>
        </w:rPr>
        <w:t xml:space="preserve"> </w:t>
      </w:r>
      <w:r w:rsidRPr="00C8559D">
        <w:rPr>
          <w:rFonts w:cstheme="minorHAnsi"/>
          <w:bCs/>
          <w:color w:val="000000"/>
        </w:rPr>
        <w:t xml:space="preserve">(BUR n. 92 del 1.8.19) </w:t>
      </w:r>
    </w:p>
    <w:p w:rsidR="008B746C" w:rsidRDefault="008B746C" w:rsidP="008B746C">
      <w:pPr>
        <w:autoSpaceDE w:val="0"/>
        <w:autoSpaceDN w:val="0"/>
        <w:adjustRightInd w:val="0"/>
        <w:spacing w:after="0" w:line="20" w:lineRule="atLeast"/>
        <w:jc w:val="both"/>
        <w:rPr>
          <w:rFonts w:cstheme="minorHAnsi"/>
          <w:bCs/>
          <w:color w:val="000000"/>
        </w:rPr>
      </w:pPr>
    </w:p>
    <w:p w:rsidR="008B746C" w:rsidRPr="00E27F3D"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ascii="Corbel" w:hAnsi="Corbel" w:cs="Calibri"/>
          <w:b/>
          <w:color w:val="000000"/>
        </w:rPr>
      </w:pPr>
      <w:r w:rsidRPr="00E27F3D">
        <w:rPr>
          <w:rFonts w:ascii="Corbel" w:hAnsi="Corbel" w:cs="Calibri"/>
          <w:b/>
          <w:color w:val="000000"/>
        </w:rPr>
        <w:t>PERSONE CON DISABILITÀ</w:t>
      </w:r>
    </w:p>
    <w:p w:rsidR="008B746C" w:rsidRDefault="008B746C" w:rsidP="008B746C">
      <w:pPr>
        <w:autoSpaceDE w:val="0"/>
        <w:autoSpaceDN w:val="0"/>
        <w:adjustRightInd w:val="0"/>
        <w:spacing w:after="0" w:line="20" w:lineRule="atLeast"/>
        <w:jc w:val="both"/>
        <w:rPr>
          <w:rFonts w:ascii="Corbel" w:hAnsi="Corbel" w:cs="Calibri"/>
          <w:color w:val="000000"/>
        </w:rPr>
      </w:pPr>
    </w:p>
    <w:p w:rsidR="008B746C" w:rsidRDefault="008B746C" w:rsidP="008B746C">
      <w:pPr>
        <w:autoSpaceDE w:val="0"/>
        <w:autoSpaceDN w:val="0"/>
        <w:adjustRightInd w:val="0"/>
        <w:spacing w:after="0" w:line="20" w:lineRule="atLeast"/>
        <w:jc w:val="both"/>
      </w:pPr>
      <w:r w:rsidRPr="00E27F3D">
        <w:rPr>
          <w:b/>
        </w:rPr>
        <w:t xml:space="preserve">DGR 30 luglio 2019, n. </w:t>
      </w:r>
      <w:proofErr w:type="gramStart"/>
      <w:r w:rsidRPr="00E27F3D">
        <w:rPr>
          <w:b/>
        </w:rPr>
        <w:t>1437</w:t>
      </w:r>
      <w:r>
        <w:t>,  Art.</w:t>
      </w:r>
      <w:proofErr w:type="gramEnd"/>
      <w:r>
        <w:t>2 comma 1 lett. e) della l.r. n. 9 del 27/05/2016. Approvazione del riparto del fondo 2019 tra le Province pugliesi e la Città Metropolitana di Bari per la gestione dei servizi di assistenza specialistica e per l’integrazione scolastica disabili per l’a.s. 2019-2020. Modifica assegnazione riparto disposto con Del. G.R. n. 898 del 15/05/2019. (BUR n.99 del 30.8.19)</w:t>
      </w:r>
    </w:p>
    <w:p w:rsidR="008B746C" w:rsidRDefault="008B746C" w:rsidP="008B746C">
      <w:pPr>
        <w:autoSpaceDE w:val="0"/>
        <w:autoSpaceDN w:val="0"/>
        <w:adjustRightInd w:val="0"/>
        <w:spacing w:after="0" w:line="20" w:lineRule="atLeast"/>
        <w:jc w:val="both"/>
      </w:pPr>
    </w:p>
    <w:p w:rsidR="008B746C" w:rsidRPr="00C30910"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color w:val="000000"/>
        </w:rPr>
      </w:pPr>
      <w:r w:rsidRPr="00C30910">
        <w:rPr>
          <w:rFonts w:cstheme="minorHAnsi"/>
          <w:b/>
          <w:bCs/>
          <w:color w:val="000000"/>
        </w:rPr>
        <w:t>POLITICHE SOCIALI</w:t>
      </w:r>
    </w:p>
    <w:p w:rsidR="008B746C" w:rsidRDefault="008B746C" w:rsidP="008B746C">
      <w:pPr>
        <w:pStyle w:val="CM5"/>
        <w:spacing w:line="20" w:lineRule="atLeast"/>
        <w:jc w:val="both"/>
        <w:rPr>
          <w:rFonts w:asciiTheme="minorHAnsi" w:hAnsiTheme="minorHAnsi" w:cstheme="minorHAnsi"/>
          <w:sz w:val="22"/>
          <w:szCs w:val="22"/>
        </w:rPr>
      </w:pPr>
    </w:p>
    <w:p w:rsidR="008B746C" w:rsidRDefault="008B746C" w:rsidP="008B746C">
      <w:pPr>
        <w:pStyle w:val="CM5"/>
        <w:spacing w:line="20" w:lineRule="atLeast"/>
        <w:jc w:val="both"/>
        <w:rPr>
          <w:rFonts w:asciiTheme="minorHAnsi" w:hAnsiTheme="minorHAnsi" w:cstheme="minorHAnsi"/>
          <w:bCs/>
          <w:color w:val="000000"/>
          <w:sz w:val="22"/>
          <w:szCs w:val="22"/>
        </w:rPr>
      </w:pPr>
      <w:r w:rsidRPr="00400FB9">
        <w:rPr>
          <w:rFonts w:asciiTheme="minorHAnsi" w:hAnsiTheme="minorHAnsi" w:cstheme="minorHAnsi"/>
          <w:sz w:val="22"/>
          <w:szCs w:val="22"/>
        </w:rPr>
        <w:t xml:space="preserve"> </w:t>
      </w:r>
      <w:r w:rsidRPr="00E27F3D">
        <w:rPr>
          <w:rFonts w:asciiTheme="minorHAnsi" w:hAnsiTheme="minorHAnsi" w:cstheme="minorHAnsi"/>
          <w:b/>
          <w:color w:val="000000"/>
          <w:sz w:val="22"/>
          <w:szCs w:val="22"/>
        </w:rPr>
        <w:t>DGR 16 luglio 2019, n. 1317</w:t>
      </w:r>
      <w:r>
        <w:rPr>
          <w:rFonts w:asciiTheme="minorHAnsi" w:hAnsiTheme="minorHAnsi" w:cstheme="minorHAnsi"/>
          <w:color w:val="000000"/>
          <w:sz w:val="22"/>
          <w:szCs w:val="22"/>
        </w:rPr>
        <w:t xml:space="preserve">, </w:t>
      </w:r>
      <w:r w:rsidRPr="00E27F3D">
        <w:rPr>
          <w:rFonts w:asciiTheme="minorHAnsi" w:hAnsiTheme="minorHAnsi" w:cstheme="minorHAnsi"/>
          <w:bCs/>
          <w:color w:val="000000"/>
          <w:sz w:val="22"/>
          <w:szCs w:val="22"/>
        </w:rPr>
        <w:t xml:space="preserve">Del. G.R. n. 478 del 14 marzo 2019. “FNPS 2018 - Assegnazione risorse agli Ambiti per la II annualità dei rispettivi Piani Sociali di Zona 2018-2020”. Approvazione Convenzione Regione - Puglia - ANCI Puglia per sviluppo attività di supporto ai Comuni nell’attuazione degli interventi sociali. </w:t>
      </w:r>
      <w:r>
        <w:rPr>
          <w:rFonts w:asciiTheme="minorHAnsi" w:hAnsiTheme="minorHAnsi" w:cstheme="minorHAnsi"/>
          <w:bCs/>
          <w:color w:val="000000"/>
          <w:sz w:val="22"/>
          <w:szCs w:val="22"/>
        </w:rPr>
        <w:t>BUR n. 94 del 20.8.19)</w:t>
      </w:r>
    </w:p>
    <w:p w:rsidR="008B746C" w:rsidRDefault="008B746C" w:rsidP="008B746C">
      <w:pPr>
        <w:autoSpaceDE w:val="0"/>
        <w:autoSpaceDN w:val="0"/>
        <w:adjustRightInd w:val="0"/>
        <w:spacing w:after="0" w:line="20" w:lineRule="atLeast"/>
        <w:jc w:val="both"/>
      </w:pPr>
    </w:p>
    <w:p w:rsidR="008B746C" w:rsidRPr="00E27F3D" w:rsidRDefault="008B746C" w:rsidP="008B746C">
      <w:pPr>
        <w:pStyle w:val="Default"/>
        <w:pBdr>
          <w:top w:val="single" w:sz="4" w:space="1" w:color="auto"/>
          <w:left w:val="single" w:sz="4" w:space="4" w:color="auto"/>
          <w:bottom w:val="single" w:sz="4" w:space="1" w:color="auto"/>
          <w:right w:val="single" w:sz="4" w:space="4" w:color="auto"/>
          <w:between w:val="single" w:sz="4" w:space="1" w:color="auto"/>
          <w:bar w:val="single" w:sz="4" w:color="auto"/>
        </w:pBdr>
        <w:spacing w:line="20" w:lineRule="atLeast"/>
        <w:jc w:val="center"/>
        <w:rPr>
          <w:rFonts w:asciiTheme="minorHAnsi" w:hAnsiTheme="minorHAnsi" w:cstheme="minorHAnsi"/>
          <w:b/>
          <w:sz w:val="22"/>
          <w:szCs w:val="22"/>
        </w:rPr>
      </w:pPr>
      <w:r w:rsidRPr="00E27F3D">
        <w:rPr>
          <w:rFonts w:asciiTheme="minorHAnsi" w:hAnsiTheme="minorHAnsi" w:cstheme="minorHAnsi"/>
          <w:b/>
          <w:sz w:val="22"/>
          <w:szCs w:val="22"/>
        </w:rPr>
        <w:t>POVERTÀ INCLUSIONE SOCIALE</w:t>
      </w:r>
    </w:p>
    <w:p w:rsidR="008B746C" w:rsidRPr="00400FB9" w:rsidRDefault="008B746C" w:rsidP="008B746C">
      <w:pPr>
        <w:pStyle w:val="Default"/>
        <w:spacing w:line="20" w:lineRule="atLeast"/>
        <w:jc w:val="both"/>
        <w:rPr>
          <w:rFonts w:asciiTheme="minorHAnsi" w:hAnsiTheme="minorHAnsi" w:cstheme="minorHAnsi"/>
          <w:sz w:val="22"/>
          <w:szCs w:val="22"/>
        </w:rPr>
      </w:pPr>
    </w:p>
    <w:p w:rsidR="008B746C" w:rsidRDefault="008B746C" w:rsidP="008B746C">
      <w:pPr>
        <w:autoSpaceDE w:val="0"/>
        <w:autoSpaceDN w:val="0"/>
        <w:adjustRightInd w:val="0"/>
        <w:spacing w:after="0" w:line="20" w:lineRule="atLeast"/>
        <w:jc w:val="both"/>
        <w:rPr>
          <w:rFonts w:cstheme="minorHAnsi"/>
          <w:bCs/>
          <w:color w:val="000000"/>
        </w:rPr>
      </w:pPr>
      <w:r w:rsidRPr="00DB75E8">
        <w:rPr>
          <w:rFonts w:cstheme="minorHAnsi"/>
          <w:b/>
          <w:color w:val="000000"/>
        </w:rPr>
        <w:t>DGR 8 luglio 2019, n. 1272</w:t>
      </w:r>
      <w:r w:rsidRPr="00C8559D">
        <w:rPr>
          <w:rFonts w:cstheme="minorHAnsi"/>
          <w:color w:val="000000"/>
        </w:rPr>
        <w:t xml:space="preserve">, </w:t>
      </w:r>
      <w:r w:rsidRPr="00DB75E8">
        <w:rPr>
          <w:rFonts w:cstheme="minorHAnsi"/>
          <w:bCs/>
          <w:color w:val="000000"/>
        </w:rPr>
        <w:t xml:space="preserve">L.R. n. 3/2016 e s.m.i. e Reg. R. n. 8/2016 e ss.mm.i. “Disciplina del Reddito di Dignità” L. n. 26/2019 “Disposizioni sul Reddito di Cittadinanza” Approvazione Protocollo di intesa tra Regione Puglia e Inps - Direzione Regionale, per la sperimentazione di punti unici di accesso per i beneficiari. </w:t>
      </w:r>
      <w:r w:rsidRPr="00C8559D">
        <w:rPr>
          <w:rFonts w:cstheme="minorHAnsi"/>
          <w:bCs/>
          <w:color w:val="000000"/>
        </w:rPr>
        <w:t xml:space="preserve">(BUR n. 92 del 1.8.19) </w:t>
      </w:r>
    </w:p>
    <w:p w:rsidR="008B746C" w:rsidRDefault="008B746C" w:rsidP="008B746C">
      <w:pPr>
        <w:pStyle w:val="Default"/>
        <w:rPr>
          <w:lang w:eastAsia="en-US"/>
        </w:rPr>
      </w:pPr>
    </w:p>
    <w:p w:rsidR="008B746C" w:rsidRPr="004C0097"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4C0097">
        <w:rPr>
          <w:rFonts w:cstheme="minorHAnsi"/>
          <w:b/>
        </w:rPr>
        <w:t>SANITÀ</w:t>
      </w:r>
    </w:p>
    <w:p w:rsidR="008B746C" w:rsidRDefault="008B746C" w:rsidP="008B746C">
      <w:pPr>
        <w:pStyle w:val="Default"/>
        <w:rPr>
          <w:lang w:eastAsia="en-US"/>
        </w:rPr>
      </w:pPr>
    </w:p>
    <w:p w:rsidR="008B746C" w:rsidRDefault="008B746C" w:rsidP="008B746C">
      <w:pPr>
        <w:spacing w:after="0" w:line="20" w:lineRule="atLeast"/>
        <w:jc w:val="both"/>
      </w:pPr>
      <w:r w:rsidRPr="004C0097">
        <w:rPr>
          <w:b/>
        </w:rPr>
        <w:t xml:space="preserve">DGR 23 luglio 2019, n. </w:t>
      </w:r>
      <w:proofErr w:type="gramStart"/>
      <w:r w:rsidRPr="004C0097">
        <w:rPr>
          <w:b/>
        </w:rPr>
        <w:t xml:space="preserve">1360, </w:t>
      </w:r>
      <w:r w:rsidRPr="004C0097">
        <w:t xml:space="preserve"> Protocollo</w:t>
      </w:r>
      <w:proofErr w:type="gramEnd"/>
      <w:r w:rsidRPr="004C0097">
        <w:t xml:space="preserve"> d’intesa per la tutela della disabilità dei pazienti oncologi pugliesi tra la Regione Puglia e l’Istituto Nazionale della Previdenza Sociale (INPS).  (BUR n. 96 del 23.8.19)</w:t>
      </w:r>
    </w:p>
    <w:p w:rsidR="008B746C" w:rsidRDefault="008B746C" w:rsidP="008B746C">
      <w:pPr>
        <w:spacing w:after="0" w:line="20" w:lineRule="atLeast"/>
        <w:jc w:val="both"/>
      </w:pPr>
    </w:p>
    <w:p w:rsidR="008B746C" w:rsidRDefault="008B746C" w:rsidP="008B746C">
      <w:pPr>
        <w:spacing w:after="0" w:line="20" w:lineRule="atLeast"/>
        <w:jc w:val="center"/>
        <w:rPr>
          <w:rFonts w:ascii="Broadway" w:hAnsi="Broadway" w:cstheme="majorHAnsi"/>
          <w:b/>
          <w:sz w:val="40"/>
          <w:szCs w:val="40"/>
        </w:rPr>
      </w:pPr>
      <w:r>
        <w:rPr>
          <w:rFonts w:ascii="Broadway" w:hAnsi="Broadway" w:cstheme="majorHAnsi"/>
          <w:b/>
          <w:sz w:val="40"/>
          <w:szCs w:val="40"/>
        </w:rPr>
        <w:t xml:space="preserve">SICILIA  </w:t>
      </w:r>
    </w:p>
    <w:p w:rsidR="008B746C" w:rsidRPr="00DA3FA1" w:rsidRDefault="008B746C" w:rsidP="008B746C">
      <w:pPr>
        <w:spacing w:after="0" w:line="20" w:lineRule="atLeast"/>
        <w:jc w:val="center"/>
        <w:rPr>
          <w:rFonts w:cstheme="minorHAnsi"/>
          <w:b/>
          <w:sz w:val="24"/>
          <w:szCs w:val="24"/>
        </w:rPr>
      </w:pPr>
    </w:p>
    <w:p w:rsidR="008B746C" w:rsidRPr="00E47006"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color w:val="000000"/>
        </w:rPr>
      </w:pPr>
      <w:r w:rsidRPr="00E47006">
        <w:rPr>
          <w:rFonts w:cstheme="minorHAnsi"/>
          <w:b/>
          <w:color w:val="000000"/>
        </w:rPr>
        <w:t>GIOVANI</w:t>
      </w:r>
    </w:p>
    <w:p w:rsidR="008B746C" w:rsidRDefault="008B746C" w:rsidP="008B746C">
      <w:pPr>
        <w:autoSpaceDE w:val="0"/>
        <w:autoSpaceDN w:val="0"/>
        <w:adjustRightInd w:val="0"/>
        <w:spacing w:after="0" w:line="20" w:lineRule="atLeast"/>
        <w:jc w:val="both"/>
        <w:rPr>
          <w:rFonts w:cstheme="minorHAnsi"/>
          <w:color w:val="000000"/>
        </w:rPr>
      </w:pPr>
    </w:p>
    <w:p w:rsidR="008B746C" w:rsidRDefault="008B746C" w:rsidP="008B746C">
      <w:pPr>
        <w:spacing w:after="0" w:line="20" w:lineRule="atLeast"/>
        <w:jc w:val="both"/>
      </w:pPr>
      <w:r w:rsidRPr="00772A13">
        <w:rPr>
          <w:b/>
        </w:rPr>
        <w:t xml:space="preserve">L.R. 8 maggio </w:t>
      </w:r>
      <w:proofErr w:type="gramStart"/>
      <w:r w:rsidRPr="00772A13">
        <w:rPr>
          <w:b/>
        </w:rPr>
        <w:t>2019 ,</w:t>
      </w:r>
      <w:proofErr w:type="gramEnd"/>
      <w:r w:rsidRPr="00772A13">
        <w:rPr>
          <w:b/>
        </w:rPr>
        <w:t xml:space="preserve"> n. 6</w:t>
      </w:r>
      <w:r>
        <w:t>,  Norme in materia di politiche giovanili. Istituzione del Forum regionale dei giovani e dell’Osservatorio regionale delle politiche giovanili. (GURS n. 22 del 17.5.19)</w:t>
      </w:r>
    </w:p>
    <w:p w:rsidR="008B746C" w:rsidRDefault="008B746C" w:rsidP="008B746C">
      <w:pPr>
        <w:spacing w:after="0" w:line="20" w:lineRule="atLeast"/>
        <w:jc w:val="both"/>
      </w:pPr>
    </w:p>
    <w:p w:rsidR="008B746C" w:rsidRPr="00670259"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b/>
        </w:rPr>
      </w:pPr>
      <w:r w:rsidRPr="00670259">
        <w:rPr>
          <w:b/>
        </w:rPr>
        <w:t>IMMIGRATI</w:t>
      </w:r>
    </w:p>
    <w:p w:rsidR="008B746C" w:rsidRDefault="008B746C" w:rsidP="008B746C">
      <w:pPr>
        <w:spacing w:after="0" w:line="20" w:lineRule="atLeast"/>
        <w:jc w:val="both"/>
      </w:pPr>
    </w:p>
    <w:p w:rsidR="008B746C" w:rsidRPr="006B0B81" w:rsidRDefault="008B746C" w:rsidP="008B746C">
      <w:pPr>
        <w:spacing w:after="0" w:line="20" w:lineRule="atLeast"/>
        <w:jc w:val="both"/>
        <w:rPr>
          <w:rFonts w:cstheme="minorHAnsi"/>
        </w:rPr>
      </w:pPr>
      <w:r w:rsidRPr="00670259">
        <w:rPr>
          <w:rFonts w:cstheme="minorHAnsi"/>
          <w:b/>
          <w:lang w:val="en-US"/>
        </w:rPr>
        <w:t>DECRETO 10 luglio 2019</w:t>
      </w:r>
      <w:r>
        <w:rPr>
          <w:rFonts w:cstheme="minorHAnsi"/>
          <w:lang w:val="en-US"/>
        </w:rPr>
        <w:t xml:space="preserve">, </w:t>
      </w:r>
      <w:r w:rsidRPr="00670259">
        <w:rPr>
          <w:rFonts w:cstheme="minorHAnsi"/>
          <w:bCs/>
          <w:lang w:val="en-US"/>
        </w:rPr>
        <w:t xml:space="preserve">Progetto </w:t>
      </w:r>
      <w:r w:rsidRPr="00670259">
        <w:rPr>
          <w:rFonts w:cstheme="minorHAnsi"/>
          <w:bCs/>
          <w:iCs/>
          <w:lang w:val="en-US"/>
        </w:rPr>
        <w:t xml:space="preserve">Integration and Community Care for Asylum and Refugees in Emergency </w:t>
      </w:r>
      <w:r w:rsidRPr="00670259">
        <w:rPr>
          <w:rFonts w:cstheme="minorHAnsi"/>
          <w:bCs/>
          <w:lang w:val="en-US"/>
        </w:rPr>
        <w:t>(I.C.A.R.E.).</w:t>
      </w:r>
      <w:r>
        <w:rPr>
          <w:rFonts w:cstheme="minorHAnsi"/>
          <w:bCs/>
          <w:lang w:val="en-US"/>
        </w:rPr>
        <w:t xml:space="preserve"> </w:t>
      </w:r>
      <w:r>
        <w:rPr>
          <w:rFonts w:cstheme="minorHAnsi"/>
        </w:rPr>
        <w:t>(</w:t>
      </w:r>
      <w:proofErr w:type="gramStart"/>
      <w:r>
        <w:rPr>
          <w:rFonts w:cstheme="minorHAnsi"/>
        </w:rPr>
        <w:t>GURS  n.</w:t>
      </w:r>
      <w:proofErr w:type="gramEnd"/>
      <w:r>
        <w:rPr>
          <w:rFonts w:cstheme="minorHAnsi"/>
        </w:rPr>
        <w:t xml:space="preserve"> 36 del 2.8.19)</w:t>
      </w:r>
    </w:p>
    <w:p w:rsidR="008B746C" w:rsidRDefault="008B746C" w:rsidP="008B746C">
      <w:pPr>
        <w:autoSpaceDE w:val="0"/>
        <w:autoSpaceDN w:val="0"/>
        <w:adjustRightInd w:val="0"/>
        <w:spacing w:after="0" w:line="20" w:lineRule="atLeast"/>
        <w:jc w:val="both"/>
        <w:rPr>
          <w:rFonts w:cstheme="minorHAnsi"/>
          <w:bCs/>
          <w:lang w:val="en-US"/>
        </w:rPr>
      </w:pPr>
    </w:p>
    <w:p w:rsidR="008B746C" w:rsidRPr="00670259"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color w:val="000000"/>
        </w:rPr>
      </w:pPr>
      <w:r w:rsidRPr="00670259">
        <w:rPr>
          <w:rFonts w:cstheme="minorHAnsi"/>
          <w:b/>
          <w:color w:val="000000"/>
        </w:rPr>
        <w:t>SANITÀ</w:t>
      </w:r>
    </w:p>
    <w:p w:rsidR="008B746C" w:rsidRDefault="008B746C" w:rsidP="008B746C">
      <w:pPr>
        <w:autoSpaceDE w:val="0"/>
        <w:autoSpaceDN w:val="0"/>
        <w:adjustRightInd w:val="0"/>
        <w:spacing w:after="0" w:line="20" w:lineRule="atLeast"/>
        <w:jc w:val="both"/>
        <w:rPr>
          <w:rFonts w:cstheme="minorHAnsi"/>
          <w:color w:val="000000"/>
        </w:rPr>
      </w:pPr>
    </w:p>
    <w:p w:rsidR="008B746C" w:rsidRDefault="008B746C" w:rsidP="008B746C">
      <w:pPr>
        <w:spacing w:after="0" w:line="20" w:lineRule="atLeast"/>
        <w:jc w:val="both"/>
        <w:rPr>
          <w:rFonts w:cstheme="minorHAnsi"/>
        </w:rPr>
      </w:pPr>
      <w:r w:rsidRPr="00A8290E">
        <w:rPr>
          <w:rFonts w:cstheme="minorHAnsi"/>
          <w:b/>
        </w:rPr>
        <w:t xml:space="preserve">DECRETO 25 luglio </w:t>
      </w:r>
      <w:proofErr w:type="gramStart"/>
      <w:r w:rsidRPr="00A8290E">
        <w:rPr>
          <w:rFonts w:cstheme="minorHAnsi"/>
          <w:b/>
        </w:rPr>
        <w:t>2019</w:t>
      </w:r>
      <w:r>
        <w:rPr>
          <w:rFonts w:cstheme="minorHAnsi"/>
        </w:rPr>
        <w:t xml:space="preserve">, </w:t>
      </w:r>
      <w:r w:rsidRPr="006B0B81">
        <w:rPr>
          <w:rFonts w:cstheme="minorHAnsi"/>
        </w:rPr>
        <w:t xml:space="preserve"> Aggiornamento</w:t>
      </w:r>
      <w:proofErr w:type="gramEnd"/>
      <w:r w:rsidRPr="006B0B81">
        <w:rPr>
          <w:rFonts w:cstheme="minorHAnsi"/>
        </w:rPr>
        <w:t xml:space="preserve"> del Prontuario terapeutico ospedaliero - territoriale della Regione siciliana</w:t>
      </w:r>
      <w:r>
        <w:rPr>
          <w:rFonts w:cstheme="minorHAnsi"/>
        </w:rPr>
        <w:t>. (</w:t>
      </w:r>
      <w:proofErr w:type="gramStart"/>
      <w:r>
        <w:rPr>
          <w:rFonts w:cstheme="minorHAnsi"/>
        </w:rPr>
        <w:t>GURS  n.</w:t>
      </w:r>
      <w:proofErr w:type="gramEnd"/>
      <w:r>
        <w:rPr>
          <w:rFonts w:cstheme="minorHAnsi"/>
        </w:rPr>
        <w:t xml:space="preserve"> 36 del 2.8.19)</w:t>
      </w:r>
    </w:p>
    <w:p w:rsidR="008B746C" w:rsidRDefault="008B746C" w:rsidP="008B746C">
      <w:pPr>
        <w:spacing w:after="0" w:line="20" w:lineRule="atLeast"/>
        <w:jc w:val="both"/>
        <w:rPr>
          <w:rFonts w:cstheme="minorHAnsi"/>
        </w:rPr>
      </w:pPr>
    </w:p>
    <w:p w:rsidR="008B746C" w:rsidRDefault="008B746C" w:rsidP="008B746C">
      <w:pPr>
        <w:autoSpaceDE w:val="0"/>
        <w:autoSpaceDN w:val="0"/>
        <w:adjustRightInd w:val="0"/>
        <w:spacing w:after="0" w:line="20" w:lineRule="atLeast"/>
        <w:jc w:val="both"/>
        <w:rPr>
          <w:rFonts w:cstheme="minorHAnsi"/>
          <w:bCs/>
        </w:rPr>
      </w:pPr>
      <w:r w:rsidRPr="008D7396">
        <w:rPr>
          <w:rFonts w:cstheme="minorHAnsi"/>
          <w:b/>
        </w:rPr>
        <w:t>DECRETO 9 luglio 2019,</w:t>
      </w:r>
      <w:r>
        <w:rPr>
          <w:rFonts w:cstheme="minorHAnsi"/>
        </w:rPr>
        <w:t xml:space="preserve"> </w:t>
      </w:r>
      <w:r w:rsidRPr="008D7396">
        <w:rPr>
          <w:rFonts w:cstheme="minorHAnsi"/>
          <w:bCs/>
        </w:rPr>
        <w:t xml:space="preserve">Recepimento del D.M. salute 10 agosto 2018, pubblicato nella </w:t>
      </w:r>
      <w:r w:rsidRPr="008D7396">
        <w:rPr>
          <w:rFonts w:cstheme="minorHAnsi"/>
          <w:bCs/>
          <w:i/>
          <w:iCs/>
        </w:rPr>
        <w:t xml:space="preserve">Gazzetta Ufficiale </w:t>
      </w:r>
      <w:r w:rsidRPr="008D7396">
        <w:rPr>
          <w:rFonts w:cstheme="minorHAnsi"/>
          <w:bCs/>
        </w:rPr>
        <w:t>della Repubblica italiana n. 199 del 28 agosto 2018, con il quale sono stati definiti i nuovi limiti massimi di spesa per l’erogazione dei prodotti senza glutine ai celiaci, in aggiornamento del precedente D.M. 4 maggio 2006. (GURS n. 36 del 2.8.19)</w:t>
      </w:r>
    </w:p>
    <w:p w:rsidR="008B746C" w:rsidRDefault="008B746C" w:rsidP="008B746C">
      <w:pPr>
        <w:autoSpaceDE w:val="0"/>
        <w:autoSpaceDN w:val="0"/>
        <w:adjustRightInd w:val="0"/>
        <w:spacing w:after="0" w:line="20" w:lineRule="atLeast"/>
        <w:jc w:val="both"/>
        <w:rPr>
          <w:rFonts w:cstheme="minorHAnsi"/>
          <w:bCs/>
        </w:rPr>
      </w:pPr>
    </w:p>
    <w:p w:rsidR="008B746C" w:rsidRDefault="008B746C" w:rsidP="008B746C">
      <w:pPr>
        <w:autoSpaceDE w:val="0"/>
        <w:autoSpaceDN w:val="0"/>
        <w:adjustRightInd w:val="0"/>
        <w:spacing w:after="0" w:line="20" w:lineRule="atLeast"/>
        <w:jc w:val="both"/>
        <w:rPr>
          <w:rFonts w:cstheme="minorHAnsi"/>
          <w:bCs/>
        </w:rPr>
      </w:pPr>
      <w:r w:rsidRPr="00A8290E">
        <w:rPr>
          <w:rFonts w:cstheme="minorHAnsi"/>
          <w:b/>
        </w:rPr>
        <w:t>DECRETO 16 luglio 2019</w:t>
      </w:r>
      <w:r w:rsidRPr="006B0B81">
        <w:rPr>
          <w:rFonts w:cstheme="minorHAnsi"/>
        </w:rPr>
        <w:t>. Costituzione di un Gruppo di lavoro sull’obesità patologica</w:t>
      </w:r>
      <w:r>
        <w:rPr>
          <w:rFonts w:cstheme="minorHAnsi"/>
        </w:rPr>
        <w:t>.</w:t>
      </w:r>
      <w:r w:rsidRPr="009C2B7D">
        <w:rPr>
          <w:rFonts w:cstheme="minorHAnsi"/>
          <w:bCs/>
        </w:rPr>
        <w:t xml:space="preserve"> </w:t>
      </w:r>
      <w:r w:rsidRPr="008D7396">
        <w:rPr>
          <w:rFonts w:cstheme="minorHAnsi"/>
          <w:bCs/>
        </w:rPr>
        <w:t>(GURS n. 36 del 2.8.19)</w:t>
      </w:r>
    </w:p>
    <w:p w:rsidR="008B746C" w:rsidRDefault="008B746C" w:rsidP="008B746C">
      <w:pPr>
        <w:spacing w:after="0" w:line="20" w:lineRule="atLeast"/>
        <w:jc w:val="both"/>
        <w:rPr>
          <w:rFonts w:cstheme="minorHAnsi"/>
        </w:rPr>
      </w:pPr>
    </w:p>
    <w:p w:rsidR="008B746C" w:rsidRPr="006B0B81" w:rsidRDefault="008B746C" w:rsidP="008B746C">
      <w:pPr>
        <w:spacing w:after="0" w:line="20" w:lineRule="atLeast"/>
        <w:jc w:val="both"/>
        <w:rPr>
          <w:rFonts w:cstheme="minorHAnsi"/>
        </w:rPr>
      </w:pPr>
      <w:r w:rsidRPr="00A8290E">
        <w:rPr>
          <w:rFonts w:cstheme="minorHAnsi"/>
          <w:b/>
        </w:rPr>
        <w:t xml:space="preserve">DECRETO 25 luglio </w:t>
      </w:r>
      <w:proofErr w:type="gramStart"/>
      <w:r w:rsidRPr="00A8290E">
        <w:rPr>
          <w:rFonts w:cstheme="minorHAnsi"/>
          <w:b/>
        </w:rPr>
        <w:t>2019</w:t>
      </w:r>
      <w:r>
        <w:rPr>
          <w:rFonts w:cstheme="minorHAnsi"/>
        </w:rPr>
        <w:t xml:space="preserve">, </w:t>
      </w:r>
      <w:r w:rsidRPr="006B0B81">
        <w:rPr>
          <w:rFonts w:cstheme="minorHAnsi"/>
        </w:rPr>
        <w:t xml:space="preserve"> Aggiornamento</w:t>
      </w:r>
      <w:proofErr w:type="gramEnd"/>
      <w:r w:rsidRPr="006B0B81">
        <w:rPr>
          <w:rFonts w:cstheme="minorHAnsi"/>
        </w:rPr>
        <w:t xml:space="preserve"> del Prontuario terapeutico ospedaliero - territoriale della Regione siciliana</w:t>
      </w:r>
      <w:r>
        <w:rPr>
          <w:rFonts w:cstheme="minorHAnsi"/>
        </w:rPr>
        <w:t>. (</w:t>
      </w:r>
      <w:proofErr w:type="gramStart"/>
      <w:r>
        <w:rPr>
          <w:rFonts w:cstheme="minorHAnsi"/>
        </w:rPr>
        <w:t>GURS  n.</w:t>
      </w:r>
      <w:proofErr w:type="gramEnd"/>
      <w:r>
        <w:rPr>
          <w:rFonts w:cstheme="minorHAnsi"/>
        </w:rPr>
        <w:t xml:space="preserve"> 36 del 2.8.19)</w:t>
      </w:r>
    </w:p>
    <w:p w:rsidR="008B746C" w:rsidRDefault="008B746C" w:rsidP="008B746C">
      <w:pPr>
        <w:spacing w:after="0" w:line="20" w:lineRule="atLeast"/>
        <w:jc w:val="both"/>
        <w:rPr>
          <w:rFonts w:cstheme="minorHAnsi"/>
        </w:rPr>
      </w:pPr>
    </w:p>
    <w:p w:rsidR="008B746C" w:rsidRDefault="008B746C" w:rsidP="008B746C">
      <w:pPr>
        <w:spacing w:after="0" w:line="20" w:lineRule="atLeast"/>
        <w:jc w:val="both"/>
        <w:rPr>
          <w:rFonts w:cstheme="minorHAnsi"/>
        </w:rPr>
      </w:pPr>
      <w:r w:rsidRPr="00A8290E">
        <w:rPr>
          <w:rFonts w:cstheme="minorHAnsi"/>
          <w:b/>
        </w:rPr>
        <w:t>DECRETO 29 luglio 2019.</w:t>
      </w:r>
      <w:r w:rsidRPr="006B0B81">
        <w:rPr>
          <w:rFonts w:cstheme="minorHAnsi"/>
        </w:rPr>
        <w:t xml:space="preserve"> Soglie prescrittive per il triennio 2019-2021. </w:t>
      </w:r>
      <w:r>
        <w:rPr>
          <w:rFonts w:cstheme="minorHAnsi"/>
        </w:rPr>
        <w:t xml:space="preserve"> (</w:t>
      </w:r>
      <w:proofErr w:type="gramStart"/>
      <w:r>
        <w:rPr>
          <w:rFonts w:cstheme="minorHAnsi"/>
        </w:rPr>
        <w:t>GURS  n.</w:t>
      </w:r>
      <w:proofErr w:type="gramEnd"/>
      <w:r>
        <w:rPr>
          <w:rFonts w:cstheme="minorHAnsi"/>
        </w:rPr>
        <w:t xml:space="preserve"> 36 del 2.8.19)</w:t>
      </w:r>
    </w:p>
    <w:p w:rsidR="008B746C" w:rsidRDefault="008B746C" w:rsidP="008B746C">
      <w:pPr>
        <w:spacing w:after="0" w:line="20" w:lineRule="atLeast"/>
        <w:jc w:val="both"/>
        <w:rPr>
          <w:rFonts w:cstheme="minorHAnsi"/>
        </w:rPr>
      </w:pPr>
    </w:p>
    <w:p w:rsidR="008B746C" w:rsidRDefault="008B746C" w:rsidP="008B746C">
      <w:pPr>
        <w:spacing w:after="0" w:line="20" w:lineRule="atLeast"/>
        <w:jc w:val="both"/>
        <w:rPr>
          <w:rFonts w:cstheme="minorHAnsi"/>
        </w:rPr>
      </w:pPr>
      <w:r w:rsidRPr="00A8290E">
        <w:rPr>
          <w:rFonts w:cstheme="minorHAnsi"/>
          <w:b/>
        </w:rPr>
        <w:t>DECRETO 16 luglio 2019</w:t>
      </w:r>
      <w:r w:rsidRPr="006B0B81">
        <w:rPr>
          <w:rFonts w:cstheme="minorHAnsi"/>
        </w:rPr>
        <w:t>. Costituzione di un Gruppo di lavoro sull’obesità patologica</w:t>
      </w:r>
      <w:r>
        <w:rPr>
          <w:rFonts w:cstheme="minorHAnsi"/>
        </w:rPr>
        <w:t>. (</w:t>
      </w:r>
      <w:proofErr w:type="gramStart"/>
      <w:r>
        <w:rPr>
          <w:rFonts w:cstheme="minorHAnsi"/>
        </w:rPr>
        <w:t>GURS  n.</w:t>
      </w:r>
      <w:proofErr w:type="gramEnd"/>
      <w:r>
        <w:rPr>
          <w:rFonts w:cstheme="minorHAnsi"/>
        </w:rPr>
        <w:t xml:space="preserve"> 36 del 2.8.19)</w:t>
      </w:r>
    </w:p>
    <w:p w:rsidR="008B746C" w:rsidRDefault="008B746C" w:rsidP="008B746C">
      <w:pPr>
        <w:autoSpaceDE w:val="0"/>
        <w:autoSpaceDN w:val="0"/>
        <w:adjustRightInd w:val="0"/>
        <w:spacing w:after="0" w:line="20" w:lineRule="atLeast"/>
        <w:jc w:val="both"/>
        <w:rPr>
          <w:rFonts w:cstheme="minorHAnsi"/>
          <w:bCs/>
          <w:color w:val="000000"/>
        </w:rPr>
      </w:pPr>
    </w:p>
    <w:p w:rsidR="008B746C" w:rsidRDefault="008B746C" w:rsidP="008B746C">
      <w:pPr>
        <w:spacing w:after="0" w:line="20" w:lineRule="atLeast"/>
        <w:jc w:val="both"/>
        <w:rPr>
          <w:rFonts w:cstheme="minorHAnsi"/>
        </w:rPr>
      </w:pPr>
      <w:r w:rsidRPr="00A8290E">
        <w:rPr>
          <w:rFonts w:cstheme="minorHAnsi"/>
          <w:b/>
        </w:rPr>
        <w:t xml:space="preserve">DECRETO 25 luglio </w:t>
      </w:r>
      <w:proofErr w:type="gramStart"/>
      <w:r w:rsidRPr="00A8290E">
        <w:rPr>
          <w:rFonts w:cstheme="minorHAnsi"/>
          <w:b/>
        </w:rPr>
        <w:t>2019</w:t>
      </w:r>
      <w:r>
        <w:rPr>
          <w:rFonts w:cstheme="minorHAnsi"/>
        </w:rPr>
        <w:t xml:space="preserve">, </w:t>
      </w:r>
      <w:r w:rsidRPr="006B0B81">
        <w:rPr>
          <w:rFonts w:cstheme="minorHAnsi"/>
        </w:rPr>
        <w:t xml:space="preserve"> Aggiornamento</w:t>
      </w:r>
      <w:proofErr w:type="gramEnd"/>
      <w:r w:rsidRPr="006B0B81">
        <w:rPr>
          <w:rFonts w:cstheme="minorHAnsi"/>
        </w:rPr>
        <w:t xml:space="preserve"> del Prontuario terapeutico ospedaliero - territoriale della Regione siciliana</w:t>
      </w:r>
      <w:r>
        <w:rPr>
          <w:rFonts w:cstheme="minorHAnsi"/>
        </w:rPr>
        <w:t>. (</w:t>
      </w:r>
      <w:proofErr w:type="gramStart"/>
      <w:r>
        <w:rPr>
          <w:rFonts w:cstheme="minorHAnsi"/>
        </w:rPr>
        <w:t>GURS  n.</w:t>
      </w:r>
      <w:proofErr w:type="gramEnd"/>
      <w:r>
        <w:rPr>
          <w:rFonts w:cstheme="minorHAnsi"/>
        </w:rPr>
        <w:t xml:space="preserve"> 36 del 2.8.19)</w:t>
      </w:r>
    </w:p>
    <w:p w:rsidR="008B746C" w:rsidRDefault="008B746C" w:rsidP="008B746C">
      <w:pPr>
        <w:spacing w:after="0" w:line="20" w:lineRule="atLeast"/>
        <w:jc w:val="both"/>
        <w:rPr>
          <w:rFonts w:cstheme="minorHAnsi"/>
        </w:rPr>
      </w:pPr>
    </w:p>
    <w:p w:rsidR="008B746C" w:rsidRDefault="008B746C" w:rsidP="008B746C">
      <w:pPr>
        <w:spacing w:after="0" w:line="20" w:lineRule="atLeast"/>
        <w:jc w:val="both"/>
        <w:rPr>
          <w:rFonts w:cstheme="minorHAnsi"/>
        </w:rPr>
      </w:pPr>
      <w:r w:rsidRPr="00A8290E">
        <w:rPr>
          <w:rFonts w:cstheme="minorHAnsi"/>
          <w:b/>
        </w:rPr>
        <w:t>DECRETO 29 luglio 2019.</w:t>
      </w:r>
      <w:r w:rsidRPr="006B0B81">
        <w:rPr>
          <w:rFonts w:cstheme="minorHAnsi"/>
        </w:rPr>
        <w:t xml:space="preserve"> Soglie prescrittive per il triennio 2019-2021. </w:t>
      </w:r>
      <w:r>
        <w:rPr>
          <w:rFonts w:cstheme="minorHAnsi"/>
        </w:rPr>
        <w:t>(</w:t>
      </w:r>
      <w:proofErr w:type="gramStart"/>
      <w:r>
        <w:rPr>
          <w:rFonts w:cstheme="minorHAnsi"/>
        </w:rPr>
        <w:t>GURS  n.</w:t>
      </w:r>
      <w:proofErr w:type="gramEnd"/>
      <w:r>
        <w:rPr>
          <w:rFonts w:cstheme="minorHAnsi"/>
        </w:rPr>
        <w:t xml:space="preserve"> 36 del 2.8.19)</w:t>
      </w:r>
    </w:p>
    <w:p w:rsidR="008B746C" w:rsidRDefault="008B746C" w:rsidP="008B746C">
      <w:pPr>
        <w:spacing w:after="0" w:line="20" w:lineRule="atLeast"/>
        <w:jc w:val="both"/>
        <w:rPr>
          <w:rFonts w:cstheme="minorHAnsi"/>
        </w:rPr>
      </w:pPr>
    </w:p>
    <w:p w:rsidR="008B746C" w:rsidRDefault="008B746C" w:rsidP="008B746C">
      <w:pPr>
        <w:spacing w:after="0" w:line="20" w:lineRule="atLeast"/>
        <w:jc w:val="center"/>
        <w:rPr>
          <w:rFonts w:ascii="Broadway" w:hAnsi="Broadway" w:cstheme="majorHAnsi"/>
          <w:b/>
          <w:sz w:val="40"/>
          <w:szCs w:val="40"/>
        </w:rPr>
      </w:pPr>
      <w:r>
        <w:rPr>
          <w:rFonts w:ascii="Broadway" w:hAnsi="Broadway" w:cstheme="majorHAnsi"/>
          <w:b/>
          <w:sz w:val="40"/>
          <w:szCs w:val="40"/>
        </w:rPr>
        <w:t xml:space="preserve">TOSCANA  </w:t>
      </w:r>
    </w:p>
    <w:p w:rsidR="008B746C" w:rsidRPr="006B0B81" w:rsidRDefault="008B746C" w:rsidP="008B746C">
      <w:pPr>
        <w:spacing w:after="0" w:line="20" w:lineRule="atLeast"/>
        <w:jc w:val="both"/>
        <w:rPr>
          <w:rFonts w:cstheme="minorHAnsi"/>
        </w:rPr>
      </w:pPr>
    </w:p>
    <w:p w:rsidR="008B746C" w:rsidRPr="006C063A"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bCs/>
          <w:color w:val="FFFFFF"/>
        </w:rPr>
      </w:pPr>
      <w:r w:rsidRPr="006C063A">
        <w:rPr>
          <w:rFonts w:cstheme="minorHAnsi"/>
          <w:b/>
          <w:color w:val="000000"/>
        </w:rPr>
        <w:t>AMMINISTRAZIONE REGIONALE</w:t>
      </w:r>
    </w:p>
    <w:p w:rsidR="008B746C" w:rsidRPr="001223F4" w:rsidRDefault="008B746C" w:rsidP="008B746C">
      <w:pPr>
        <w:spacing w:after="0" w:line="20" w:lineRule="atLeast"/>
        <w:jc w:val="both"/>
        <w:rPr>
          <w:rFonts w:ascii="Corbel" w:hAnsi="Corbel" w:cs="DecimaWE-Bold"/>
          <w:b/>
          <w:bCs/>
          <w:color w:val="FFFFFF"/>
          <w:sz w:val="28"/>
          <w:szCs w:val="28"/>
        </w:rPr>
      </w:pPr>
    </w:p>
    <w:p w:rsidR="008B746C" w:rsidRDefault="008B746C" w:rsidP="008B746C">
      <w:pPr>
        <w:pStyle w:val="Pa0"/>
        <w:spacing w:line="20" w:lineRule="atLeast"/>
        <w:jc w:val="both"/>
        <w:rPr>
          <w:rStyle w:val="A0"/>
          <w:rFonts w:asciiTheme="minorHAnsi" w:hAnsiTheme="minorHAnsi" w:cstheme="minorHAnsi"/>
          <w:b w:val="0"/>
          <w:sz w:val="22"/>
          <w:szCs w:val="22"/>
        </w:rPr>
      </w:pPr>
      <w:r w:rsidRPr="00663A7E">
        <w:rPr>
          <w:rFonts w:asciiTheme="minorHAnsi" w:hAnsiTheme="minorHAnsi" w:cstheme="minorHAnsi"/>
          <w:b/>
          <w:color w:val="000000"/>
          <w:sz w:val="22"/>
          <w:szCs w:val="22"/>
        </w:rPr>
        <w:t xml:space="preserve">RISOLUZIONE 31 luglio 2019, </w:t>
      </w:r>
      <w:r w:rsidRPr="00663A7E">
        <w:rPr>
          <w:rFonts w:asciiTheme="minorHAnsi" w:hAnsiTheme="minorHAnsi" w:cstheme="minorHAnsi"/>
          <w:b/>
          <w:bCs/>
          <w:color w:val="000000"/>
          <w:sz w:val="22"/>
          <w:szCs w:val="22"/>
        </w:rPr>
        <w:t xml:space="preserve">n. 268, </w:t>
      </w:r>
      <w:r w:rsidRPr="00663A7E">
        <w:rPr>
          <w:rFonts w:asciiTheme="minorHAnsi" w:hAnsiTheme="minorHAnsi" w:cstheme="minorHAnsi"/>
          <w:bCs/>
          <w:color w:val="000000"/>
          <w:sz w:val="22"/>
          <w:szCs w:val="22"/>
        </w:rPr>
        <w:t>Risoluzione approvata nella seduta del Consiglio regionale del 31 luglio 2019, collegata alla delibera</w:t>
      </w:r>
      <w:r w:rsidRPr="00663A7E">
        <w:rPr>
          <w:rFonts w:asciiTheme="minorHAnsi" w:hAnsiTheme="minorHAnsi" w:cstheme="minorHAnsi"/>
          <w:bCs/>
          <w:color w:val="000000"/>
          <w:sz w:val="22"/>
          <w:szCs w:val="22"/>
        </w:rPr>
        <w:softHyphen/>
        <w:t xml:space="preserve">zione 31 luglio 2019, n. 54 (Documento di economia e finanza regionale “DEFR” 2020. Approvazione). In merito alle procedure inerenti alla realizzazione del “Regionalismo differenziato”, ai sensi dell’articolo 116 della Costituzione. </w:t>
      </w:r>
      <w:r w:rsidRPr="00663A7E">
        <w:rPr>
          <w:rStyle w:val="A0"/>
          <w:rFonts w:asciiTheme="minorHAnsi" w:hAnsiTheme="minorHAnsi" w:cstheme="minorHAnsi"/>
          <w:sz w:val="22"/>
          <w:szCs w:val="22"/>
        </w:rPr>
        <w:t>(BUR n. 39 del 9.8.19)</w:t>
      </w:r>
    </w:p>
    <w:p w:rsidR="008B746C" w:rsidRDefault="008B746C" w:rsidP="008B746C">
      <w:pPr>
        <w:pStyle w:val="Default"/>
      </w:pPr>
    </w:p>
    <w:p w:rsidR="008B746C" w:rsidRPr="006C063A" w:rsidRDefault="008B746C" w:rsidP="008B746C">
      <w:pPr>
        <w:pStyle w:val="Default"/>
        <w:pBdr>
          <w:top w:val="single" w:sz="4" w:space="1" w:color="auto"/>
          <w:left w:val="single" w:sz="4" w:space="4" w:color="auto"/>
          <w:bottom w:val="single" w:sz="4" w:space="1" w:color="auto"/>
          <w:right w:val="single" w:sz="4" w:space="4" w:color="auto"/>
          <w:between w:val="single" w:sz="4" w:space="1" w:color="auto"/>
          <w:bar w:val="single" w:sz="4" w:color="auto"/>
        </w:pBdr>
        <w:jc w:val="center"/>
        <w:rPr>
          <w:rFonts w:asciiTheme="minorHAnsi" w:hAnsiTheme="minorHAnsi" w:cstheme="minorHAnsi"/>
          <w:b/>
          <w:sz w:val="22"/>
          <w:szCs w:val="22"/>
        </w:rPr>
      </w:pPr>
      <w:r w:rsidRPr="006C063A">
        <w:rPr>
          <w:rFonts w:asciiTheme="minorHAnsi" w:hAnsiTheme="minorHAnsi" w:cstheme="minorHAnsi"/>
          <w:b/>
          <w:sz w:val="22"/>
          <w:szCs w:val="22"/>
        </w:rPr>
        <w:t>PROGRAMMAZIONE</w:t>
      </w:r>
    </w:p>
    <w:p w:rsidR="008B746C" w:rsidRDefault="008B746C" w:rsidP="008B746C">
      <w:pPr>
        <w:pStyle w:val="Pa0"/>
        <w:spacing w:line="20" w:lineRule="atLeast"/>
        <w:jc w:val="both"/>
        <w:rPr>
          <w:rStyle w:val="A0"/>
          <w:rFonts w:asciiTheme="minorHAnsi" w:hAnsiTheme="minorHAnsi" w:cstheme="minorHAnsi"/>
          <w:bCs w:val="0"/>
          <w:sz w:val="22"/>
          <w:szCs w:val="22"/>
        </w:rPr>
      </w:pPr>
    </w:p>
    <w:p w:rsidR="008B746C" w:rsidRPr="001C2B07" w:rsidRDefault="008B746C" w:rsidP="008B746C">
      <w:pPr>
        <w:pStyle w:val="Pa0"/>
        <w:spacing w:line="20" w:lineRule="atLeast"/>
        <w:jc w:val="both"/>
        <w:rPr>
          <w:rStyle w:val="A0"/>
          <w:rFonts w:asciiTheme="minorHAnsi" w:hAnsiTheme="minorHAnsi" w:cstheme="minorHAnsi"/>
          <w:b w:val="0"/>
          <w:sz w:val="22"/>
          <w:szCs w:val="22"/>
        </w:rPr>
      </w:pPr>
      <w:r w:rsidRPr="001C2B07">
        <w:rPr>
          <w:rStyle w:val="A0"/>
          <w:rFonts w:asciiTheme="minorHAnsi" w:hAnsiTheme="minorHAnsi" w:cstheme="minorHAnsi"/>
          <w:sz w:val="22"/>
          <w:szCs w:val="22"/>
        </w:rPr>
        <w:t xml:space="preserve">DCR  31 luglio 2019, n. 54, Documento di economia e finanza regionale (DEFR) 2020 - Approvazione. </w:t>
      </w:r>
      <w:r>
        <w:rPr>
          <w:rStyle w:val="A0"/>
          <w:rFonts w:asciiTheme="minorHAnsi" w:hAnsiTheme="minorHAnsi" w:cstheme="minorHAnsi"/>
          <w:sz w:val="22"/>
          <w:szCs w:val="22"/>
        </w:rPr>
        <w:t xml:space="preserve"> (</w:t>
      </w:r>
      <w:r w:rsidRPr="001C2B07">
        <w:rPr>
          <w:rStyle w:val="A0"/>
          <w:rFonts w:asciiTheme="minorHAnsi" w:hAnsiTheme="minorHAnsi" w:cstheme="minorHAnsi"/>
          <w:sz w:val="22"/>
          <w:szCs w:val="22"/>
        </w:rPr>
        <w:t>BUR n. 39 del 9</w:t>
      </w:r>
      <w:r>
        <w:rPr>
          <w:rStyle w:val="A0"/>
          <w:rFonts w:asciiTheme="minorHAnsi" w:hAnsiTheme="minorHAnsi" w:cstheme="minorHAnsi"/>
          <w:sz w:val="22"/>
          <w:szCs w:val="22"/>
        </w:rPr>
        <w:t>.</w:t>
      </w:r>
      <w:r w:rsidRPr="001C2B07">
        <w:rPr>
          <w:rStyle w:val="A0"/>
          <w:rFonts w:asciiTheme="minorHAnsi" w:hAnsiTheme="minorHAnsi" w:cstheme="minorHAnsi"/>
          <w:sz w:val="22"/>
          <w:szCs w:val="22"/>
        </w:rPr>
        <w:t>8.19)</w:t>
      </w:r>
    </w:p>
    <w:p w:rsidR="008B746C" w:rsidRDefault="008B746C" w:rsidP="008B746C">
      <w:pPr>
        <w:pStyle w:val="Default"/>
      </w:pPr>
    </w:p>
    <w:p w:rsidR="008B746C"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Pr>
          <w:rFonts w:cstheme="minorHAnsi"/>
          <w:b/>
        </w:rPr>
        <w:t>SANITÀ</w:t>
      </w:r>
    </w:p>
    <w:p w:rsidR="008B746C" w:rsidRDefault="008B746C" w:rsidP="008B746C">
      <w:pPr>
        <w:spacing w:after="0" w:line="20" w:lineRule="atLeast"/>
        <w:jc w:val="both"/>
        <w:rPr>
          <w:rFonts w:cstheme="minorHAnsi"/>
          <w:b/>
        </w:rPr>
      </w:pPr>
    </w:p>
    <w:p w:rsidR="008B746C" w:rsidRDefault="008B746C" w:rsidP="008B746C">
      <w:pPr>
        <w:spacing w:after="0" w:line="20" w:lineRule="atLeast"/>
        <w:jc w:val="both"/>
        <w:rPr>
          <w:rFonts w:cstheme="minorHAnsi"/>
        </w:rPr>
      </w:pPr>
      <w:r w:rsidRPr="00CA7E42">
        <w:rPr>
          <w:rFonts w:cstheme="minorHAnsi"/>
          <w:b/>
        </w:rPr>
        <w:t>DGR  22 luglio 2019, n. 954</w:t>
      </w:r>
      <w:r w:rsidRPr="006B0B81">
        <w:rPr>
          <w:rFonts w:cstheme="minorHAnsi"/>
        </w:rPr>
        <w:t xml:space="preserve"> DGR n. 652/2013: Protocollo d’Intesa tra Regione Toscana e Inail per l’erogazione di prestazioni di assistenza sanitaria. Proroga. </w:t>
      </w:r>
      <w:r>
        <w:rPr>
          <w:rFonts w:cstheme="minorHAnsi"/>
        </w:rPr>
        <w:t>(</w:t>
      </w:r>
      <w:proofErr w:type="gramStart"/>
      <w:r>
        <w:rPr>
          <w:rFonts w:cstheme="minorHAnsi"/>
        </w:rPr>
        <w:t>BUR  n.</w:t>
      </w:r>
      <w:proofErr w:type="gramEnd"/>
      <w:r>
        <w:rPr>
          <w:rFonts w:cstheme="minorHAnsi"/>
        </w:rPr>
        <w:t xml:space="preserve">  32 del 7.8.19)</w:t>
      </w:r>
    </w:p>
    <w:p w:rsidR="008B746C" w:rsidRDefault="008B746C" w:rsidP="008B746C">
      <w:pPr>
        <w:spacing w:after="0" w:line="20" w:lineRule="atLeast"/>
        <w:jc w:val="both"/>
        <w:rPr>
          <w:rFonts w:cstheme="minorHAnsi"/>
        </w:rPr>
      </w:pPr>
    </w:p>
    <w:p w:rsidR="008B746C" w:rsidRDefault="008B746C" w:rsidP="008B746C">
      <w:pPr>
        <w:spacing w:after="0" w:line="20" w:lineRule="atLeast"/>
        <w:jc w:val="center"/>
        <w:rPr>
          <w:rFonts w:ascii="Broadway" w:hAnsi="Broadway" w:cstheme="majorHAnsi"/>
          <w:b/>
          <w:sz w:val="40"/>
          <w:szCs w:val="40"/>
        </w:rPr>
      </w:pPr>
      <w:r>
        <w:rPr>
          <w:rFonts w:ascii="Broadway" w:hAnsi="Broadway" w:cstheme="majorHAnsi"/>
          <w:b/>
          <w:sz w:val="40"/>
          <w:szCs w:val="40"/>
        </w:rPr>
        <w:t xml:space="preserve">VENETO  </w:t>
      </w:r>
    </w:p>
    <w:p w:rsidR="008B746C" w:rsidRPr="00DC3055" w:rsidRDefault="008B746C" w:rsidP="008B746C">
      <w:pPr>
        <w:spacing w:after="0" w:line="20" w:lineRule="atLeast"/>
        <w:jc w:val="center"/>
        <w:rPr>
          <w:rFonts w:cstheme="minorHAnsi"/>
          <w:b/>
          <w:sz w:val="24"/>
          <w:szCs w:val="24"/>
        </w:rPr>
      </w:pPr>
    </w:p>
    <w:p w:rsidR="008B746C" w:rsidRPr="00DC3055" w:rsidRDefault="008B746C" w:rsidP="008B746C">
      <w:pPr>
        <w:pStyle w:val="cust-dettaglio-tipo-atto"/>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FFFFF"/>
        <w:spacing w:before="0" w:beforeAutospacing="0" w:after="0" w:afterAutospacing="0" w:line="20" w:lineRule="atLeast"/>
        <w:jc w:val="center"/>
        <w:textAlignment w:val="baseline"/>
        <w:rPr>
          <w:rFonts w:asciiTheme="minorHAnsi" w:hAnsiTheme="minorHAnsi" w:cstheme="minorHAnsi"/>
          <w:b/>
          <w:caps/>
          <w:sz w:val="22"/>
          <w:szCs w:val="22"/>
        </w:rPr>
      </w:pPr>
      <w:r w:rsidRPr="00DC3055">
        <w:rPr>
          <w:rFonts w:asciiTheme="minorHAnsi" w:hAnsiTheme="minorHAnsi" w:cstheme="minorHAnsi"/>
          <w:b/>
          <w:caps/>
          <w:sz w:val="22"/>
          <w:szCs w:val="22"/>
        </w:rPr>
        <w:t>DIFESA DELLO STATO</w:t>
      </w:r>
    </w:p>
    <w:p w:rsidR="008B746C" w:rsidRPr="00DC3055" w:rsidRDefault="008B746C" w:rsidP="008B746C">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caps/>
          <w:sz w:val="22"/>
          <w:szCs w:val="22"/>
        </w:rPr>
      </w:pPr>
    </w:p>
    <w:p w:rsidR="008B746C" w:rsidRPr="00DC3055" w:rsidRDefault="008B746C" w:rsidP="008B746C">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Cs/>
          <w:sz w:val="22"/>
          <w:szCs w:val="22"/>
        </w:rPr>
      </w:pPr>
      <w:r w:rsidRPr="00DC3055">
        <w:rPr>
          <w:rFonts w:asciiTheme="minorHAnsi" w:hAnsiTheme="minorHAnsi" w:cstheme="minorHAnsi"/>
          <w:b/>
          <w:caps/>
          <w:sz w:val="22"/>
          <w:szCs w:val="22"/>
        </w:rPr>
        <w:t xml:space="preserve">DGR </w:t>
      </w:r>
      <w:r w:rsidRPr="00DC3055">
        <w:rPr>
          <w:rStyle w:val="cust-dettaglio-tipo-atto-num-data"/>
          <w:rFonts w:asciiTheme="minorHAnsi" w:hAnsiTheme="minorHAnsi" w:cstheme="minorHAnsi"/>
          <w:b/>
          <w:caps/>
          <w:sz w:val="22"/>
          <w:szCs w:val="22"/>
          <w:bdr w:val="none" w:sz="0" w:space="0" w:color="auto" w:frame="1"/>
        </w:rPr>
        <w:t xml:space="preserve">   </w:t>
      </w:r>
      <w:r w:rsidRPr="00DC3055">
        <w:rPr>
          <w:rStyle w:val="cust-dettaglio-tipo-atto-num-data"/>
          <w:rFonts w:asciiTheme="minorHAnsi" w:hAnsiTheme="minorHAnsi" w:cstheme="minorHAnsi"/>
          <w:b/>
          <w:sz w:val="22"/>
          <w:szCs w:val="22"/>
          <w:bdr w:val="none" w:sz="0" w:space="0" w:color="auto" w:frame="1"/>
        </w:rPr>
        <w:t xml:space="preserve">30 luglio 2019, n. 1052, </w:t>
      </w:r>
      <w:r w:rsidRPr="00DC3055">
        <w:rPr>
          <w:rFonts w:asciiTheme="minorHAnsi" w:hAnsiTheme="minorHAnsi" w:cstheme="minorHAnsi"/>
          <w:bCs/>
          <w:sz w:val="22"/>
          <w:szCs w:val="22"/>
        </w:rPr>
        <w:t>Approvazione dello schema di Protocollo d'Intesa tra Regione del Veneto, Parti Sociali, Anci Veneto, Upi Veneto, Banca d'Italia, Unioncamere del Veneto e il Comitato Unitario Ordini Professionali del Veneto, al fine di promuovere e diffondere la cultura della legalità e della cittadinanza responsabile, contribuendo a prevenire e contrastare il fenomeno delle infiltrazioni criminali nel tessuto sociale e produttivo. (BUR n. 97 del 27.8.19)</w:t>
      </w:r>
    </w:p>
    <w:p w:rsidR="008B746C" w:rsidRDefault="008B746C" w:rsidP="008B746C">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Cs/>
          <w:color w:val="505050"/>
          <w:sz w:val="22"/>
          <w:szCs w:val="22"/>
        </w:rPr>
      </w:pPr>
    </w:p>
    <w:p w:rsidR="008B746C" w:rsidRPr="007E064E" w:rsidRDefault="008B746C" w:rsidP="008B746C">
      <w:pPr>
        <w:pStyle w:val="cust-dettaglio-materia"/>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FFFFF"/>
        <w:spacing w:before="0" w:beforeAutospacing="0" w:after="0" w:afterAutospacing="0" w:line="20" w:lineRule="atLeast"/>
        <w:jc w:val="center"/>
        <w:textAlignment w:val="baseline"/>
        <w:rPr>
          <w:rFonts w:asciiTheme="minorHAnsi" w:hAnsiTheme="minorHAnsi" w:cstheme="minorHAnsi"/>
          <w:b/>
          <w:bCs/>
          <w:sz w:val="22"/>
          <w:szCs w:val="22"/>
        </w:rPr>
      </w:pPr>
      <w:r w:rsidRPr="007E064E">
        <w:rPr>
          <w:rFonts w:asciiTheme="minorHAnsi" w:hAnsiTheme="minorHAnsi" w:cstheme="minorHAnsi"/>
          <w:b/>
          <w:bCs/>
          <w:sz w:val="22"/>
          <w:szCs w:val="22"/>
        </w:rPr>
        <w:t>FAMIGLIA</w:t>
      </w:r>
    </w:p>
    <w:p w:rsidR="008B746C" w:rsidRDefault="008B746C" w:rsidP="008B746C">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caps/>
          <w:color w:val="505050"/>
          <w:sz w:val="22"/>
          <w:szCs w:val="22"/>
        </w:rPr>
      </w:pPr>
    </w:p>
    <w:p w:rsidR="008B746C" w:rsidRPr="00DC3055" w:rsidRDefault="008B746C" w:rsidP="008B746C">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Cs/>
          <w:sz w:val="22"/>
          <w:szCs w:val="22"/>
        </w:rPr>
      </w:pPr>
      <w:r w:rsidRPr="00DC3055">
        <w:rPr>
          <w:rFonts w:asciiTheme="minorHAnsi" w:hAnsiTheme="minorHAnsi" w:cstheme="minorHAnsi"/>
          <w:b/>
          <w:caps/>
          <w:sz w:val="22"/>
          <w:szCs w:val="22"/>
        </w:rPr>
        <w:t xml:space="preserve">DGR </w:t>
      </w:r>
      <w:r w:rsidRPr="00DC3055">
        <w:rPr>
          <w:rStyle w:val="cust-dettaglio-tipo-atto-num-data"/>
          <w:rFonts w:asciiTheme="minorHAnsi" w:hAnsiTheme="minorHAnsi" w:cstheme="minorHAnsi"/>
          <w:b/>
          <w:caps/>
          <w:sz w:val="22"/>
          <w:szCs w:val="22"/>
          <w:bdr w:val="none" w:sz="0" w:space="0" w:color="auto" w:frame="1"/>
        </w:rPr>
        <w:t xml:space="preserve">  </w:t>
      </w:r>
      <w:r w:rsidRPr="00DC3055">
        <w:rPr>
          <w:rStyle w:val="cust-dettaglio-tipo-atto-num-data"/>
          <w:rFonts w:asciiTheme="minorHAnsi" w:hAnsiTheme="minorHAnsi" w:cstheme="minorHAnsi"/>
          <w:b/>
          <w:sz w:val="22"/>
          <w:szCs w:val="22"/>
          <w:bdr w:val="none" w:sz="0" w:space="0" w:color="auto" w:frame="1"/>
        </w:rPr>
        <w:t>30 luglio 2019, n. 1107</w:t>
      </w:r>
      <w:r w:rsidRPr="00DC3055">
        <w:rPr>
          <w:rStyle w:val="cust-dettaglio-tipo-atto-num-data"/>
          <w:rFonts w:asciiTheme="minorHAnsi" w:hAnsiTheme="minorHAnsi" w:cstheme="minorHAnsi"/>
          <w:sz w:val="22"/>
          <w:szCs w:val="22"/>
          <w:bdr w:val="none" w:sz="0" w:space="0" w:color="auto" w:frame="1"/>
        </w:rPr>
        <w:t xml:space="preserve">, </w:t>
      </w:r>
      <w:r w:rsidRPr="00DC3055">
        <w:rPr>
          <w:rFonts w:asciiTheme="minorHAnsi" w:hAnsiTheme="minorHAnsi" w:cstheme="minorHAnsi"/>
          <w:bCs/>
          <w:sz w:val="22"/>
          <w:szCs w:val="22"/>
        </w:rPr>
        <w:t>Fondo per le Politiche della Famiglia - Decreto Ministeriale del Dipartimento per le Politiche della Famiglia del 30 aprile 2019. Programma attuativo della Regione del Veneto per il sostegno della natalità e della genitorialità nell'ambito delle competenze sociali dei Consultori Familiari pubblici. (BUR n. 97 del 27.8.19)</w:t>
      </w:r>
    </w:p>
    <w:p w:rsidR="008B746C" w:rsidRDefault="008B746C" w:rsidP="008B746C">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Cs/>
          <w:color w:val="505050"/>
          <w:sz w:val="22"/>
          <w:szCs w:val="22"/>
        </w:rPr>
      </w:pPr>
    </w:p>
    <w:p w:rsidR="008B746C" w:rsidRPr="00E46937" w:rsidRDefault="008B746C" w:rsidP="008B746C">
      <w:pPr>
        <w:pStyle w:val="cust-dettaglio-tipo-atto"/>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FFFFF"/>
        <w:spacing w:before="0" w:beforeAutospacing="0" w:after="0" w:afterAutospacing="0" w:line="293" w:lineRule="atLeast"/>
        <w:jc w:val="center"/>
        <w:textAlignment w:val="baseline"/>
        <w:rPr>
          <w:rFonts w:ascii="Arial" w:hAnsi="Arial" w:cs="Arial"/>
          <w:b/>
          <w:caps/>
          <w:sz w:val="20"/>
          <w:szCs w:val="20"/>
        </w:rPr>
      </w:pPr>
      <w:r>
        <w:rPr>
          <w:rFonts w:ascii="Arial" w:hAnsi="Arial" w:cs="Arial"/>
          <w:b/>
          <w:caps/>
          <w:sz w:val="20"/>
          <w:szCs w:val="20"/>
        </w:rPr>
        <w:t xml:space="preserve">NON AUTOSUFICIENTI </w:t>
      </w:r>
    </w:p>
    <w:p w:rsidR="008B746C" w:rsidRDefault="008B746C" w:rsidP="008B746C">
      <w:pPr>
        <w:pStyle w:val="cust-dettaglio-tipo-atto"/>
        <w:shd w:val="clear" w:color="auto" w:fill="FFFFFF"/>
        <w:spacing w:before="0" w:beforeAutospacing="0" w:after="0" w:afterAutospacing="0" w:line="293" w:lineRule="atLeast"/>
        <w:textAlignment w:val="baseline"/>
        <w:rPr>
          <w:rFonts w:ascii="Arial" w:hAnsi="Arial" w:cs="Arial"/>
          <w:b/>
          <w:caps/>
          <w:color w:val="505050"/>
          <w:sz w:val="20"/>
          <w:szCs w:val="20"/>
        </w:rPr>
      </w:pPr>
    </w:p>
    <w:p w:rsidR="008B746C" w:rsidRPr="00880FC3" w:rsidRDefault="008B746C" w:rsidP="008B746C">
      <w:pPr>
        <w:pStyle w:val="cust-dettaglio-tipo-atto"/>
        <w:shd w:val="clear" w:color="auto" w:fill="FFFFFF"/>
        <w:spacing w:before="0" w:beforeAutospacing="0" w:after="0" w:afterAutospacing="0" w:line="293" w:lineRule="atLeast"/>
        <w:textAlignment w:val="baseline"/>
        <w:rPr>
          <w:rFonts w:asciiTheme="minorHAnsi" w:hAnsiTheme="minorHAnsi" w:cstheme="minorHAnsi"/>
          <w:bCs/>
          <w:sz w:val="22"/>
          <w:szCs w:val="22"/>
        </w:rPr>
      </w:pPr>
      <w:r w:rsidRPr="00880FC3">
        <w:rPr>
          <w:rFonts w:asciiTheme="minorHAnsi" w:hAnsiTheme="minorHAnsi" w:cstheme="minorHAnsi"/>
          <w:b/>
          <w:caps/>
          <w:sz w:val="22"/>
          <w:szCs w:val="22"/>
        </w:rPr>
        <w:lastRenderedPageBreak/>
        <w:t xml:space="preserve">DGR </w:t>
      </w:r>
      <w:r w:rsidRPr="00880FC3">
        <w:rPr>
          <w:rStyle w:val="cust-dettaglio-tipo-atto-num-data"/>
          <w:rFonts w:asciiTheme="minorHAnsi" w:hAnsiTheme="minorHAnsi" w:cstheme="minorHAnsi"/>
          <w:b/>
          <w:caps/>
          <w:sz w:val="22"/>
          <w:szCs w:val="22"/>
          <w:bdr w:val="none" w:sz="0" w:space="0" w:color="auto" w:frame="1"/>
        </w:rPr>
        <w:t xml:space="preserve"> </w:t>
      </w:r>
      <w:r w:rsidRPr="00880FC3">
        <w:rPr>
          <w:rStyle w:val="cust-dettaglio-tipo-atto-num-data"/>
          <w:rFonts w:asciiTheme="minorHAnsi" w:hAnsiTheme="minorHAnsi" w:cstheme="minorHAnsi"/>
          <w:b/>
          <w:sz w:val="22"/>
          <w:szCs w:val="22"/>
          <w:bdr w:val="none" w:sz="0" w:space="0" w:color="auto" w:frame="1"/>
        </w:rPr>
        <w:t>12 luglio 2019, n. 1033</w:t>
      </w:r>
      <w:r w:rsidRPr="00880FC3">
        <w:rPr>
          <w:rStyle w:val="cust-dettaglio-tipo-atto-num-data"/>
          <w:rFonts w:asciiTheme="minorHAnsi" w:hAnsiTheme="minorHAnsi" w:cstheme="minorHAnsi"/>
          <w:sz w:val="22"/>
          <w:szCs w:val="22"/>
          <w:bdr w:val="none" w:sz="0" w:space="0" w:color="auto" w:frame="1"/>
        </w:rPr>
        <w:t xml:space="preserve">, </w:t>
      </w:r>
      <w:r w:rsidRPr="00880FC3">
        <w:rPr>
          <w:rFonts w:asciiTheme="minorHAnsi" w:hAnsiTheme="minorHAnsi" w:cstheme="minorHAnsi"/>
          <w:bCs/>
          <w:sz w:val="22"/>
          <w:szCs w:val="22"/>
        </w:rPr>
        <w:t xml:space="preserve">Accreditamento istituzionale per le unità di offerta dei servizi socio sanitari area anziani, disabili, conferme a valere anno 2019. (L.R. n. 22/2002). (BUR n. </w:t>
      </w:r>
      <w:proofErr w:type="gramStart"/>
      <w:r w:rsidRPr="00880FC3">
        <w:rPr>
          <w:rFonts w:asciiTheme="minorHAnsi" w:hAnsiTheme="minorHAnsi" w:cstheme="minorHAnsi"/>
          <w:bCs/>
          <w:sz w:val="22"/>
          <w:szCs w:val="22"/>
        </w:rPr>
        <w:t>96  del</w:t>
      </w:r>
      <w:proofErr w:type="gramEnd"/>
      <w:r w:rsidRPr="00880FC3">
        <w:rPr>
          <w:rFonts w:asciiTheme="minorHAnsi" w:hAnsiTheme="minorHAnsi" w:cstheme="minorHAnsi"/>
          <w:bCs/>
          <w:sz w:val="22"/>
          <w:szCs w:val="22"/>
        </w:rPr>
        <w:t xml:space="preserve"> 27.8.19)</w:t>
      </w:r>
    </w:p>
    <w:p w:rsidR="008B746C" w:rsidRPr="00880FC3" w:rsidRDefault="008B746C" w:rsidP="008B746C">
      <w:pPr>
        <w:pStyle w:val="cust-dettaglio-tipo-atto"/>
        <w:shd w:val="clear" w:color="auto" w:fill="FFFFFF"/>
        <w:spacing w:before="0" w:beforeAutospacing="0" w:after="0" w:afterAutospacing="0" w:line="293" w:lineRule="atLeast"/>
        <w:textAlignment w:val="baseline"/>
        <w:rPr>
          <w:rFonts w:asciiTheme="minorHAnsi" w:hAnsiTheme="minorHAnsi" w:cstheme="minorHAnsi"/>
          <w:bCs/>
          <w:sz w:val="22"/>
          <w:szCs w:val="22"/>
        </w:rPr>
      </w:pPr>
    </w:p>
    <w:p w:rsidR="008B746C" w:rsidRPr="00DC3055" w:rsidRDefault="008B746C" w:rsidP="008B746C">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
          <w:bCs/>
          <w:sz w:val="22"/>
          <w:szCs w:val="22"/>
        </w:rPr>
      </w:pPr>
      <w:r w:rsidRPr="00880FC3">
        <w:rPr>
          <w:rFonts w:asciiTheme="minorHAnsi" w:hAnsiTheme="minorHAnsi" w:cstheme="minorHAnsi"/>
          <w:b/>
          <w:caps/>
          <w:sz w:val="22"/>
          <w:szCs w:val="22"/>
        </w:rPr>
        <w:t xml:space="preserve">DGR </w:t>
      </w:r>
      <w:r w:rsidRPr="00880FC3">
        <w:rPr>
          <w:rStyle w:val="cust-dettaglio-tipo-atto-num-data"/>
          <w:rFonts w:asciiTheme="minorHAnsi" w:hAnsiTheme="minorHAnsi" w:cstheme="minorHAnsi"/>
          <w:b/>
          <w:caps/>
          <w:sz w:val="22"/>
          <w:szCs w:val="22"/>
          <w:bdr w:val="none" w:sz="0" w:space="0" w:color="auto" w:frame="1"/>
        </w:rPr>
        <w:t xml:space="preserve">  </w:t>
      </w:r>
      <w:r w:rsidRPr="00880FC3">
        <w:rPr>
          <w:rStyle w:val="cust-dettaglio-tipo-atto-num-data"/>
          <w:rFonts w:asciiTheme="minorHAnsi" w:hAnsiTheme="minorHAnsi" w:cstheme="minorHAnsi"/>
          <w:b/>
          <w:sz w:val="22"/>
          <w:szCs w:val="22"/>
          <w:bdr w:val="none" w:sz="0" w:space="0" w:color="auto" w:frame="1"/>
        </w:rPr>
        <w:t>30 luglio 2019, n. 1103</w:t>
      </w:r>
      <w:r w:rsidRPr="00880FC3">
        <w:rPr>
          <w:rStyle w:val="cust-dettaglio-tipo-atto-num-data"/>
          <w:rFonts w:asciiTheme="minorHAnsi" w:hAnsiTheme="minorHAnsi" w:cstheme="minorHAnsi"/>
          <w:sz w:val="22"/>
          <w:szCs w:val="22"/>
          <w:bdr w:val="none" w:sz="0" w:space="0" w:color="auto" w:frame="1"/>
        </w:rPr>
        <w:t xml:space="preserve">, </w:t>
      </w:r>
      <w:r w:rsidRPr="00880FC3">
        <w:rPr>
          <w:rFonts w:asciiTheme="minorHAnsi" w:hAnsiTheme="minorHAnsi" w:cstheme="minorHAnsi"/>
          <w:bCs/>
          <w:sz w:val="22"/>
          <w:szCs w:val="22"/>
        </w:rPr>
        <w:t>Aggiornamento della DGR n. 84 del 16/1/2007 relativo alle unità di offerta RSA e CR a conclusione della sperimentazione di cui alle DGR n. 1667 del 17/10/2017 e DGR n. 1834 del 4/12/2018. Art. 5, comma 1 della LR n. 30 del 18/12/2009. DGR n. 76/CR del 12/07/2019. BUR n. 97 del 27.8.19</w:t>
      </w:r>
      <w:r w:rsidRPr="00DC3055">
        <w:rPr>
          <w:rFonts w:asciiTheme="minorHAnsi" w:hAnsiTheme="minorHAnsi" w:cstheme="minorHAnsi"/>
          <w:bCs/>
          <w:sz w:val="22"/>
          <w:szCs w:val="22"/>
        </w:rPr>
        <w:t>)</w:t>
      </w:r>
    </w:p>
    <w:p w:rsidR="008B746C" w:rsidRPr="000453EC" w:rsidRDefault="008B746C" w:rsidP="008B746C">
      <w:pPr>
        <w:pStyle w:val="cust-dettaglio-tipo-atto"/>
        <w:shd w:val="clear" w:color="auto" w:fill="FFFFFF"/>
        <w:spacing w:before="0" w:beforeAutospacing="0" w:after="0" w:afterAutospacing="0" w:line="293" w:lineRule="atLeast"/>
        <w:textAlignment w:val="baseline"/>
        <w:rPr>
          <w:rFonts w:asciiTheme="minorHAnsi" w:hAnsiTheme="minorHAnsi" w:cstheme="minorHAnsi"/>
          <w:bCs/>
          <w:color w:val="505050"/>
          <w:sz w:val="22"/>
          <w:szCs w:val="22"/>
        </w:rPr>
      </w:pPr>
    </w:p>
    <w:p w:rsidR="008B746C" w:rsidRPr="00DC3055" w:rsidRDefault="008B746C" w:rsidP="008B746C">
      <w:pPr>
        <w:pStyle w:val="cust-dettaglio-tipo-atto"/>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FFFFF"/>
        <w:spacing w:before="0" w:beforeAutospacing="0" w:after="0" w:afterAutospacing="0" w:line="20" w:lineRule="atLeast"/>
        <w:jc w:val="center"/>
        <w:textAlignment w:val="baseline"/>
        <w:rPr>
          <w:rFonts w:asciiTheme="minorHAnsi" w:hAnsiTheme="minorHAnsi" w:cstheme="minorHAnsi"/>
          <w:b/>
          <w:caps/>
          <w:sz w:val="22"/>
          <w:szCs w:val="22"/>
        </w:rPr>
      </w:pPr>
      <w:r w:rsidRPr="00DC3055">
        <w:rPr>
          <w:rFonts w:asciiTheme="minorHAnsi" w:hAnsiTheme="minorHAnsi" w:cstheme="minorHAnsi"/>
          <w:b/>
          <w:caps/>
          <w:sz w:val="22"/>
          <w:szCs w:val="22"/>
        </w:rPr>
        <w:t>PERSONE CON</w:t>
      </w:r>
      <w:r>
        <w:rPr>
          <w:rFonts w:asciiTheme="minorHAnsi" w:hAnsiTheme="minorHAnsi" w:cstheme="minorHAnsi"/>
          <w:b/>
          <w:caps/>
          <w:sz w:val="22"/>
          <w:szCs w:val="22"/>
        </w:rPr>
        <w:t xml:space="preserve"> </w:t>
      </w:r>
      <w:r w:rsidRPr="00DC3055">
        <w:rPr>
          <w:rFonts w:asciiTheme="minorHAnsi" w:hAnsiTheme="minorHAnsi" w:cstheme="minorHAnsi"/>
          <w:b/>
          <w:caps/>
          <w:sz w:val="22"/>
          <w:szCs w:val="22"/>
        </w:rPr>
        <w:t>DISABILITà</w:t>
      </w:r>
    </w:p>
    <w:p w:rsidR="008B746C" w:rsidRPr="00DC3055" w:rsidRDefault="008B746C" w:rsidP="008B746C">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
          <w:caps/>
          <w:sz w:val="22"/>
          <w:szCs w:val="22"/>
        </w:rPr>
      </w:pPr>
    </w:p>
    <w:p w:rsidR="008B746C" w:rsidRPr="00DC3055" w:rsidRDefault="008B746C" w:rsidP="008B746C">
      <w:pPr>
        <w:pStyle w:val="cust-dettaglio-tipo-atto"/>
        <w:shd w:val="clear" w:color="auto" w:fill="FFFFFF"/>
        <w:spacing w:before="0" w:beforeAutospacing="0" w:after="0" w:afterAutospacing="0" w:line="293" w:lineRule="atLeast"/>
        <w:jc w:val="both"/>
        <w:textAlignment w:val="baseline"/>
        <w:rPr>
          <w:rFonts w:asciiTheme="minorHAnsi" w:hAnsiTheme="minorHAnsi" w:cstheme="minorHAnsi"/>
          <w:bCs/>
          <w:sz w:val="22"/>
          <w:szCs w:val="22"/>
        </w:rPr>
      </w:pPr>
      <w:r w:rsidRPr="00DC3055">
        <w:rPr>
          <w:rFonts w:asciiTheme="minorHAnsi" w:hAnsiTheme="minorHAnsi" w:cstheme="minorHAnsi"/>
          <w:b/>
          <w:caps/>
          <w:sz w:val="22"/>
          <w:szCs w:val="22"/>
        </w:rPr>
        <w:t xml:space="preserve">DGR </w:t>
      </w:r>
      <w:r w:rsidRPr="00DC3055">
        <w:rPr>
          <w:rStyle w:val="cust-dettaglio-tipo-atto-num-data"/>
          <w:rFonts w:asciiTheme="minorHAnsi" w:hAnsiTheme="minorHAnsi" w:cstheme="minorHAnsi"/>
          <w:b/>
          <w:caps/>
          <w:sz w:val="22"/>
          <w:szCs w:val="22"/>
          <w:bdr w:val="none" w:sz="0" w:space="0" w:color="auto" w:frame="1"/>
        </w:rPr>
        <w:t xml:space="preserve">  </w:t>
      </w:r>
      <w:r w:rsidRPr="00DC3055">
        <w:rPr>
          <w:rStyle w:val="cust-dettaglio-tipo-atto-num-data"/>
          <w:rFonts w:asciiTheme="minorHAnsi" w:hAnsiTheme="minorHAnsi" w:cstheme="minorHAnsi"/>
          <w:b/>
          <w:sz w:val="22"/>
          <w:szCs w:val="22"/>
          <w:bdr w:val="none" w:sz="0" w:space="0" w:color="auto" w:frame="1"/>
        </w:rPr>
        <w:t>12 luglio 2019, n. 1034</w:t>
      </w:r>
      <w:r w:rsidRPr="00DC3055">
        <w:rPr>
          <w:rStyle w:val="cust-dettaglio-tipo-atto-num-data"/>
          <w:rFonts w:asciiTheme="minorHAnsi" w:hAnsiTheme="minorHAnsi" w:cstheme="minorHAnsi"/>
          <w:sz w:val="22"/>
          <w:szCs w:val="22"/>
          <w:bdr w:val="none" w:sz="0" w:space="0" w:color="auto" w:frame="1"/>
        </w:rPr>
        <w:t xml:space="preserve">, </w:t>
      </w:r>
      <w:r w:rsidRPr="00DC3055">
        <w:rPr>
          <w:rFonts w:asciiTheme="minorHAnsi" w:hAnsiTheme="minorHAnsi" w:cstheme="minorHAnsi"/>
          <w:bCs/>
          <w:sz w:val="22"/>
          <w:szCs w:val="22"/>
        </w:rPr>
        <w:t>DGR n. 104 del 05.02.2019 "Collaborazione tra ALISA - Sistema sanitario Regione Liguria e le Regioni Veneto, Marche, Umbria e Campania" alla realizzazione del progetto "I disturbi dello spettro autistico: strumenti e percorsi in età evolutiva finalizzati alla continuità delle cure".</w:t>
      </w:r>
      <w:r w:rsidRPr="00DC3055">
        <w:rPr>
          <w:rFonts w:asciiTheme="minorHAnsi" w:hAnsiTheme="minorHAnsi" w:cstheme="minorHAnsi"/>
          <w:b/>
          <w:bCs/>
          <w:sz w:val="22"/>
          <w:szCs w:val="22"/>
        </w:rPr>
        <w:t xml:space="preserve"> </w:t>
      </w:r>
      <w:r w:rsidRPr="00DC3055">
        <w:rPr>
          <w:rFonts w:asciiTheme="minorHAnsi" w:hAnsiTheme="minorHAnsi" w:cstheme="minorHAnsi"/>
          <w:bCs/>
          <w:sz w:val="22"/>
          <w:szCs w:val="22"/>
        </w:rPr>
        <w:t xml:space="preserve">(BUR n. </w:t>
      </w:r>
      <w:proofErr w:type="gramStart"/>
      <w:r w:rsidRPr="00DC3055">
        <w:rPr>
          <w:rFonts w:asciiTheme="minorHAnsi" w:hAnsiTheme="minorHAnsi" w:cstheme="minorHAnsi"/>
          <w:bCs/>
          <w:sz w:val="22"/>
          <w:szCs w:val="22"/>
        </w:rPr>
        <w:t>96  del</w:t>
      </w:r>
      <w:proofErr w:type="gramEnd"/>
      <w:r w:rsidRPr="00DC3055">
        <w:rPr>
          <w:rFonts w:asciiTheme="minorHAnsi" w:hAnsiTheme="minorHAnsi" w:cstheme="minorHAnsi"/>
          <w:bCs/>
          <w:sz w:val="22"/>
          <w:szCs w:val="22"/>
        </w:rPr>
        <w:t xml:space="preserve"> 27.8.19)</w:t>
      </w:r>
    </w:p>
    <w:p w:rsidR="008B746C" w:rsidRPr="000453EC" w:rsidRDefault="008B746C" w:rsidP="008B746C">
      <w:pPr>
        <w:spacing w:after="0" w:line="20" w:lineRule="atLeast"/>
        <w:jc w:val="center"/>
        <w:rPr>
          <w:rFonts w:cstheme="minorHAnsi"/>
          <w:b/>
        </w:rPr>
      </w:pPr>
    </w:p>
    <w:p w:rsidR="008B746C" w:rsidRPr="00CA7E42"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CA7E42">
        <w:rPr>
          <w:rFonts w:cstheme="minorHAnsi"/>
          <w:b/>
        </w:rPr>
        <w:t>POVERTÀ INCLUSIONE SOCIALE</w:t>
      </w:r>
    </w:p>
    <w:p w:rsidR="008B746C" w:rsidRPr="006B0B81" w:rsidRDefault="008B746C" w:rsidP="008B746C">
      <w:pPr>
        <w:spacing w:after="0" w:line="20" w:lineRule="atLeast"/>
        <w:jc w:val="both"/>
        <w:rPr>
          <w:rFonts w:cstheme="minorHAnsi"/>
        </w:rPr>
      </w:pPr>
    </w:p>
    <w:p w:rsidR="008B746C" w:rsidRDefault="008B746C" w:rsidP="008B746C">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Cs/>
          <w:sz w:val="22"/>
          <w:szCs w:val="22"/>
        </w:rPr>
      </w:pPr>
      <w:r w:rsidRPr="00CA7E42">
        <w:rPr>
          <w:rFonts w:asciiTheme="minorHAnsi" w:hAnsiTheme="minorHAnsi" w:cstheme="minorHAnsi"/>
          <w:b/>
          <w:caps/>
          <w:sz w:val="22"/>
          <w:szCs w:val="22"/>
        </w:rPr>
        <w:t xml:space="preserve">DGR </w:t>
      </w:r>
      <w:r w:rsidRPr="00CA7E42">
        <w:rPr>
          <w:rStyle w:val="cust-dettaglio-tipo-atto-num-data"/>
          <w:rFonts w:asciiTheme="minorHAnsi" w:eastAsiaTheme="majorEastAsia" w:hAnsiTheme="minorHAnsi" w:cstheme="minorHAnsi"/>
          <w:b/>
          <w:caps/>
          <w:sz w:val="22"/>
          <w:szCs w:val="22"/>
          <w:bdr w:val="none" w:sz="0" w:space="0" w:color="auto" w:frame="1"/>
        </w:rPr>
        <w:t xml:space="preserve">  </w:t>
      </w:r>
      <w:r w:rsidRPr="00CA7E42">
        <w:rPr>
          <w:rStyle w:val="cust-dettaglio-tipo-atto-num-data"/>
          <w:rFonts w:asciiTheme="minorHAnsi" w:eastAsiaTheme="majorEastAsia" w:hAnsiTheme="minorHAnsi" w:cstheme="minorHAnsi"/>
          <w:b/>
          <w:sz w:val="22"/>
          <w:szCs w:val="22"/>
          <w:bdr w:val="none" w:sz="0" w:space="0" w:color="auto" w:frame="1"/>
        </w:rPr>
        <w:t>30 luglio 2019, n. 1106</w:t>
      </w:r>
      <w:r w:rsidRPr="00CA7E42">
        <w:rPr>
          <w:rFonts w:asciiTheme="minorHAnsi" w:hAnsiTheme="minorHAnsi" w:cstheme="minorHAnsi"/>
          <w:bCs/>
          <w:sz w:val="22"/>
          <w:szCs w:val="22"/>
        </w:rPr>
        <w:t>, Finanziamento progettualità finalizzate all'inclusione e al reinserimento sociale e/o lavorativo, per il sostegno all'abitare e la povertà educativa delle fasce socialmente deboli all'interno di un progetto personalizzato di presa in carico - Reddito di Inclusione Attiva (R.I.A.) prosecuzione ed estensione della sperimentazione a tutti i comuni della Regione. (BUR n. 86 del 2.8.19)</w:t>
      </w:r>
    </w:p>
    <w:p w:rsidR="008B746C" w:rsidRDefault="008B746C" w:rsidP="008B746C">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Cs/>
          <w:sz w:val="22"/>
          <w:szCs w:val="22"/>
        </w:rPr>
      </w:pPr>
    </w:p>
    <w:p w:rsidR="008B746C" w:rsidRPr="00DC3055" w:rsidRDefault="008B746C" w:rsidP="008B746C">
      <w:pPr>
        <w:pStyle w:val="cust-dettaglio-tipo-atto"/>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FFFFF"/>
        <w:spacing w:before="0" w:beforeAutospacing="0" w:after="0" w:afterAutospacing="0" w:line="20" w:lineRule="atLeast"/>
        <w:jc w:val="center"/>
        <w:textAlignment w:val="baseline"/>
        <w:rPr>
          <w:rFonts w:asciiTheme="minorHAnsi" w:hAnsiTheme="minorHAnsi" w:cstheme="minorHAnsi"/>
          <w:b/>
          <w:caps/>
          <w:sz w:val="22"/>
          <w:szCs w:val="22"/>
        </w:rPr>
      </w:pPr>
      <w:r w:rsidRPr="00DC3055">
        <w:rPr>
          <w:rFonts w:asciiTheme="minorHAnsi" w:hAnsiTheme="minorHAnsi" w:cstheme="minorHAnsi"/>
          <w:b/>
          <w:caps/>
          <w:sz w:val="22"/>
          <w:szCs w:val="22"/>
        </w:rPr>
        <w:t>SANITà</w:t>
      </w:r>
    </w:p>
    <w:p w:rsidR="008B746C" w:rsidRPr="00DC3055" w:rsidRDefault="008B746C" w:rsidP="008B746C">
      <w:pPr>
        <w:pStyle w:val="cust-dettaglio-tipo-atto"/>
        <w:shd w:val="clear" w:color="auto" w:fill="FFFFFF"/>
        <w:spacing w:before="0" w:beforeAutospacing="0" w:after="0" w:afterAutospacing="0" w:line="293" w:lineRule="atLeast"/>
        <w:textAlignment w:val="baseline"/>
        <w:rPr>
          <w:rFonts w:asciiTheme="minorHAnsi" w:hAnsiTheme="minorHAnsi" w:cstheme="minorHAnsi"/>
          <w:b/>
          <w:caps/>
          <w:sz w:val="22"/>
          <w:szCs w:val="22"/>
        </w:rPr>
      </w:pPr>
    </w:p>
    <w:p w:rsidR="008B746C" w:rsidRPr="00DC3055" w:rsidRDefault="008B746C" w:rsidP="008B746C">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Cs/>
          <w:sz w:val="22"/>
          <w:szCs w:val="22"/>
        </w:rPr>
      </w:pPr>
      <w:r w:rsidRPr="00DC3055">
        <w:rPr>
          <w:rFonts w:asciiTheme="minorHAnsi" w:hAnsiTheme="minorHAnsi" w:cstheme="minorHAnsi"/>
          <w:b/>
          <w:caps/>
          <w:sz w:val="22"/>
          <w:szCs w:val="22"/>
        </w:rPr>
        <w:t xml:space="preserve">DGR </w:t>
      </w:r>
      <w:r w:rsidRPr="00DC3055">
        <w:rPr>
          <w:rStyle w:val="cust-dettaglio-tipo-atto-num-data"/>
          <w:rFonts w:asciiTheme="minorHAnsi" w:hAnsiTheme="minorHAnsi" w:cstheme="minorHAnsi"/>
          <w:b/>
          <w:caps/>
          <w:sz w:val="22"/>
          <w:szCs w:val="22"/>
          <w:bdr w:val="none" w:sz="0" w:space="0" w:color="auto" w:frame="1"/>
        </w:rPr>
        <w:t xml:space="preserve">  </w:t>
      </w:r>
      <w:r w:rsidRPr="00DC3055">
        <w:rPr>
          <w:rStyle w:val="cust-dettaglio-tipo-atto-num-data"/>
          <w:rFonts w:asciiTheme="minorHAnsi" w:hAnsiTheme="minorHAnsi" w:cstheme="minorHAnsi"/>
          <w:b/>
          <w:sz w:val="22"/>
          <w:szCs w:val="22"/>
          <w:bdr w:val="none" w:sz="0" w:space="0" w:color="auto" w:frame="1"/>
        </w:rPr>
        <w:t>12 luglio 2019, n. 1035</w:t>
      </w:r>
      <w:r w:rsidRPr="00DC3055">
        <w:rPr>
          <w:rStyle w:val="cust-dettaglio-tipo-atto-num-data"/>
          <w:rFonts w:asciiTheme="minorHAnsi" w:hAnsiTheme="minorHAnsi" w:cstheme="minorHAnsi"/>
          <w:sz w:val="22"/>
          <w:szCs w:val="22"/>
          <w:bdr w:val="none" w:sz="0" w:space="0" w:color="auto" w:frame="1"/>
        </w:rPr>
        <w:t xml:space="preserve">, </w:t>
      </w:r>
      <w:r w:rsidRPr="00DC3055">
        <w:rPr>
          <w:rFonts w:asciiTheme="minorHAnsi" w:hAnsiTheme="minorHAnsi" w:cstheme="minorHAnsi"/>
          <w:bCs/>
          <w:sz w:val="22"/>
          <w:szCs w:val="22"/>
        </w:rPr>
        <w:t xml:space="preserve">Approvazione delle disposizioni operative per l'efficientamento del modello organizzativo di Pronto Soccorso ed individuazione delle azioni per il governo del personale di Pronto Soccorso. PSSR 2019-2023. (BUR n. </w:t>
      </w:r>
      <w:proofErr w:type="gramStart"/>
      <w:r w:rsidRPr="00DC3055">
        <w:rPr>
          <w:rFonts w:asciiTheme="minorHAnsi" w:hAnsiTheme="minorHAnsi" w:cstheme="minorHAnsi"/>
          <w:bCs/>
          <w:sz w:val="22"/>
          <w:szCs w:val="22"/>
        </w:rPr>
        <w:t>96  del</w:t>
      </w:r>
      <w:proofErr w:type="gramEnd"/>
      <w:r w:rsidRPr="00DC3055">
        <w:rPr>
          <w:rFonts w:asciiTheme="minorHAnsi" w:hAnsiTheme="minorHAnsi" w:cstheme="minorHAnsi"/>
          <w:bCs/>
          <w:sz w:val="22"/>
          <w:szCs w:val="22"/>
        </w:rPr>
        <w:t xml:space="preserve"> 27.8.19)</w:t>
      </w:r>
    </w:p>
    <w:p w:rsidR="008B746C" w:rsidRPr="00DC3055" w:rsidRDefault="008B746C" w:rsidP="008B746C">
      <w:pPr>
        <w:pStyle w:val="cust-dettaglio-tipo-atto"/>
        <w:shd w:val="clear" w:color="auto" w:fill="FFFFFF"/>
        <w:spacing w:before="0" w:beforeAutospacing="0" w:after="0" w:afterAutospacing="0" w:line="293" w:lineRule="atLeast"/>
        <w:textAlignment w:val="baseline"/>
        <w:rPr>
          <w:rFonts w:asciiTheme="minorHAnsi" w:hAnsiTheme="minorHAnsi" w:cstheme="minorHAnsi"/>
          <w:bCs/>
          <w:sz w:val="22"/>
          <w:szCs w:val="22"/>
        </w:rPr>
      </w:pPr>
    </w:p>
    <w:p w:rsidR="008B746C" w:rsidRDefault="008B746C" w:rsidP="008B746C">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Cs/>
          <w:sz w:val="22"/>
          <w:szCs w:val="22"/>
        </w:rPr>
      </w:pPr>
      <w:r w:rsidRPr="00DC3055">
        <w:rPr>
          <w:rFonts w:asciiTheme="minorHAnsi" w:hAnsiTheme="minorHAnsi" w:cstheme="minorHAnsi"/>
          <w:b/>
          <w:caps/>
          <w:sz w:val="22"/>
          <w:szCs w:val="22"/>
        </w:rPr>
        <w:t xml:space="preserve">DGR </w:t>
      </w:r>
      <w:r w:rsidRPr="00DC3055">
        <w:rPr>
          <w:rStyle w:val="cust-dettaglio-tipo-atto-num-data"/>
          <w:rFonts w:asciiTheme="minorHAnsi" w:hAnsiTheme="minorHAnsi" w:cstheme="minorHAnsi"/>
          <w:b/>
          <w:caps/>
          <w:sz w:val="22"/>
          <w:szCs w:val="22"/>
          <w:bdr w:val="none" w:sz="0" w:space="0" w:color="auto" w:frame="1"/>
        </w:rPr>
        <w:t xml:space="preserve">  </w:t>
      </w:r>
      <w:r w:rsidRPr="00DC3055">
        <w:rPr>
          <w:rStyle w:val="cust-dettaglio-tipo-atto-num-data"/>
          <w:rFonts w:asciiTheme="minorHAnsi" w:hAnsiTheme="minorHAnsi" w:cstheme="minorHAnsi"/>
          <w:b/>
          <w:sz w:val="22"/>
          <w:szCs w:val="22"/>
          <w:bdr w:val="none" w:sz="0" w:space="0" w:color="auto" w:frame="1"/>
        </w:rPr>
        <w:t>30 luglio 2019, n. 1101</w:t>
      </w:r>
      <w:r w:rsidRPr="00DC3055">
        <w:rPr>
          <w:rStyle w:val="cust-dettaglio-tipo-atto-num-data"/>
          <w:rFonts w:asciiTheme="minorHAnsi" w:hAnsiTheme="minorHAnsi" w:cstheme="minorHAnsi"/>
          <w:sz w:val="22"/>
          <w:szCs w:val="22"/>
          <w:bdr w:val="none" w:sz="0" w:space="0" w:color="auto" w:frame="1"/>
        </w:rPr>
        <w:t xml:space="preserve">, </w:t>
      </w:r>
      <w:r w:rsidRPr="00DC3055">
        <w:rPr>
          <w:rFonts w:asciiTheme="minorHAnsi" w:hAnsiTheme="minorHAnsi" w:cstheme="minorHAnsi"/>
          <w:bCs/>
          <w:sz w:val="22"/>
          <w:szCs w:val="22"/>
        </w:rPr>
        <w:t>Finanziamento dell'intero Sistema Regionale Trapianti per l'anno 2019 ed approvazione del piano di attività, per l'anno 2019, del Coordinamento Regionale per i Trapianti. (BUR n. 97 del 27.8.19)</w:t>
      </w:r>
    </w:p>
    <w:p w:rsidR="008B746C" w:rsidRDefault="008B746C" w:rsidP="008B746C">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Cs/>
          <w:sz w:val="22"/>
          <w:szCs w:val="22"/>
        </w:rPr>
      </w:pPr>
    </w:p>
    <w:p w:rsidR="008B746C" w:rsidRPr="00DC3055" w:rsidRDefault="008B746C" w:rsidP="008B746C">
      <w:pPr>
        <w:pStyle w:val="cust-dettaglio-tipo-atto"/>
        <w:shd w:val="clear" w:color="auto" w:fill="FFFFFF"/>
        <w:spacing w:before="0" w:beforeAutospacing="0" w:after="0" w:afterAutospacing="0" w:line="293" w:lineRule="atLeast"/>
        <w:jc w:val="both"/>
        <w:textAlignment w:val="baseline"/>
        <w:rPr>
          <w:rFonts w:asciiTheme="minorHAnsi" w:hAnsiTheme="minorHAnsi" w:cstheme="minorHAnsi"/>
          <w:bCs/>
          <w:sz w:val="22"/>
          <w:szCs w:val="22"/>
        </w:rPr>
      </w:pPr>
      <w:r w:rsidRPr="00DC3055">
        <w:rPr>
          <w:rFonts w:asciiTheme="minorHAnsi" w:hAnsiTheme="minorHAnsi" w:cstheme="minorHAnsi"/>
          <w:b/>
          <w:caps/>
          <w:sz w:val="22"/>
          <w:szCs w:val="22"/>
        </w:rPr>
        <w:t xml:space="preserve">DGR </w:t>
      </w:r>
      <w:r w:rsidRPr="00DC3055">
        <w:rPr>
          <w:rStyle w:val="cust-dettaglio-tipo-atto-num-data"/>
          <w:rFonts w:asciiTheme="minorHAnsi" w:hAnsiTheme="minorHAnsi" w:cstheme="minorHAnsi"/>
          <w:b/>
          <w:caps/>
          <w:sz w:val="22"/>
          <w:szCs w:val="22"/>
          <w:bdr w:val="none" w:sz="0" w:space="0" w:color="auto" w:frame="1"/>
        </w:rPr>
        <w:t> </w:t>
      </w:r>
      <w:r w:rsidRPr="00DC3055">
        <w:rPr>
          <w:rStyle w:val="cust-dettaglio-tipo-atto-num-data"/>
          <w:rFonts w:asciiTheme="minorHAnsi" w:hAnsiTheme="minorHAnsi" w:cstheme="minorHAnsi"/>
          <w:b/>
          <w:sz w:val="22"/>
          <w:szCs w:val="22"/>
          <w:bdr w:val="none" w:sz="0" w:space="0" w:color="auto" w:frame="1"/>
        </w:rPr>
        <w:t>14 agosto 2019, n. 1225</w:t>
      </w:r>
      <w:r w:rsidRPr="00DC3055">
        <w:rPr>
          <w:rStyle w:val="cust-dettaglio-tipo-atto-num-data"/>
          <w:rFonts w:asciiTheme="minorHAnsi" w:hAnsiTheme="minorHAnsi" w:cstheme="minorHAnsi"/>
          <w:caps/>
          <w:sz w:val="22"/>
          <w:szCs w:val="22"/>
          <w:bdr w:val="none" w:sz="0" w:space="0" w:color="auto" w:frame="1"/>
        </w:rPr>
        <w:t xml:space="preserve">, </w:t>
      </w:r>
      <w:r w:rsidRPr="00DC3055">
        <w:rPr>
          <w:rFonts w:asciiTheme="minorHAnsi" w:hAnsiTheme="minorHAnsi" w:cstheme="minorHAnsi"/>
          <w:bCs/>
          <w:sz w:val="22"/>
          <w:szCs w:val="22"/>
        </w:rPr>
        <w:t xml:space="preserve">Carenza di dirigenti medici nelle aziende ed enti del servizio sanitario regionale: indicazioni operative per garantire il fabbisogno di professionisti e avvio di un percorso formativo nell'area internistica. (BUR n. </w:t>
      </w:r>
      <w:proofErr w:type="gramStart"/>
      <w:r w:rsidRPr="00DC3055">
        <w:rPr>
          <w:rFonts w:asciiTheme="minorHAnsi" w:hAnsiTheme="minorHAnsi" w:cstheme="minorHAnsi"/>
          <w:bCs/>
          <w:sz w:val="22"/>
          <w:szCs w:val="22"/>
        </w:rPr>
        <w:t>96  del</w:t>
      </w:r>
      <w:proofErr w:type="gramEnd"/>
      <w:r w:rsidRPr="00DC3055">
        <w:rPr>
          <w:rFonts w:asciiTheme="minorHAnsi" w:hAnsiTheme="minorHAnsi" w:cstheme="minorHAnsi"/>
          <w:bCs/>
          <w:sz w:val="22"/>
          <w:szCs w:val="22"/>
        </w:rPr>
        <w:t xml:space="preserve"> 27.8.19)</w:t>
      </w:r>
    </w:p>
    <w:p w:rsidR="008B746C" w:rsidRDefault="008B746C" w:rsidP="008B746C">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Cs/>
          <w:color w:val="505050"/>
          <w:sz w:val="22"/>
          <w:szCs w:val="22"/>
        </w:rPr>
      </w:pPr>
    </w:p>
    <w:p w:rsidR="008B746C" w:rsidRDefault="008B746C" w:rsidP="008B746C">
      <w:pPr>
        <w:spacing w:after="0" w:line="20" w:lineRule="atLeast"/>
        <w:jc w:val="center"/>
        <w:rPr>
          <w:rFonts w:ascii="Broadway" w:hAnsi="Broadway" w:cstheme="majorHAnsi"/>
          <w:b/>
          <w:sz w:val="40"/>
          <w:szCs w:val="40"/>
        </w:rPr>
      </w:pPr>
      <w:r>
        <w:rPr>
          <w:rFonts w:ascii="Broadway" w:hAnsi="Broadway" w:cstheme="majorHAnsi"/>
          <w:b/>
          <w:sz w:val="40"/>
          <w:szCs w:val="40"/>
        </w:rPr>
        <w:t>BOLZANO</w:t>
      </w:r>
    </w:p>
    <w:p w:rsidR="008B746C" w:rsidRDefault="008B746C" w:rsidP="008B746C">
      <w:pPr>
        <w:spacing w:after="0" w:line="20" w:lineRule="atLeast"/>
        <w:jc w:val="center"/>
        <w:rPr>
          <w:rFonts w:ascii="Broadway" w:hAnsi="Broadway" w:cstheme="majorHAnsi"/>
          <w:b/>
          <w:sz w:val="40"/>
          <w:szCs w:val="40"/>
        </w:rPr>
      </w:pPr>
    </w:p>
    <w:p w:rsidR="008B746C"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b/>
        </w:rPr>
      </w:pPr>
      <w:r>
        <w:rPr>
          <w:b/>
        </w:rPr>
        <w:t>ANZIANI</w:t>
      </w:r>
    </w:p>
    <w:p w:rsidR="008B746C" w:rsidRDefault="008B746C" w:rsidP="008B746C">
      <w:pPr>
        <w:spacing w:after="0" w:line="20" w:lineRule="atLeast"/>
        <w:jc w:val="both"/>
        <w:rPr>
          <w:b/>
        </w:rPr>
      </w:pPr>
    </w:p>
    <w:p w:rsidR="008B746C" w:rsidRDefault="008B746C" w:rsidP="008B746C">
      <w:pPr>
        <w:spacing w:after="0" w:line="20" w:lineRule="atLeast"/>
        <w:jc w:val="both"/>
      </w:pPr>
      <w:r w:rsidRPr="009877DF">
        <w:rPr>
          <w:b/>
        </w:rPr>
        <w:t>DGP 30 luglio 2019, n. 667</w:t>
      </w:r>
      <w:r>
        <w:t>, Accompagnamento e assistenza abitativa per anziani - revoca della deliberazione 7 marzo 2017, n. 254 (BUR n. 33 del 16.8.19)</w:t>
      </w:r>
    </w:p>
    <w:p w:rsidR="008B746C" w:rsidRDefault="008B746C" w:rsidP="008B746C">
      <w:pPr>
        <w:spacing w:after="0" w:line="20" w:lineRule="atLeast"/>
        <w:jc w:val="both"/>
      </w:pPr>
    </w:p>
    <w:p w:rsidR="008B746C" w:rsidRPr="00237BF6" w:rsidRDefault="008B746C" w:rsidP="008B746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237BF6">
        <w:rPr>
          <w:rFonts w:cstheme="minorHAnsi"/>
          <w:b/>
        </w:rPr>
        <w:t>MINORI</w:t>
      </w:r>
    </w:p>
    <w:p w:rsidR="008B746C" w:rsidRPr="001E570E" w:rsidRDefault="008B746C" w:rsidP="008B746C">
      <w:pPr>
        <w:spacing w:after="0" w:line="20" w:lineRule="atLeast"/>
        <w:jc w:val="both"/>
        <w:rPr>
          <w:rFonts w:cstheme="minorHAnsi"/>
        </w:rPr>
      </w:pPr>
    </w:p>
    <w:p w:rsidR="008B746C" w:rsidRDefault="008B746C" w:rsidP="008B746C">
      <w:pPr>
        <w:spacing w:after="0" w:line="20" w:lineRule="atLeast"/>
        <w:jc w:val="both"/>
        <w:rPr>
          <w:rFonts w:cstheme="minorHAnsi"/>
        </w:rPr>
      </w:pPr>
      <w:r w:rsidRPr="00237BF6">
        <w:rPr>
          <w:rFonts w:cstheme="minorHAnsi"/>
          <w:b/>
        </w:rPr>
        <w:t xml:space="preserve"> DGP 30 luglio 2019, n. </w:t>
      </w:r>
      <w:proofErr w:type="gramStart"/>
      <w:r w:rsidRPr="00237BF6">
        <w:rPr>
          <w:rFonts w:cstheme="minorHAnsi"/>
          <w:b/>
        </w:rPr>
        <w:t>666,</w:t>
      </w:r>
      <w:r w:rsidRPr="001E570E">
        <w:rPr>
          <w:rFonts w:cstheme="minorHAnsi"/>
        </w:rPr>
        <w:t xml:space="preserve">  Approvazione</w:t>
      </w:r>
      <w:proofErr w:type="gramEnd"/>
      <w:r w:rsidRPr="001E570E">
        <w:rPr>
          <w:rFonts w:cstheme="minorHAnsi"/>
        </w:rPr>
        <w:t xml:space="preserve"> dei Criteri per il finanziamento di microstrutture e del servizio di assistenza domiciliare all’infanzia e revoca della deliberazione n. 1198 del 20 novembre 2018.  </w:t>
      </w:r>
      <w:r>
        <w:rPr>
          <w:rFonts w:cstheme="minorHAnsi"/>
        </w:rPr>
        <w:t>(</w:t>
      </w:r>
      <w:r w:rsidRPr="001E570E">
        <w:rPr>
          <w:rFonts w:cstheme="minorHAnsi"/>
        </w:rPr>
        <w:t>BUR n. 35 del 29</w:t>
      </w:r>
      <w:r>
        <w:rPr>
          <w:rFonts w:cstheme="minorHAnsi"/>
        </w:rPr>
        <w:t>.</w:t>
      </w:r>
      <w:r w:rsidRPr="001E570E">
        <w:rPr>
          <w:rFonts w:cstheme="minorHAnsi"/>
        </w:rPr>
        <w:t>8.19</w:t>
      </w:r>
      <w:r>
        <w:rPr>
          <w:rFonts w:cstheme="minorHAnsi"/>
        </w:rPr>
        <w:t>)</w:t>
      </w:r>
    </w:p>
    <w:p w:rsidR="008B746C" w:rsidRDefault="008B746C" w:rsidP="00C7458B">
      <w:pPr>
        <w:tabs>
          <w:tab w:val="left" w:pos="8460"/>
        </w:tabs>
        <w:spacing w:line="20" w:lineRule="atLeast"/>
        <w:jc w:val="center"/>
        <w:rPr>
          <w:rFonts w:ascii="Algerian" w:hAnsi="Algerian" w:cs="Times New Roman"/>
          <w:b/>
          <w:bCs/>
          <w:sz w:val="52"/>
          <w:szCs w:val="52"/>
        </w:rPr>
      </w:pPr>
    </w:p>
    <w:p w:rsidR="00E93539" w:rsidRDefault="00E93539" w:rsidP="00C7458B">
      <w:pPr>
        <w:tabs>
          <w:tab w:val="left" w:pos="8460"/>
        </w:tabs>
        <w:spacing w:line="20" w:lineRule="atLeast"/>
        <w:jc w:val="center"/>
        <w:rPr>
          <w:rFonts w:ascii="Algerian" w:hAnsi="Algerian" w:cs="Times New Roman"/>
          <w:b/>
          <w:bCs/>
          <w:sz w:val="52"/>
          <w:szCs w:val="52"/>
        </w:rPr>
      </w:pPr>
    </w:p>
    <w:p w:rsidR="00E93539" w:rsidRDefault="00E93539" w:rsidP="00E93539">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EFEFE"/>
        <w:spacing w:after="0" w:line="20" w:lineRule="atLeast"/>
        <w:jc w:val="center"/>
        <w:outlineLvl w:val="1"/>
        <w:rPr>
          <w:b/>
        </w:rPr>
      </w:pPr>
      <w:r>
        <w:rPr>
          <w:b/>
        </w:rPr>
        <w:t>ASSISTENZA PENITENZIARIA</w:t>
      </w:r>
    </w:p>
    <w:p w:rsidR="00E93539" w:rsidRDefault="00E93539" w:rsidP="00E93539">
      <w:pPr>
        <w:shd w:val="clear" w:color="auto" w:fill="FEFEFE"/>
        <w:spacing w:after="0" w:line="20" w:lineRule="atLeast"/>
        <w:jc w:val="both"/>
        <w:outlineLvl w:val="1"/>
        <w:rPr>
          <w:b/>
        </w:rPr>
      </w:pPr>
    </w:p>
    <w:p w:rsidR="00E93539" w:rsidRDefault="00E93539" w:rsidP="00E93539">
      <w:pPr>
        <w:shd w:val="clear" w:color="auto" w:fill="FEFEFE"/>
        <w:spacing w:after="0" w:line="20" w:lineRule="atLeast"/>
        <w:jc w:val="both"/>
        <w:outlineLvl w:val="1"/>
      </w:pPr>
      <w:r w:rsidRPr="00D7601F">
        <w:rPr>
          <w:b/>
        </w:rPr>
        <w:t xml:space="preserve">DPCM 10 aprile 2019, n. </w:t>
      </w:r>
      <w:proofErr w:type="gramStart"/>
      <w:r w:rsidRPr="00D7601F">
        <w:rPr>
          <w:b/>
        </w:rPr>
        <w:t>89</w:t>
      </w:r>
      <w:r>
        <w:rPr>
          <w:b/>
        </w:rPr>
        <w:t xml:space="preserve">, </w:t>
      </w:r>
      <w:r w:rsidRPr="00D7601F">
        <w:rPr>
          <w:b/>
        </w:rPr>
        <w:t xml:space="preserve"> </w:t>
      </w:r>
      <w:r>
        <w:t>Regolamento</w:t>
      </w:r>
      <w:proofErr w:type="gramEnd"/>
      <w:r>
        <w:t xml:space="preserve"> concernente la determinazione della struttura e della composizione dell’Ufficio posto alle dipendenze del Garante nazionale dei diritti delle persone detenute o private della libertà personale.  (GU n. 193 del 19.8.19)</w:t>
      </w:r>
    </w:p>
    <w:p w:rsidR="00E93539" w:rsidRDefault="00E93539" w:rsidP="00E93539">
      <w:pPr>
        <w:shd w:val="clear" w:color="auto" w:fill="FEFEFE"/>
        <w:spacing w:after="0" w:line="20" w:lineRule="atLeast"/>
        <w:jc w:val="both"/>
        <w:outlineLvl w:val="1"/>
      </w:pPr>
      <w:r>
        <w:t xml:space="preserve">IL PRESIDENTE DEL CONSIGLIO DEI MINISTRI </w:t>
      </w:r>
    </w:p>
    <w:p w:rsidR="00E93539" w:rsidRDefault="00E93539" w:rsidP="00E93539">
      <w:pPr>
        <w:shd w:val="clear" w:color="auto" w:fill="FEFEFE"/>
        <w:spacing w:after="0" w:line="20" w:lineRule="atLeast"/>
        <w:jc w:val="both"/>
        <w:outlineLvl w:val="1"/>
      </w:pPr>
      <w:r>
        <w:t xml:space="preserve">Visto il decreto-legge 23 dicembre 2013, n. 146, convertito, con modificazioni, dalla legge 21 febbraio 2014, n. 10, e successive modificazioni ed integrazioni, recante «Misure urgenti in tema di tutela dei diritti fondamentali dei detenuti e di riduzione controllata della popolazione carceraria» e, in particolare, l’articolo 7; </w:t>
      </w:r>
    </w:p>
    <w:p w:rsidR="00E93539" w:rsidRDefault="00E93539" w:rsidP="00E93539">
      <w:pPr>
        <w:shd w:val="clear" w:color="auto" w:fill="FEFEFE"/>
        <w:spacing w:after="0" w:line="20" w:lineRule="atLeast"/>
        <w:jc w:val="both"/>
        <w:outlineLvl w:val="1"/>
      </w:pPr>
      <w:r>
        <w:t>Visto la legge 23 agosto 1988, n. 400, recante «Disciplina dell’attività di Governo e ordinamento della Presidenza del Consiglio dei ministri» e, in particolare, l’articolo 17, comma 3; Vista la legge 15 maggio 1997, n. 127, recante «Misure urgenti per lo snellimento dell’attività amministrativa e dei procedimenti di decisione e di controllo» e, in particolare, l’articolo 17, comma 14;</w:t>
      </w:r>
    </w:p>
    <w:p w:rsidR="00E93539" w:rsidRDefault="00E93539" w:rsidP="00E93539">
      <w:pPr>
        <w:shd w:val="clear" w:color="auto" w:fill="FEFEFE"/>
        <w:spacing w:after="0" w:line="20" w:lineRule="atLeast"/>
        <w:jc w:val="both"/>
        <w:outlineLvl w:val="1"/>
      </w:pPr>
      <w:r>
        <w:t xml:space="preserve">Visto il decreto legislativo 25 luglio 1998, n. 286, recante «Testo unico delle disposizioni concernenti la disciplina dell’immigrazione e norme sulla condizione dello straniero»; Visto il decreto legislativo 30 marzo 2001, n. 165, recante «Norme generali sull’ordinamento del lavoro alle dipendenze delle pubbliche amministrazioni»; </w:t>
      </w:r>
    </w:p>
    <w:p w:rsidR="00E93539" w:rsidRDefault="00E93539" w:rsidP="00E93539">
      <w:pPr>
        <w:shd w:val="clear" w:color="auto" w:fill="FEFEFE"/>
        <w:spacing w:after="0" w:line="20" w:lineRule="atLeast"/>
        <w:jc w:val="both"/>
        <w:outlineLvl w:val="1"/>
      </w:pPr>
      <w:r>
        <w:t xml:space="preserve">Vista la direttiva 2008/115/CE del Parlamento europeo e del Consiglio dell’Unione europea recante «Norme e procedure comuni applicabili negli Stati membri al rimpatrio di cittadini di paesi terzi il cui soggiorno è irregolare» e, in particolare, l’articolo 8, comma 6; </w:t>
      </w:r>
    </w:p>
    <w:p w:rsidR="00E93539" w:rsidRDefault="00E93539" w:rsidP="00E93539">
      <w:pPr>
        <w:shd w:val="clear" w:color="auto" w:fill="FEFEFE"/>
        <w:spacing w:after="0" w:line="20" w:lineRule="atLeast"/>
        <w:jc w:val="both"/>
        <w:outlineLvl w:val="1"/>
      </w:pPr>
      <w:r>
        <w:t xml:space="preserve">Vista la legge 9 novembre 2012, n. 195, recante «Ratifica ed esecuzione del protocollo opzionale alla Convenzione delle Nazioni Unite contro la tortura e altri trattamenti o pene crudeli, inumani o degradanti, fatto a New York il 18 dicembre 2002», e, in particolare, gli articoli 3, 4, 17 e seguenti del protocollo; </w:t>
      </w:r>
    </w:p>
    <w:p w:rsidR="00E93539" w:rsidRDefault="00E93539" w:rsidP="00E93539">
      <w:pPr>
        <w:shd w:val="clear" w:color="auto" w:fill="FEFEFE"/>
        <w:spacing w:after="0" w:line="20" w:lineRule="atLeast"/>
        <w:jc w:val="both"/>
        <w:outlineLvl w:val="1"/>
      </w:pPr>
      <w:r>
        <w:t xml:space="preserve">Visto il decreto-legge 17 febbraio 2017, n. 13, convertito, con modificazioni, dalla legge 13 aprile 2017, n. 46, recante «Disposizioni urgenti per l’accelerazione dei procedimenti in materia di protezione internazionale, nonché per il contrasto dell’immigrazione illegale» e, in particolare, l’articolo 19; </w:t>
      </w:r>
    </w:p>
    <w:p w:rsidR="00E93539" w:rsidRDefault="00E93539" w:rsidP="00E93539">
      <w:pPr>
        <w:shd w:val="clear" w:color="auto" w:fill="FEFEFE"/>
        <w:spacing w:after="0" w:line="20" w:lineRule="atLeast"/>
        <w:jc w:val="both"/>
        <w:outlineLvl w:val="1"/>
      </w:pPr>
      <w:r>
        <w:t xml:space="preserve">Vista la legge 27 dicembre 2017, n. 205, recante «Bilancio di previsione dello Stato per l’anno finanziario 2018 e bilancio pluriennale per il triennio 2018-2020» e, in particolare, l’articolo 1, commi 476, lettere a) e b) e 477 che modifica l’articolo 7 del decreto-legge n. 146 del 2013; Visto il decreto del Ministro della giustizia 11 marzo 2015, n. 36, «Regolamento recante la struttura e la composizione dell’ufficio del Garante nazionale dei diritti delle persone detenute o private della libertà personale»; </w:t>
      </w:r>
    </w:p>
    <w:p w:rsidR="00E93539" w:rsidRDefault="00E93539" w:rsidP="00E93539">
      <w:pPr>
        <w:shd w:val="clear" w:color="auto" w:fill="FEFEFE"/>
        <w:spacing w:after="0" w:line="20" w:lineRule="atLeast"/>
        <w:jc w:val="both"/>
        <w:outlineLvl w:val="1"/>
      </w:pPr>
      <w:r>
        <w:t xml:space="preserve">Visto il decreto del Presidente della Repubblica 31 maggio 2018 con cui la senatrice avvocato Giulia Bongiorno è stata nominata Ministro senza portafoglio; </w:t>
      </w:r>
    </w:p>
    <w:p w:rsidR="00E93539" w:rsidRDefault="00E93539" w:rsidP="00E93539">
      <w:pPr>
        <w:shd w:val="clear" w:color="auto" w:fill="FEFEFE"/>
        <w:spacing w:after="0" w:line="20" w:lineRule="atLeast"/>
        <w:jc w:val="both"/>
        <w:outlineLvl w:val="1"/>
      </w:pPr>
      <w:r>
        <w:t>Visto il decreto del Presidente del Consiglio dei ministri 1° giugno 2018 con cui al Ministro senza portafoglio, senatrice avvocato Giulia Bongiorno, è stato conferito l’incarico per la pubblica amministrazione;</w:t>
      </w:r>
    </w:p>
    <w:p w:rsidR="00E93539" w:rsidRDefault="00E93539" w:rsidP="00E93539">
      <w:pPr>
        <w:shd w:val="clear" w:color="auto" w:fill="FEFEFE"/>
        <w:spacing w:after="0" w:line="20" w:lineRule="atLeast"/>
        <w:jc w:val="both"/>
        <w:outlineLvl w:val="1"/>
      </w:pPr>
      <w:r>
        <w:t xml:space="preserve">Visto il decreto del Presidente del Consiglio dei ministri 27 giugno 2018 recante delega di funzioni al Ministro senza portafoglio, senatrice avvocato Giulia Bongiorno, per la pubblica amministrazione; </w:t>
      </w:r>
    </w:p>
    <w:p w:rsidR="00E93539" w:rsidRDefault="00E93539" w:rsidP="00E93539">
      <w:pPr>
        <w:shd w:val="clear" w:color="auto" w:fill="FEFEFE"/>
        <w:spacing w:after="0" w:line="20" w:lineRule="atLeast"/>
        <w:jc w:val="both"/>
        <w:outlineLvl w:val="1"/>
      </w:pPr>
      <w:r>
        <w:t xml:space="preserve">Viste le raccomandazioni del Comitato per i diritti delle persone con disabilità istituito dalla Convenzione delle Nazioni Unite per i diritti delle persone con disabilità adottata a New York il 13 dicembre 2006, ai punti 8 e 42 delle osservazioni conclusive sul Rapporto iniziale dell’Italia (CRPD/C(ITA/CO/1) del 6 ottobre 2016; </w:t>
      </w:r>
    </w:p>
    <w:p w:rsidR="00E93539" w:rsidRDefault="00E93539" w:rsidP="00E93539">
      <w:pPr>
        <w:shd w:val="clear" w:color="auto" w:fill="FEFEFE"/>
        <w:spacing w:after="0" w:line="20" w:lineRule="atLeast"/>
        <w:jc w:val="both"/>
        <w:outlineLvl w:val="1"/>
      </w:pPr>
      <w:r>
        <w:t xml:space="preserve">Considerato che il Garante nazionale dei diritti delle persone detenute o private della libertà personale è stato designato quale meccanismo nazionale di prevenzione ai sensi del protocollo opzionale alla Convenzione delle Nazioni Unite contro la tortura e altri trattamenti o pene crudeli, inumani o degradanti, fatto a New York il 18 dicembre 2002; </w:t>
      </w:r>
    </w:p>
    <w:p w:rsidR="00E93539" w:rsidRDefault="00E93539" w:rsidP="00E93539">
      <w:pPr>
        <w:shd w:val="clear" w:color="auto" w:fill="FEFEFE"/>
        <w:spacing w:after="0" w:line="20" w:lineRule="atLeast"/>
        <w:jc w:val="both"/>
        <w:outlineLvl w:val="1"/>
      </w:pPr>
      <w:r>
        <w:lastRenderedPageBreak/>
        <w:t xml:space="preserve">Considerato altresì che al Garante nazionale dei diritti delle persone detenute o private della libertà personale è stato attribuito il compito di monitoraggio dei rimpatri forzati ai sensi della direttiva 2008/115/CE del Parlamento europeo e del Consiglio dell’Unione europea nonché il compito di vigilare sulle strutture per l’accoglienza delle persone con disabilità di cui alla citata Convenzione; </w:t>
      </w:r>
    </w:p>
    <w:p w:rsidR="00E93539" w:rsidRDefault="00E93539" w:rsidP="00E93539">
      <w:pPr>
        <w:shd w:val="clear" w:color="auto" w:fill="FEFEFE"/>
        <w:spacing w:after="0" w:line="20" w:lineRule="atLeast"/>
        <w:jc w:val="both"/>
        <w:outlineLvl w:val="1"/>
      </w:pPr>
      <w:r>
        <w:t xml:space="preserve">Udito il parere del Consiglio di Stato, espresso dalla Sezione consultiva per gli atti normativi nell’adunanza del 31 gennaio 2019; </w:t>
      </w:r>
    </w:p>
    <w:p w:rsidR="00E93539" w:rsidRDefault="00E93539" w:rsidP="00E93539">
      <w:pPr>
        <w:shd w:val="clear" w:color="auto" w:fill="FEFEFE"/>
        <w:spacing w:after="0" w:line="20" w:lineRule="atLeast"/>
        <w:jc w:val="both"/>
        <w:outlineLvl w:val="1"/>
      </w:pPr>
      <w:r>
        <w:t xml:space="preserve">Vista la comunicazione alla Presidenza del Consiglio dei ministri ai sensi dell’articolo 17, comma 3, della legge 23 agosto 1988, n. 400; </w:t>
      </w:r>
    </w:p>
    <w:p w:rsidR="00E93539" w:rsidRDefault="00E93539" w:rsidP="00E93539">
      <w:pPr>
        <w:shd w:val="clear" w:color="auto" w:fill="FEFEFE"/>
        <w:spacing w:after="0" w:line="20" w:lineRule="atLeast"/>
        <w:jc w:val="both"/>
        <w:outlineLvl w:val="1"/>
      </w:pPr>
      <w:r>
        <w:t xml:space="preserve">Visto il concerto del Ministro della giustizia, del Ministro dell’interno e del Ministro dell’economia e delle finanze; </w:t>
      </w:r>
    </w:p>
    <w:p w:rsidR="00E93539" w:rsidRDefault="00E93539" w:rsidP="00E93539">
      <w:pPr>
        <w:shd w:val="clear" w:color="auto" w:fill="FEFEFE"/>
        <w:spacing w:after="0" w:line="20" w:lineRule="atLeast"/>
        <w:jc w:val="both"/>
        <w:outlineLvl w:val="1"/>
      </w:pPr>
      <w:r>
        <w:t xml:space="preserve">ADOTTA il seguente regolamento: </w:t>
      </w:r>
    </w:p>
    <w:p w:rsidR="00E93539" w:rsidRDefault="00E93539" w:rsidP="00E93539">
      <w:pPr>
        <w:shd w:val="clear" w:color="auto" w:fill="FEFEFE"/>
        <w:spacing w:after="0" w:line="20" w:lineRule="atLeast"/>
        <w:jc w:val="both"/>
        <w:outlineLvl w:val="1"/>
      </w:pPr>
      <w:r>
        <w:t xml:space="preserve">Art. 1. Definizioni </w:t>
      </w:r>
    </w:p>
    <w:p w:rsidR="00E93539" w:rsidRDefault="00E93539" w:rsidP="00E93539">
      <w:pPr>
        <w:shd w:val="clear" w:color="auto" w:fill="FEFEFE"/>
        <w:spacing w:after="0" w:line="20" w:lineRule="atLeast"/>
        <w:jc w:val="both"/>
        <w:outlineLvl w:val="1"/>
      </w:pPr>
      <w:r>
        <w:t xml:space="preserve">1. Ai fini del presente decreto si intende per: </w:t>
      </w:r>
    </w:p>
    <w:p w:rsidR="00E93539" w:rsidRDefault="00E93539" w:rsidP="00E93539">
      <w:pPr>
        <w:shd w:val="clear" w:color="auto" w:fill="FEFEFE"/>
        <w:spacing w:after="0" w:line="20" w:lineRule="atLeast"/>
        <w:jc w:val="both"/>
        <w:outlineLvl w:val="1"/>
      </w:pPr>
      <w:r>
        <w:t xml:space="preserve">a) «Garante»: il Garante nazionale dei diritti delle persone detenute o private della libertà personale, istituito ai sensi dell’articolo 7 del decreto-legge 23 dicembre 2013, n. 146, convertito, con modificazioni, dalla legge 21 febbraio 2014, n. 10; </w:t>
      </w:r>
    </w:p>
    <w:p w:rsidR="00E93539" w:rsidRDefault="00E93539" w:rsidP="00E93539">
      <w:pPr>
        <w:shd w:val="clear" w:color="auto" w:fill="FEFEFE"/>
        <w:spacing w:after="0" w:line="20" w:lineRule="atLeast"/>
        <w:jc w:val="both"/>
        <w:outlineLvl w:val="1"/>
      </w:pPr>
      <w:r>
        <w:t xml:space="preserve">b) «Ufficio»: l’ufficio del Garante nazionale dei diritti delle persone detenute o private della libertà personale, istituito ai sensi dell’articolo 7 del decreto-legge 23 dicembre 2013, n. 146, convertito, con modificazioni, dalla legge 21 febbraio 2014, n. 10; </w:t>
      </w:r>
    </w:p>
    <w:p w:rsidR="00E93539" w:rsidRDefault="00E93539" w:rsidP="00E93539">
      <w:pPr>
        <w:shd w:val="clear" w:color="auto" w:fill="FEFEFE"/>
        <w:spacing w:after="0" w:line="20" w:lineRule="atLeast"/>
        <w:jc w:val="both"/>
        <w:outlineLvl w:val="1"/>
      </w:pPr>
      <w:r>
        <w:t xml:space="preserve">c) «Protocollo Onu»: protocollo opzionale alla Convenzione delle Nazioni Unite contro la tortura e altri trattamenti o pene crudeli, inumane o degradanti, fatto a New York il 18 dicembre 2002, ratificato dalla legge 9 novembre 2012, n. 195. </w:t>
      </w:r>
    </w:p>
    <w:p w:rsidR="00E93539" w:rsidRDefault="00E93539" w:rsidP="00E93539">
      <w:pPr>
        <w:shd w:val="clear" w:color="auto" w:fill="FEFEFE"/>
        <w:spacing w:after="0" w:line="20" w:lineRule="atLeast"/>
        <w:jc w:val="both"/>
        <w:outlineLvl w:val="1"/>
      </w:pPr>
      <w:r>
        <w:t xml:space="preserve">Art. 2. Composizione dell’ufficio </w:t>
      </w:r>
    </w:p>
    <w:p w:rsidR="00E93539" w:rsidRDefault="00E93539" w:rsidP="00E93539">
      <w:pPr>
        <w:shd w:val="clear" w:color="auto" w:fill="FEFEFE"/>
        <w:spacing w:after="0" w:line="20" w:lineRule="atLeast"/>
        <w:jc w:val="both"/>
        <w:outlineLvl w:val="1"/>
      </w:pPr>
      <w:r>
        <w:t xml:space="preserve">1. Il presente decreto determina, ai sensi dell’articolo 7, comma 4, del decreto-legge 23 dicembre 2013, n. 146, convertito, con modificazioni, dalla legge 21 febbraio 2014, n. 10, la struttura e la composizione dell’ufficio posto alle dipendenze del Garante. </w:t>
      </w:r>
    </w:p>
    <w:p w:rsidR="00E93539" w:rsidRDefault="00E93539" w:rsidP="00E93539">
      <w:pPr>
        <w:shd w:val="clear" w:color="auto" w:fill="FEFEFE"/>
        <w:spacing w:after="0" w:line="20" w:lineRule="atLeast"/>
        <w:jc w:val="both"/>
        <w:outlineLvl w:val="1"/>
      </w:pPr>
      <w:r>
        <w:t xml:space="preserve">2. Nell’ambito dei posti disponibili nel contingente previsto nell’allegata tabella A, che costituisce parte integrante del presente decreto, il personale dell’ufficio appartenente ai ruoli delle amministrazioni di cui all’articolo 7, comma 4, del citato decreto-legge n. 146 del 2013, è scelto con procedure selettive, in funzione delle conoscenze acquisite negli ambiti di competenza del Garante. </w:t>
      </w:r>
    </w:p>
    <w:p w:rsidR="00E93539" w:rsidRDefault="00E93539" w:rsidP="00E93539">
      <w:pPr>
        <w:shd w:val="clear" w:color="auto" w:fill="FEFEFE"/>
        <w:spacing w:after="0" w:line="20" w:lineRule="atLeast"/>
        <w:jc w:val="both"/>
        <w:outlineLvl w:val="1"/>
      </w:pPr>
      <w:r>
        <w:t xml:space="preserve">3. Al termine della procedura di selezione prevista al comma 2, l’ufficio richiede l’assegnazione del personale selezionato alle amministrazioni di rispettiva appartenenza, le quali sono tenute a provvedere al trasferimento entro quindici giorni dalla richiesta. </w:t>
      </w:r>
    </w:p>
    <w:p w:rsidR="00E93539" w:rsidRDefault="00E93539" w:rsidP="00E93539">
      <w:pPr>
        <w:shd w:val="clear" w:color="auto" w:fill="FEFEFE"/>
        <w:spacing w:after="0" w:line="20" w:lineRule="atLeast"/>
        <w:jc w:val="both"/>
        <w:outlineLvl w:val="1"/>
      </w:pPr>
      <w:r>
        <w:t xml:space="preserve">4. Il personale assegnato all’ufficio opera alle esclusive dipendenze del Garante. Su richiesta del medesimo personale o per esigenze organizzative dell’ufficio, il Garante può richiedere, con atto motivato, alle amministrazioni competenti la revoca dell’assegnazione. La revoca su iniziativa dell’amministrazione di appartenenza è subordinata al parere favorevole del Garante. </w:t>
      </w:r>
    </w:p>
    <w:p w:rsidR="00E93539" w:rsidRDefault="00E93539" w:rsidP="00E93539">
      <w:pPr>
        <w:shd w:val="clear" w:color="auto" w:fill="FEFEFE"/>
        <w:spacing w:after="0" w:line="20" w:lineRule="atLeast"/>
        <w:jc w:val="both"/>
        <w:outlineLvl w:val="1"/>
      </w:pPr>
      <w:r>
        <w:t xml:space="preserve">5. Il Garante può avvalersi dell’opera di consulenti ed esperti in possesso di adeguate e comprovate capacità professionali secondo le modalità previste dall’articolo 7 del decreto legislativo 30 marzo 2001, n. 165, nei limiti delle risorse di cui all’articolo 7, comma 5 -bis , del decreto-legge 23 dicembre 2013, n. 146, convertito, con modificazioni, dalla legge 21 febbraio 2014, n. 10, nonché nei limiti di spesa di cui all’articolo 6, comma 7, del decreto-legge 31 maggio 2010, n. 78, convertito, con modificazioni, dalla legge 30 luglio 2010, n. 122. </w:t>
      </w:r>
    </w:p>
    <w:p w:rsidR="00E93539" w:rsidRDefault="00E93539" w:rsidP="00E93539">
      <w:pPr>
        <w:shd w:val="clear" w:color="auto" w:fill="FEFEFE"/>
        <w:spacing w:after="0" w:line="20" w:lineRule="atLeast"/>
        <w:jc w:val="both"/>
        <w:outlineLvl w:val="1"/>
      </w:pPr>
      <w:r>
        <w:t xml:space="preserve">Art. 3. Organizzazione dell’ufficio </w:t>
      </w:r>
    </w:p>
    <w:p w:rsidR="00E93539" w:rsidRDefault="00E93539" w:rsidP="00E93539">
      <w:pPr>
        <w:shd w:val="clear" w:color="auto" w:fill="FEFEFE"/>
        <w:spacing w:after="0" w:line="20" w:lineRule="atLeast"/>
        <w:jc w:val="both"/>
        <w:outlineLvl w:val="1"/>
      </w:pPr>
      <w:r>
        <w:t xml:space="preserve">1. L’organizzazione dell’ufficio è ispirata ai principi di efficienza, efficacia e trasparenza dell’attività amministrativa. </w:t>
      </w:r>
    </w:p>
    <w:p w:rsidR="00E93539" w:rsidRDefault="00E93539" w:rsidP="00E93539">
      <w:pPr>
        <w:shd w:val="clear" w:color="auto" w:fill="FEFEFE"/>
        <w:spacing w:after="0" w:line="20" w:lineRule="atLeast"/>
        <w:jc w:val="both"/>
        <w:outlineLvl w:val="1"/>
      </w:pPr>
      <w:r>
        <w:t xml:space="preserve">2. Il Garante, nel rispetto delle competenze di cui all’articolo 7 del decreto-legge 23 dicembre 2013, n. 146, convertito, con modificazioni, dalla legge 21 febbraio 2014, n. 10: </w:t>
      </w:r>
    </w:p>
    <w:p w:rsidR="00E93539" w:rsidRDefault="00E93539" w:rsidP="00E93539">
      <w:pPr>
        <w:shd w:val="clear" w:color="auto" w:fill="FEFEFE"/>
        <w:spacing w:after="0" w:line="20" w:lineRule="atLeast"/>
        <w:jc w:val="both"/>
        <w:outlineLvl w:val="1"/>
      </w:pPr>
      <w:r>
        <w:t xml:space="preserve">a) con propria delibera, stabilisce le modalità di organizzazione e articolazione interna dell’ufficio, nel rispetto dei principi contenuti nel decreto legislativo 30 marzo 2001, n. 165; </w:t>
      </w:r>
    </w:p>
    <w:p w:rsidR="00E93539" w:rsidRDefault="00E93539" w:rsidP="00E93539">
      <w:pPr>
        <w:shd w:val="clear" w:color="auto" w:fill="FEFEFE"/>
        <w:spacing w:after="0" w:line="20" w:lineRule="atLeast"/>
        <w:jc w:val="both"/>
        <w:outlineLvl w:val="1"/>
      </w:pPr>
      <w:r>
        <w:t xml:space="preserve">b) determina gli indirizzi e i criteri generali ai quali si informa l’attività dell’ufficio e definisce gli obiettivi da realizzare, verificandone l’attuazione; </w:t>
      </w:r>
    </w:p>
    <w:p w:rsidR="00E93539" w:rsidRDefault="00E93539" w:rsidP="00E93539">
      <w:pPr>
        <w:shd w:val="clear" w:color="auto" w:fill="FEFEFE"/>
        <w:spacing w:after="0" w:line="20" w:lineRule="atLeast"/>
        <w:jc w:val="both"/>
        <w:outlineLvl w:val="1"/>
      </w:pPr>
      <w:r>
        <w:lastRenderedPageBreak/>
        <w:t xml:space="preserve">c) adotta il regolamento interno delle attività dell’ufficio, recante la disciplina del funzionamento, nonché il codice di comportamento del personale dell’ufficio e di tutti i soggetti che, a qualsiasi titolo, collaborano con il Garante, in conformità ai principi di cui al protocollo ONU. </w:t>
      </w:r>
    </w:p>
    <w:p w:rsidR="00E93539" w:rsidRDefault="00E93539" w:rsidP="00E93539">
      <w:pPr>
        <w:shd w:val="clear" w:color="auto" w:fill="FEFEFE"/>
        <w:spacing w:after="0" w:line="20" w:lineRule="atLeast"/>
        <w:jc w:val="both"/>
        <w:outlineLvl w:val="1"/>
      </w:pPr>
      <w:r>
        <w:t xml:space="preserve">3. Il dirigente di seconda fascia di cui alla tabella A, preposto alla direzione dell’ufficio, è scelto tra i dirigenti di ruolo del Ministero della giustizia. </w:t>
      </w:r>
    </w:p>
    <w:p w:rsidR="00E93539" w:rsidRDefault="00E93539" w:rsidP="00E93539">
      <w:pPr>
        <w:shd w:val="clear" w:color="auto" w:fill="FEFEFE"/>
        <w:spacing w:after="0" w:line="20" w:lineRule="atLeast"/>
        <w:jc w:val="both"/>
        <w:outlineLvl w:val="1"/>
      </w:pPr>
      <w:r>
        <w:t xml:space="preserve">Art. 4. Il direttore dell’ufficio </w:t>
      </w:r>
    </w:p>
    <w:p w:rsidR="00E93539" w:rsidRDefault="00E93539" w:rsidP="00E93539">
      <w:pPr>
        <w:shd w:val="clear" w:color="auto" w:fill="FEFEFE"/>
        <w:spacing w:after="0" w:line="20" w:lineRule="atLeast"/>
        <w:jc w:val="both"/>
        <w:outlineLvl w:val="1"/>
      </w:pPr>
      <w:r>
        <w:t xml:space="preserve">1. Il direttore dell’ufficio: </w:t>
      </w:r>
    </w:p>
    <w:p w:rsidR="00E93539" w:rsidRDefault="00E93539" w:rsidP="00E93539">
      <w:pPr>
        <w:shd w:val="clear" w:color="auto" w:fill="FEFEFE"/>
        <w:spacing w:after="0" w:line="20" w:lineRule="atLeast"/>
        <w:jc w:val="both"/>
        <w:outlineLvl w:val="1"/>
      </w:pPr>
      <w:r>
        <w:t xml:space="preserve">a) cura l’esecuzione delle disposizioni del Garante e l’attuazione dei programmi e degli obiettivi, coordinando e indirizzando l’attività del personale; </w:t>
      </w:r>
    </w:p>
    <w:p w:rsidR="00E93539" w:rsidRDefault="00E93539" w:rsidP="00E93539">
      <w:pPr>
        <w:shd w:val="clear" w:color="auto" w:fill="FEFEFE"/>
        <w:spacing w:after="0" w:line="20" w:lineRule="atLeast"/>
        <w:jc w:val="both"/>
        <w:outlineLvl w:val="1"/>
      </w:pPr>
      <w:r>
        <w:t xml:space="preserve">b) esercita i poteri di cui agli articoli 5 e 17 del decreto legislativo 30 marzo 2001, n. 165, provvedendo alla gestione e alla valutazione del personale assegnato all’ufficio nel rispetto degli indirizzi e dei criteri determinati dal Garante ai sensi dell’articolo 3, comma 2, lettera b); </w:t>
      </w:r>
    </w:p>
    <w:p w:rsidR="00E93539" w:rsidRDefault="00E93539" w:rsidP="00E93539">
      <w:pPr>
        <w:shd w:val="clear" w:color="auto" w:fill="FEFEFE"/>
        <w:spacing w:after="0" w:line="20" w:lineRule="atLeast"/>
        <w:jc w:val="both"/>
        <w:outlineLvl w:val="1"/>
      </w:pPr>
      <w:r>
        <w:t>c) esercita i compiti delegati dal Garante e, in particolare, è funzionario delegato alla gestione delle risorse di cui all’articolo 7, comma 5 -</w:t>
      </w:r>
      <w:proofErr w:type="gramStart"/>
      <w:r>
        <w:t>bis ,</w:t>
      </w:r>
      <w:proofErr w:type="gramEnd"/>
      <w:r>
        <w:t xml:space="preserve"> del decreto-legge 23 dicembre 2013, n. 146, convertito, con modificazioni, dalla legge 21 febbraio 2014, n. 10; </w:t>
      </w:r>
    </w:p>
    <w:p w:rsidR="00E93539" w:rsidRDefault="00E93539" w:rsidP="00E93539">
      <w:pPr>
        <w:shd w:val="clear" w:color="auto" w:fill="FEFEFE"/>
        <w:spacing w:after="0" w:line="20" w:lineRule="atLeast"/>
        <w:jc w:val="both"/>
        <w:outlineLvl w:val="1"/>
      </w:pPr>
      <w:r>
        <w:t xml:space="preserve">d) assicura al Garante una completa e tempestiva informazione sulla complessiva attività dell’ufficio. </w:t>
      </w:r>
    </w:p>
    <w:p w:rsidR="00E93539" w:rsidRDefault="00E93539" w:rsidP="00E93539">
      <w:pPr>
        <w:shd w:val="clear" w:color="auto" w:fill="FEFEFE"/>
        <w:spacing w:after="0" w:line="20" w:lineRule="atLeast"/>
        <w:jc w:val="both"/>
        <w:outlineLvl w:val="1"/>
      </w:pPr>
      <w:r>
        <w:t xml:space="preserve">Art. 5. Sede e beni strumentali dell’ufficio </w:t>
      </w:r>
    </w:p>
    <w:p w:rsidR="00E93539" w:rsidRDefault="00E93539" w:rsidP="00E93539">
      <w:pPr>
        <w:shd w:val="clear" w:color="auto" w:fill="FEFEFE"/>
        <w:spacing w:after="0" w:line="20" w:lineRule="atLeast"/>
        <w:jc w:val="both"/>
        <w:outlineLvl w:val="1"/>
      </w:pPr>
      <w:r>
        <w:t xml:space="preserve">1. L’ufficio ha sede in Roma nei locali messi a disposizione dal Ministero della giustizia. </w:t>
      </w:r>
    </w:p>
    <w:p w:rsidR="00E93539" w:rsidRDefault="00E93539" w:rsidP="00E93539">
      <w:pPr>
        <w:shd w:val="clear" w:color="auto" w:fill="FEFEFE"/>
        <w:spacing w:after="0" w:line="20" w:lineRule="atLeast"/>
        <w:jc w:val="both"/>
        <w:outlineLvl w:val="1"/>
      </w:pPr>
      <w:r>
        <w:t xml:space="preserve">2. Il Ministero della giustizia, senza nuovi o maggiori oneri a carico della finanza pubblica, destina all’ufficio gli arredi e i beni mobili strumentali, anche di tipo informatico, necessari al suo funzionamento e provvede, mediante le strutture e i beni di propria pertinenza, alle eventuali esigenze organizzative e di supporto logistico per lo svolgimento dei compiti del Garante sull’intero territorio nazionale. </w:t>
      </w:r>
    </w:p>
    <w:p w:rsidR="00E93539" w:rsidRDefault="00E93539" w:rsidP="00E93539">
      <w:pPr>
        <w:shd w:val="clear" w:color="auto" w:fill="FEFEFE"/>
        <w:spacing w:after="0" w:line="20" w:lineRule="atLeast"/>
        <w:jc w:val="both"/>
        <w:outlineLvl w:val="1"/>
      </w:pPr>
      <w:r>
        <w:t>3. Le risorse di cui all’articolo 7, comma 5 -</w:t>
      </w:r>
      <w:proofErr w:type="gramStart"/>
      <w:r>
        <w:t>bis ,</w:t>
      </w:r>
      <w:proofErr w:type="gramEnd"/>
      <w:r>
        <w:t xml:space="preserve"> del decreto-legge 23 dicembre 2013, n. 146, convertito, con modificazioni, dalla legge 21 febbraio 2014, n. 10, sono iscritte su apposito capitolo dello stato di previsione del Ministero della giustizia per le spese di funzionamento e i compensi del Garante. </w:t>
      </w:r>
    </w:p>
    <w:p w:rsidR="00E93539" w:rsidRDefault="00E93539" w:rsidP="00E93539">
      <w:pPr>
        <w:shd w:val="clear" w:color="auto" w:fill="FEFEFE"/>
        <w:spacing w:after="0" w:line="20" w:lineRule="atLeast"/>
        <w:jc w:val="both"/>
        <w:outlineLvl w:val="1"/>
      </w:pPr>
      <w:r>
        <w:t xml:space="preserve">Art. 6. Rimborso spese </w:t>
      </w:r>
    </w:p>
    <w:p w:rsidR="00E93539" w:rsidRDefault="00E93539" w:rsidP="00E93539">
      <w:pPr>
        <w:shd w:val="clear" w:color="auto" w:fill="FEFEFE"/>
        <w:spacing w:after="0" w:line="20" w:lineRule="atLeast"/>
        <w:jc w:val="both"/>
        <w:outlineLvl w:val="1"/>
      </w:pPr>
      <w:r>
        <w:t xml:space="preserve">1. Ai membri del collegio del Garante, al personale dell’ufficio e ai consulenti ed esperti di cui all’articolo 2, comma 5, è riconosciuto il rimborso delle spese effettivamente sostenute e documentate per missioni all’interno e all’estero. </w:t>
      </w:r>
    </w:p>
    <w:p w:rsidR="00E93539" w:rsidRDefault="00E93539" w:rsidP="00E93539">
      <w:pPr>
        <w:shd w:val="clear" w:color="auto" w:fill="FEFEFE"/>
        <w:spacing w:after="0" w:line="20" w:lineRule="atLeast"/>
        <w:jc w:val="both"/>
        <w:outlineLvl w:val="1"/>
      </w:pPr>
      <w:r>
        <w:t xml:space="preserve">2. Ai membri del collegio del Garante è assicurato il rimborso delle spese effettivamente sostenute e documentate di vitto, alloggio e trasporto per gli spostamenti effettuati per lo svolgimento delle attività istituzionali. </w:t>
      </w:r>
    </w:p>
    <w:p w:rsidR="00E93539" w:rsidRDefault="00E93539" w:rsidP="00E93539">
      <w:pPr>
        <w:shd w:val="clear" w:color="auto" w:fill="FEFEFE"/>
        <w:spacing w:after="0" w:line="20" w:lineRule="atLeast"/>
        <w:jc w:val="both"/>
        <w:outlineLvl w:val="1"/>
      </w:pPr>
      <w:r>
        <w:t xml:space="preserve">Art. 7. Disposizioni transitorie </w:t>
      </w:r>
    </w:p>
    <w:p w:rsidR="00E93539" w:rsidRDefault="00E93539" w:rsidP="00E93539">
      <w:pPr>
        <w:shd w:val="clear" w:color="auto" w:fill="FEFEFE"/>
        <w:spacing w:after="0" w:line="20" w:lineRule="atLeast"/>
        <w:jc w:val="both"/>
        <w:outlineLvl w:val="1"/>
      </w:pPr>
      <w:r>
        <w:t xml:space="preserve">1. A decorrere dall’entrata in vigore del presente decreto, il decreto del Ministro della giustizia 11 marzo 2015, n. 36 è abrogato. </w:t>
      </w:r>
    </w:p>
    <w:p w:rsidR="00E93539" w:rsidRDefault="00E93539" w:rsidP="00E93539">
      <w:pPr>
        <w:shd w:val="clear" w:color="auto" w:fill="FEFEFE"/>
        <w:spacing w:after="0" w:line="20" w:lineRule="atLeast"/>
        <w:jc w:val="both"/>
        <w:outlineLvl w:val="1"/>
      </w:pPr>
      <w:r>
        <w:t xml:space="preserve">2. Nell’ambito del contingente previsto nella tabella A allegata al presente decreto è confermato il personale in servizio presso l’ufficio alla data di entrata in vigore dello stesso. Il presente decreto, munito del sigillo dello Stato, sarà inserito nella Raccolta ufficiale degli atti normativi della Repubblica italiana. E’ fatto obbligo a chiunque spetti di osservarlo e farlo osservare. </w:t>
      </w:r>
    </w:p>
    <w:p w:rsidR="00E93539" w:rsidRDefault="00E93539" w:rsidP="00E93539">
      <w:pPr>
        <w:shd w:val="clear" w:color="auto" w:fill="FEFEFE"/>
        <w:spacing w:after="0" w:line="20" w:lineRule="atLeast"/>
        <w:jc w:val="both"/>
        <w:outlineLvl w:val="1"/>
      </w:pPr>
      <w:r>
        <w:t>Roma, 10 aprile 2019</w:t>
      </w:r>
    </w:p>
    <w:p w:rsidR="00E93539" w:rsidRDefault="00E93539" w:rsidP="00E93539">
      <w:pPr>
        <w:shd w:val="clear" w:color="auto" w:fill="FEFEFE"/>
        <w:spacing w:after="0" w:line="20" w:lineRule="atLeast"/>
        <w:jc w:val="both"/>
        <w:outlineLvl w:val="1"/>
      </w:pPr>
      <w:r>
        <w:t xml:space="preserve"> p. Il Presidente del Consiglio dei ministri Il Ministro per la pubblica amministrazione BONGIORNO </w:t>
      </w:r>
    </w:p>
    <w:p w:rsidR="00E93539" w:rsidRDefault="00E93539" w:rsidP="00E93539">
      <w:pPr>
        <w:shd w:val="clear" w:color="auto" w:fill="FEFEFE"/>
        <w:spacing w:after="0" w:line="20" w:lineRule="atLeast"/>
        <w:jc w:val="both"/>
        <w:outlineLvl w:val="1"/>
      </w:pPr>
      <w:r>
        <w:t xml:space="preserve">Il Ministro della giustizia BONAFEDE </w:t>
      </w:r>
    </w:p>
    <w:p w:rsidR="00E93539" w:rsidRDefault="00E93539" w:rsidP="00E93539">
      <w:pPr>
        <w:shd w:val="clear" w:color="auto" w:fill="FEFEFE"/>
        <w:spacing w:after="0" w:line="20" w:lineRule="atLeast"/>
        <w:jc w:val="both"/>
        <w:outlineLvl w:val="1"/>
      </w:pPr>
      <w:r>
        <w:t xml:space="preserve">Il Ministro dell’interno SALVINI </w:t>
      </w:r>
    </w:p>
    <w:p w:rsidR="00E93539" w:rsidRDefault="00E93539" w:rsidP="00E93539">
      <w:pPr>
        <w:shd w:val="clear" w:color="auto" w:fill="FEFEFE"/>
        <w:spacing w:after="0" w:line="20" w:lineRule="atLeast"/>
        <w:jc w:val="both"/>
        <w:outlineLvl w:val="1"/>
      </w:pPr>
      <w:r>
        <w:t xml:space="preserve">Il Ministro dell’economia e delle finanze TRIA </w:t>
      </w:r>
    </w:p>
    <w:p w:rsidR="00F103AF" w:rsidRDefault="00E93539" w:rsidP="00F9673B">
      <w:pPr>
        <w:shd w:val="clear" w:color="auto" w:fill="FEFEFE"/>
        <w:spacing w:after="0" w:line="20" w:lineRule="atLeast"/>
        <w:jc w:val="both"/>
        <w:outlineLvl w:val="1"/>
      </w:pPr>
      <w:r>
        <w:t xml:space="preserve">Visto, il Guardasigilli: BONAFEDE Registrato alla Corte dei conti il 5 agosto 2019 Ufficio controllo atti P.C.M. Ministeri della giustizia e degli affari esteri e della cooperazione internazionale, reg.ne succ. n. 1636 </w:t>
      </w:r>
    </w:p>
    <w:p w:rsidR="00F9673B" w:rsidRDefault="00F9673B" w:rsidP="00F9673B">
      <w:pPr>
        <w:shd w:val="clear" w:color="auto" w:fill="FEFEFE"/>
        <w:spacing w:after="0" w:line="20" w:lineRule="atLeast"/>
        <w:jc w:val="both"/>
        <w:outlineLvl w:val="1"/>
      </w:pPr>
    </w:p>
    <w:p w:rsidR="00F9673B" w:rsidRPr="00941603" w:rsidRDefault="00F9673B" w:rsidP="00F9673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EFEFE"/>
        <w:spacing w:after="0" w:line="20" w:lineRule="atLeast"/>
        <w:jc w:val="center"/>
        <w:outlineLvl w:val="1"/>
      </w:pPr>
      <w:r w:rsidRPr="00941603">
        <w:t>DIPENDENZE</w:t>
      </w:r>
    </w:p>
    <w:p w:rsidR="00235B84" w:rsidRDefault="00235B84" w:rsidP="00C21335">
      <w:pPr>
        <w:keepNext/>
        <w:keepLines/>
        <w:spacing w:after="0" w:line="20" w:lineRule="atLeast"/>
        <w:jc w:val="both"/>
        <w:rPr>
          <w:rFonts w:cstheme="minorHAnsi"/>
          <w:b/>
        </w:rPr>
      </w:pPr>
    </w:p>
    <w:p w:rsidR="00C21335" w:rsidRPr="006B0B81" w:rsidRDefault="00F9673B" w:rsidP="00C21335">
      <w:pPr>
        <w:keepNext/>
        <w:keepLines/>
        <w:spacing w:after="0" w:line="20" w:lineRule="atLeast"/>
        <w:jc w:val="both"/>
        <w:rPr>
          <w:rFonts w:cstheme="minorHAnsi"/>
          <w:b/>
        </w:rPr>
      </w:pPr>
      <w:r>
        <w:rPr>
          <w:rFonts w:cstheme="minorHAnsi"/>
          <w:b/>
        </w:rPr>
        <w:t>P</w:t>
      </w:r>
      <w:r w:rsidR="00C21335" w:rsidRPr="006B0B81">
        <w:rPr>
          <w:rFonts w:cstheme="minorHAnsi"/>
          <w:b/>
        </w:rPr>
        <w:t>RESIDENZA DEL CONSIGLIO DEI MINISTRI</w:t>
      </w:r>
    </w:p>
    <w:p w:rsidR="00C21335" w:rsidRDefault="00C21335" w:rsidP="00C21335">
      <w:pPr>
        <w:keepNext/>
        <w:keepLines/>
        <w:spacing w:after="0" w:line="20" w:lineRule="atLeast"/>
        <w:jc w:val="both"/>
        <w:rPr>
          <w:rFonts w:cstheme="minorHAnsi"/>
        </w:rPr>
      </w:pPr>
      <w:r w:rsidRPr="006B0B81">
        <w:rPr>
          <w:rFonts w:cstheme="minorHAnsi"/>
        </w:rPr>
        <w:t>Avviso pubblico per la selezione di progetti per la promozione di interventi volti a favorire il recupero, il reinserimento sociale e lavorativo delle persone tossicodipendenti. Si rende noto che sul sito ufficiale del Dipartimento per le politiche antidroga (www.politicheantidroga.gov.it) della Presidenza del Consiglio dei ministri è stato pubblicato in data 24 luglio 2019 l</w:t>
      </w:r>
      <w:proofErr w:type="gramStart"/>
      <w:r w:rsidRPr="006B0B81">
        <w:rPr>
          <w:rFonts w:cstheme="minorHAnsi"/>
        </w:rPr>
        <w:t>’«</w:t>
      </w:r>
      <w:proofErr w:type="gramEnd"/>
      <w:r w:rsidRPr="006B0B81">
        <w:rPr>
          <w:rFonts w:cstheme="minorHAnsi"/>
        </w:rPr>
        <w:t>Avviso pubblico per la selezione di progetti per la promozione di interventi volti a favorire il recupero, il reinserimento sociale e lavorativo delle persone tossicodipendenti».</w:t>
      </w:r>
    </w:p>
    <w:p w:rsidR="00833821" w:rsidRDefault="00833821" w:rsidP="00C21335">
      <w:pPr>
        <w:keepNext/>
        <w:keepLines/>
        <w:spacing w:after="0" w:line="20" w:lineRule="atLeast"/>
        <w:jc w:val="both"/>
        <w:rPr>
          <w:rFonts w:cstheme="minorHAnsi"/>
        </w:rPr>
      </w:pPr>
    </w:p>
    <w:p w:rsidR="00833821" w:rsidRPr="006E0C7D" w:rsidRDefault="00833821" w:rsidP="0083382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EFEFE"/>
        <w:spacing w:after="0" w:line="20" w:lineRule="atLeast"/>
        <w:jc w:val="center"/>
        <w:outlineLvl w:val="1"/>
        <w:rPr>
          <w:b/>
        </w:rPr>
      </w:pPr>
      <w:r w:rsidRPr="006E0C7D">
        <w:rPr>
          <w:b/>
        </w:rPr>
        <w:t>ENTI LOCALI</w:t>
      </w:r>
    </w:p>
    <w:p w:rsidR="00833821" w:rsidRDefault="00833821" w:rsidP="00833821">
      <w:pPr>
        <w:shd w:val="clear" w:color="auto" w:fill="FEFEFE"/>
        <w:spacing w:after="0" w:line="20" w:lineRule="atLeast"/>
        <w:jc w:val="both"/>
        <w:outlineLvl w:val="1"/>
      </w:pPr>
    </w:p>
    <w:p w:rsidR="00833821" w:rsidRPr="006E178B" w:rsidRDefault="00833821" w:rsidP="00833821">
      <w:pPr>
        <w:shd w:val="clear" w:color="auto" w:fill="FEFEFE"/>
        <w:spacing w:after="0" w:line="20" w:lineRule="atLeast"/>
        <w:jc w:val="both"/>
        <w:outlineLvl w:val="1"/>
        <w:rPr>
          <w:b/>
        </w:rPr>
      </w:pPr>
      <w:r w:rsidRPr="006E178B">
        <w:rPr>
          <w:b/>
        </w:rPr>
        <w:t xml:space="preserve">CORTE DEI CONTI </w:t>
      </w:r>
    </w:p>
    <w:p w:rsidR="00833821" w:rsidRDefault="00833821" w:rsidP="00833821">
      <w:pPr>
        <w:shd w:val="clear" w:color="auto" w:fill="FEFEFE"/>
        <w:spacing w:after="0" w:line="20" w:lineRule="atLeast"/>
        <w:jc w:val="both"/>
        <w:outlineLvl w:val="1"/>
      </w:pPr>
      <w:r w:rsidRPr="006E178B">
        <w:rPr>
          <w:b/>
        </w:rPr>
        <w:t>DELIBERA 22 luglio 2019.</w:t>
      </w:r>
      <w:r>
        <w:t xml:space="preserve"> Linee guida per la relazione dei revisori sul bilancio consolidato degli enti territoriali per l’esercizio 2018. (Delibera n. 18/SEZAUT/2019/INPR). (</w:t>
      </w:r>
      <w:r w:rsidR="00E70487">
        <w:t>GU</w:t>
      </w:r>
      <w:r>
        <w:t xml:space="preserve"> n. 196 del 22.8.19)</w:t>
      </w:r>
    </w:p>
    <w:p w:rsidR="00833821" w:rsidRDefault="00833821" w:rsidP="00833821">
      <w:pPr>
        <w:shd w:val="clear" w:color="auto" w:fill="FEFEFE"/>
        <w:spacing w:after="0" w:line="20" w:lineRule="atLeast"/>
        <w:jc w:val="both"/>
        <w:outlineLvl w:val="1"/>
      </w:pPr>
      <w:r>
        <w:t xml:space="preserve">LA CORTE DEI CONTI SEZIONE DELLE AUTONOMIE </w:t>
      </w:r>
    </w:p>
    <w:p w:rsidR="00833821" w:rsidRDefault="00833821" w:rsidP="00833821">
      <w:pPr>
        <w:shd w:val="clear" w:color="auto" w:fill="FEFEFE"/>
        <w:spacing w:after="0" w:line="20" w:lineRule="atLeast"/>
        <w:jc w:val="both"/>
        <w:outlineLvl w:val="1"/>
      </w:pPr>
      <w:r>
        <w:t xml:space="preserve">Nell’adunanza del 22 luglio 2019; </w:t>
      </w:r>
    </w:p>
    <w:p w:rsidR="00833821" w:rsidRDefault="00833821" w:rsidP="00833821">
      <w:pPr>
        <w:shd w:val="clear" w:color="auto" w:fill="FEFEFE"/>
        <w:spacing w:after="0" w:line="20" w:lineRule="atLeast"/>
        <w:jc w:val="both"/>
        <w:outlineLvl w:val="1"/>
      </w:pPr>
      <w:r>
        <w:t xml:space="preserve">Visto l’art. 100, comma 2, della Costituzione; </w:t>
      </w:r>
    </w:p>
    <w:p w:rsidR="00833821" w:rsidRDefault="00833821" w:rsidP="00833821">
      <w:pPr>
        <w:shd w:val="clear" w:color="auto" w:fill="FEFEFE"/>
        <w:spacing w:after="0" w:line="20" w:lineRule="atLeast"/>
        <w:jc w:val="both"/>
        <w:outlineLvl w:val="1"/>
      </w:pPr>
      <w:r>
        <w:t xml:space="preserve">Visto il testo unico delle leggi sulla Corte dei conti, approvato con regio decreto 12 luglio 1934, n. 1214 e successive modificazioni; </w:t>
      </w:r>
    </w:p>
    <w:p w:rsidR="00833821" w:rsidRDefault="00833821" w:rsidP="00833821">
      <w:pPr>
        <w:shd w:val="clear" w:color="auto" w:fill="FEFEFE"/>
        <w:spacing w:after="0" w:line="20" w:lineRule="atLeast"/>
        <w:jc w:val="both"/>
        <w:outlineLvl w:val="1"/>
      </w:pPr>
      <w:r>
        <w:t xml:space="preserve">Vista la legge 14 gennaio 1994, n. 20; </w:t>
      </w:r>
    </w:p>
    <w:p w:rsidR="00833821" w:rsidRDefault="00833821" w:rsidP="00833821">
      <w:pPr>
        <w:shd w:val="clear" w:color="auto" w:fill="FEFEFE"/>
        <w:spacing w:after="0" w:line="20" w:lineRule="atLeast"/>
        <w:jc w:val="both"/>
        <w:outlineLvl w:val="1"/>
      </w:pPr>
      <w:r>
        <w:t xml:space="preserve">Vista la legge 5 giugno 2003, n. 131; </w:t>
      </w:r>
    </w:p>
    <w:p w:rsidR="00833821" w:rsidRDefault="00833821" w:rsidP="00833821">
      <w:pPr>
        <w:shd w:val="clear" w:color="auto" w:fill="FEFEFE"/>
        <w:spacing w:after="0" w:line="20" w:lineRule="atLeast"/>
        <w:jc w:val="both"/>
        <w:outlineLvl w:val="1"/>
      </w:pPr>
      <w:r>
        <w:t xml:space="preserve">Vista la legge 23 dicembre 2005, n. 266 (legge finanziaria per il 2006) ed in particolare l’art. 1, commi 166 e seguenti; </w:t>
      </w:r>
    </w:p>
    <w:p w:rsidR="00833821" w:rsidRDefault="00833821" w:rsidP="00833821">
      <w:pPr>
        <w:shd w:val="clear" w:color="auto" w:fill="FEFEFE"/>
        <w:spacing w:after="0" w:line="20" w:lineRule="atLeast"/>
        <w:jc w:val="both"/>
        <w:outlineLvl w:val="1"/>
      </w:pPr>
      <w:r>
        <w:t xml:space="preserve">Visto il decreto legislativo 23 giugno 2011, n. 118, come emendato e corretto dal decreto legislativo 10 agosto 2014, n. 126; </w:t>
      </w:r>
    </w:p>
    <w:p w:rsidR="00833821" w:rsidRDefault="00833821" w:rsidP="00833821">
      <w:pPr>
        <w:shd w:val="clear" w:color="auto" w:fill="FEFEFE"/>
        <w:spacing w:after="0" w:line="20" w:lineRule="atLeast"/>
        <w:jc w:val="both"/>
        <w:outlineLvl w:val="1"/>
      </w:pPr>
      <w:r>
        <w:t xml:space="preserve">Visto il principio contabile applicato del bilancio consolidato di cui all’allegato n. 4/4 al decreto legislativo 23 giugno 2011, n. 118; </w:t>
      </w:r>
    </w:p>
    <w:p w:rsidR="00833821" w:rsidRDefault="00833821" w:rsidP="00833821">
      <w:pPr>
        <w:shd w:val="clear" w:color="auto" w:fill="FEFEFE"/>
        <w:spacing w:after="0" w:line="20" w:lineRule="atLeast"/>
        <w:jc w:val="both"/>
        <w:outlineLvl w:val="1"/>
      </w:pPr>
      <w:r>
        <w:t xml:space="preserve">Visto il decreto-legge 10 ottobre 2012, n. 174 convertito, con modificazioni, dalla legge 7 dicembre 2012, n. 213, ed in particolare l’art. 1, commi 3 e 4; Visto il regolamento per l’organizzazione delle funzioni di controllo della Corte dei conti, approvato dalle Sezioni riunite con la deliberazione n. 14 del 16 giugno 2000 e successive modificazioni; </w:t>
      </w:r>
    </w:p>
    <w:p w:rsidR="00833821" w:rsidRDefault="00833821" w:rsidP="00833821">
      <w:pPr>
        <w:shd w:val="clear" w:color="auto" w:fill="FEFEFE"/>
        <w:spacing w:after="0" w:line="20" w:lineRule="atLeast"/>
        <w:jc w:val="both"/>
        <w:outlineLvl w:val="1"/>
      </w:pPr>
      <w:r>
        <w:t xml:space="preserve">Vista la nota del Presidente della Corte dei conti n. 472 del 16 luglio 2019 di convocazione della Sezione delle autonomie per l’adunanza odierna; </w:t>
      </w:r>
    </w:p>
    <w:p w:rsidR="00833821" w:rsidRDefault="00833821" w:rsidP="00833821">
      <w:pPr>
        <w:shd w:val="clear" w:color="auto" w:fill="FEFEFE"/>
        <w:spacing w:after="0" w:line="20" w:lineRule="atLeast"/>
        <w:jc w:val="both"/>
        <w:outlineLvl w:val="1"/>
      </w:pPr>
      <w:r>
        <w:t xml:space="preserve">Uditi i relatori, Consiglieri Adelisa Corsetti e Valeria Franchi; </w:t>
      </w:r>
    </w:p>
    <w:p w:rsidR="00833821" w:rsidRDefault="00833821" w:rsidP="00833821">
      <w:pPr>
        <w:shd w:val="clear" w:color="auto" w:fill="FEFEFE"/>
        <w:spacing w:after="0" w:line="20" w:lineRule="atLeast"/>
        <w:jc w:val="both"/>
        <w:outlineLvl w:val="1"/>
      </w:pPr>
      <w:r>
        <w:t xml:space="preserve">Delibera: </w:t>
      </w:r>
    </w:p>
    <w:p w:rsidR="00833821" w:rsidRDefault="00833821" w:rsidP="00833821">
      <w:pPr>
        <w:shd w:val="clear" w:color="auto" w:fill="FEFEFE"/>
        <w:spacing w:after="0" w:line="20" w:lineRule="atLeast"/>
        <w:jc w:val="both"/>
        <w:outlineLvl w:val="1"/>
      </w:pPr>
      <w:r>
        <w:t>di approvare gli uniti documenti, che costituiscono parte integrante della presente deliberazione, riguardanti le Linee guida per gli organi di revisione economico finanziaria degli enti territoriali sul bilancio consolidato 2018, in attuazione dall’art. 1, commi 3 e 4, del decreto-legge 10 ottobre 2012, n. 174, convertito, con modificazioni, dalla legge 7 dicembre 2012, n. 213, e dell’art. 1, commi 166 e seguenti, della legge 23 dicembre 2005, n. 266, nonché il relativo questionario e la correlata nota metodologica. La presente deliberazione sarà pubblicata nella Gazzetta Ufficiale della Repubblica italiana. Così deliberato in Roma nell’adunanza del 22 luglio 2019.</w:t>
      </w:r>
    </w:p>
    <w:p w:rsidR="00833821" w:rsidRDefault="00833821" w:rsidP="00833821">
      <w:pPr>
        <w:shd w:val="clear" w:color="auto" w:fill="FEFEFE"/>
        <w:spacing w:after="0" w:line="20" w:lineRule="atLeast"/>
        <w:jc w:val="both"/>
        <w:outlineLvl w:val="1"/>
      </w:pPr>
      <w:r>
        <w:t xml:space="preserve"> Il Presidente: BUSCEMA </w:t>
      </w:r>
    </w:p>
    <w:p w:rsidR="00833821" w:rsidRDefault="00833821" w:rsidP="00833821">
      <w:pPr>
        <w:shd w:val="clear" w:color="auto" w:fill="FEFEFE"/>
        <w:spacing w:after="0" w:line="20" w:lineRule="atLeast"/>
        <w:jc w:val="both"/>
        <w:outlineLvl w:val="1"/>
      </w:pPr>
      <w:r>
        <w:t>I relatori: CORSETTI - FRANCHI Depositata in segreteria il 24 luglio 2019 p. il dirigente, il funzionario incaricato: PARLATO</w:t>
      </w:r>
    </w:p>
    <w:p w:rsidR="00833821" w:rsidRDefault="00833821" w:rsidP="00833821">
      <w:pPr>
        <w:shd w:val="clear" w:color="auto" w:fill="FEFEFE"/>
        <w:spacing w:after="0" w:line="20" w:lineRule="atLeast"/>
        <w:jc w:val="both"/>
        <w:outlineLvl w:val="1"/>
      </w:pPr>
      <w:r>
        <w:t xml:space="preserve"> LINEE GUIDA PER LA RELAZIONE DEI REVISORI SUL BILANCIO CONSOLIDATO DEGLI ENTI TERRITORIALI PER L’ESERCIZIO 2018 </w:t>
      </w:r>
    </w:p>
    <w:p w:rsidR="00833821" w:rsidRDefault="00833821" w:rsidP="00833821">
      <w:pPr>
        <w:shd w:val="clear" w:color="auto" w:fill="FEFEFE"/>
        <w:spacing w:after="0" w:line="20" w:lineRule="atLeast"/>
        <w:jc w:val="both"/>
        <w:outlineLvl w:val="1"/>
      </w:pPr>
      <w:r>
        <w:t xml:space="preserve">1. Premessa Il bilancio consolidato del «gruppo amministrazione pubblica» è lo strumento preordinato a dare piena evidenza alla situazione finanziaria, economica e patrimoniale dell’ente e della complessiva attività svolta dallo stesso attraverso le proprie articolazioni organizzative. Esso rappresenta – unitamente all’adozione di un sistema di contabilità economico-patrimoniale su cui il predetto documento contabile si </w:t>
      </w:r>
      <w:r>
        <w:lastRenderedPageBreak/>
        <w:t xml:space="preserve">fonda – un obiettivo centrale del decreto legislativo n. 118 del 23 novembre 2011, come integrato e corretto dal decreto legislativo n. 126/2014. </w:t>
      </w:r>
    </w:p>
    <w:p w:rsidR="00833821" w:rsidRDefault="00833821" w:rsidP="00833821">
      <w:pPr>
        <w:shd w:val="clear" w:color="auto" w:fill="FEFEFE"/>
        <w:spacing w:after="0" w:line="20" w:lineRule="atLeast"/>
        <w:jc w:val="both"/>
        <w:outlineLvl w:val="1"/>
      </w:pPr>
      <w:r>
        <w:t xml:space="preserve">Trattasi di un’innovazione, peraltro non del tutto inedita nell’ambito della normativa contabile, particolarmente sfidante per gli enti territoriali, chiamati ad una rinnovata considerazione dei rapporti con i propri organismi partecipati, rispetto alla quale, il bilancio consolidato, oltre ad assolvere a finalità di tipo informativo, riveste carattere strategico per l’effettivo esercizio delle funzioni di programmazione, gestione e controllo dell’attività dell’ente quale soggetto capogruppo. In considerazione di ciò – e dell’imminente scadenza (30 settembre 2019) fissata per l’adozione di tale documento contabile – la Sezione delle autonomie, in continuità con l’attività di orientamento svolta in occasione dell’avvio del nuovo sistema di contabilità armonizzata ( cfr. deliberazioni n. 4/2015/INPR, n. 9/2016/INPR e n. 14/SEZAUT/2017/ INPR), ritiene di dover fornire, anche in tema di bilancio consolidato, indicazioni di principio ed operative su alcuni profili di particolare rilevanza. Le presenti linee guida, a differenza dei richiamati atti di orientamento, vanno ad integrare le linee guida emanate a norma dell’art. 1, comma 3, decreto-legge n. 174 del 10 ottobre 2012 e dell’art. 1, commi 166 e ss., legge n. 266/2005, per le relazioni degli Organi di revisione dei conti sui bilanci di previsione e sui rendiconti degli enti territoriali. </w:t>
      </w:r>
    </w:p>
    <w:p w:rsidR="00833821" w:rsidRDefault="00833821" w:rsidP="00833821">
      <w:pPr>
        <w:shd w:val="clear" w:color="auto" w:fill="FEFEFE"/>
        <w:spacing w:after="0" w:line="20" w:lineRule="atLeast"/>
        <w:jc w:val="both"/>
        <w:outlineLvl w:val="1"/>
      </w:pPr>
      <w:r>
        <w:t xml:space="preserve">Ciò in quanto sono finalizzate ad assicurare l’uniformità dei comportamenti dei revisori contabili dei predetti enti che, in materia di bilancio consolidato, devono rendere specifico parere. Le stesse linee guida, unitamente alle note metodologiche che le corredano, mirano, altresì, a fornire agli enti interessati uno strumento di ausilio nella gestione delle operazioni propedeutiche per un corretto consolidamento delle risultanze contabili dei diversi soggetti ascrivibili al gruppo amministrazione pubblica. Il bilancio consolidato – per la sua finalità di restituire trasparenza e responsabilizzazione nei diversi livelli di Governo – dovrebbe essere redatto da tutti gli enti territoriali, come statuito dal richiamato art. 11 del decreto legislativo n. 118/2011, nonché dalle specifiche disposizioni dettate per gli enti locali (art. 147 -quater , comma 4: «I risultati complessivi della gestione dell’ente locale e delle aziende non quotate partecipate sono rilevati mediante bilancio consolidato, secondo la competenza economica, predisposto secondo le modalità previste dal decreto legislativo 23 giugno 2011, n. 118, e successive modificazioni»). </w:t>
      </w:r>
    </w:p>
    <w:p w:rsidR="00833821" w:rsidRDefault="00833821" w:rsidP="00833821">
      <w:pPr>
        <w:shd w:val="clear" w:color="auto" w:fill="FEFEFE"/>
        <w:spacing w:after="0" w:line="20" w:lineRule="atLeast"/>
        <w:jc w:val="both"/>
        <w:outlineLvl w:val="1"/>
      </w:pPr>
      <w:r>
        <w:t xml:space="preserve">Tuttavia, il legislatore, dopo aver accordato agli enti con popolazione inferiore a 5.000 abitanti il beneficio della gradualità d’applicazione delle norme sul consolidato, con l’attuale formulazione dell’art. 233 -bis del decreto legislativo 18 agosto 2000, n. 267 (TUEL) ha stabilito, con norma a regime, che i suddetti enti dal 1° gennaio 2019 «possono non predisporre il bilancio consolidato» </w:t>
      </w:r>
      <w:proofErr w:type="gramStart"/>
      <w:r>
        <w:t>( cfr.</w:t>
      </w:r>
      <w:proofErr w:type="gramEnd"/>
      <w:r>
        <w:t xml:space="preserve"> art. 1, comma 831, legge 30 dicembre 2018, n. 145). </w:t>
      </w:r>
    </w:p>
    <w:p w:rsidR="00833821" w:rsidRDefault="00833821" w:rsidP="00833821">
      <w:pPr>
        <w:shd w:val="clear" w:color="auto" w:fill="FEFEFE"/>
        <w:spacing w:after="0" w:line="20" w:lineRule="atLeast"/>
        <w:jc w:val="both"/>
        <w:outlineLvl w:val="1"/>
      </w:pPr>
      <w:r>
        <w:t xml:space="preserve">È stata, così, significativamente ridimensionata la platea degli enti originariamente interessati alla redazione del bilancio consolidato come individuati dall’art. 11, comma 1, decreto legislativo n. 118/2011. Si aggiunge, da ultimo, la facoltà per i comuni con popolazione inferiore a 5.000 abitanti, di rinviare l’adozione della contabilità economico-patrimoniale, ai sensi dell’art. 232, comma 2, TUEL (come modificato dall’art. 15 -quater del decreto-legge 30 aprile 2019, n. 34, convertito dalla legge 28 giugno 2019, n. 58). </w:t>
      </w:r>
    </w:p>
    <w:p w:rsidR="00833821" w:rsidRDefault="00833821" w:rsidP="00833821">
      <w:pPr>
        <w:shd w:val="clear" w:color="auto" w:fill="FEFEFE"/>
        <w:spacing w:after="0" w:line="20" w:lineRule="atLeast"/>
        <w:jc w:val="both"/>
        <w:outlineLvl w:val="1"/>
      </w:pPr>
      <w:r>
        <w:t xml:space="preserve">Il legislatore, infatti, prevede che i suddetti comuni «possono non tenere la contabilità economicopatrimoniale fino all’esercizio 2019» </w:t>
      </w:r>
    </w:p>
    <w:p w:rsidR="00833821" w:rsidRDefault="00833821" w:rsidP="00833821">
      <w:pPr>
        <w:shd w:val="clear" w:color="auto" w:fill="FEFEFE"/>
        <w:spacing w:after="0" w:line="20" w:lineRule="atLeast"/>
        <w:jc w:val="both"/>
        <w:outlineLvl w:val="1"/>
      </w:pPr>
      <w:r>
        <w:t xml:space="preserve">A fronte della facoltatività dei predetti adempimenti, è onere degli Enti formalizzare la scelta con apposita deliberazione. </w:t>
      </w:r>
    </w:p>
    <w:p w:rsidR="00833821" w:rsidRDefault="00833821" w:rsidP="00833821">
      <w:pPr>
        <w:shd w:val="clear" w:color="auto" w:fill="FEFEFE"/>
        <w:spacing w:after="0" w:line="20" w:lineRule="atLeast"/>
        <w:jc w:val="both"/>
        <w:outlineLvl w:val="1"/>
      </w:pPr>
      <w:r>
        <w:t xml:space="preserve">Tale necessità può ricavarsi dalle richiamate finalità che la legge riconnette alla redazione del bilancio consolidato e alla tenuta della contabilità economicopatrimoniale: sotto questo profilo, la diversa scelta dell’Ente deve essere supportata da adeguata motivazione nella quale si evidenzi come, nel caso concreto, gli elementi informativi offerti dalla contabilità finanziaria assolvano compiutamente alle anzidette finalità. 2. Il quadro normativo di riferimento e la sua evoluzione. </w:t>
      </w:r>
    </w:p>
    <w:p w:rsidR="00833821" w:rsidRDefault="00833821" w:rsidP="00833821">
      <w:pPr>
        <w:shd w:val="clear" w:color="auto" w:fill="FEFEFE"/>
        <w:spacing w:after="0" w:line="20" w:lineRule="atLeast"/>
        <w:jc w:val="both"/>
        <w:outlineLvl w:val="1"/>
      </w:pPr>
      <w:r>
        <w:t xml:space="preserve">Come già evidenziato, l’esigenza di un consolidamento delle risultanze di bilancio degli enti con quelle delle gestioni esternalizzate – posta in maniera cogente e precettiva dal nuovo sistema di contabilità armonizzata – non rappresenta una novità in senso assoluto, potendo rinvenirsi i prodromi nella normativa preesistente. Con riferimento agli enti locali, non appare superfluo rimarcare come il TUEL, pur non prevedendo l’obbligo di redigere un bilancio consolidato, recasse, già nella formulazione originaria, plurime disposizioni volte a fornire una informativa che avesse riguardo non solo al risultato delle gestioni dirette dell’ente, ma anche di quelle affidate ad organismi esterni. </w:t>
      </w:r>
    </w:p>
    <w:p w:rsidR="00833821" w:rsidRDefault="00833821" w:rsidP="00833821">
      <w:pPr>
        <w:shd w:val="clear" w:color="auto" w:fill="FEFEFE"/>
        <w:spacing w:after="0" w:line="20" w:lineRule="atLeast"/>
        <w:jc w:val="both"/>
        <w:outlineLvl w:val="1"/>
      </w:pPr>
      <w:r>
        <w:lastRenderedPageBreak/>
        <w:t xml:space="preserve">Di rilievo l’art. 152, comma 2, il quale, sin dalla versione originaria, prevede che «il regolamento di contabilità deve assicurare la conoscenza consolidata dei risultati globali delle gestioni relative ad enti od organismi costituiti per l’esercizio di funzioni e servizi», nonché l’art. 230, comma 6, che, nella versione previgente, rimetteva ad una previsione del regolamento contabilità «la compilazione di un conto consolidato patrimoniale per tutte le attività e passività interne ed esterne». </w:t>
      </w:r>
    </w:p>
    <w:p w:rsidR="00833821" w:rsidRDefault="00833821" w:rsidP="00833821">
      <w:pPr>
        <w:shd w:val="clear" w:color="auto" w:fill="FEFEFE"/>
        <w:spacing w:after="0" w:line="20" w:lineRule="atLeast"/>
        <w:jc w:val="both"/>
        <w:outlineLvl w:val="1"/>
      </w:pPr>
      <w:r>
        <w:t>La portata strategica di siffatta «conoscenza consolidata» ai fini della programmazione era già valorizzata dall’art. 172 TUEL, laddove elencava tra gli allegati al bilancio di previsione «le risultanze dei rendiconti o conti consolidati delle unioni di comuni, aziende speciali, consorzi, istituzioni, società di capitali costituite per l’esercizio di servizi pubblici, relativi al penultimo esercizio antecedente a quello cui il bilancio si riferisce».</w:t>
      </w:r>
    </w:p>
    <w:p w:rsidR="00833821" w:rsidRDefault="00833821" w:rsidP="00833821">
      <w:pPr>
        <w:shd w:val="clear" w:color="auto" w:fill="FEFEFE"/>
        <w:spacing w:after="0" w:line="20" w:lineRule="atLeast"/>
        <w:jc w:val="both"/>
        <w:outlineLvl w:val="1"/>
      </w:pPr>
      <w:r>
        <w:t xml:space="preserve">L’adozione dei principi contabili internazionali per il settore pubblico (IPSAS – International Public Sector Accounting Standards), con i quali si attribuisce particolare rilievo al bilancio consolidato, nella sua duplice e sinergica valenza informativa e gestionale ha, poi, ulteriormente, contribuito a dare impulso alla tematica. Agli stessi è, peraltro, informato il principio contabile n. 4, emanato nel maggio 2009 dall’Osservatorio per la finanza e la contabilità degli enti locali, che rappresenta un momento di indubbio rilievo nell’ambito di tale percorso evolutivo. </w:t>
      </w:r>
    </w:p>
    <w:p w:rsidR="00833821" w:rsidRDefault="00833821" w:rsidP="00833821">
      <w:pPr>
        <w:shd w:val="clear" w:color="auto" w:fill="FEFEFE"/>
        <w:spacing w:after="0" w:line="20" w:lineRule="atLeast"/>
        <w:jc w:val="both"/>
        <w:outlineLvl w:val="1"/>
      </w:pPr>
      <w:r>
        <w:t>Detto principio – pur con i limiti derivanti, per un verso, dalla non definitiva approvazione a causa del mancato rinnovo dell’Osservatorio, e per altro, dalla sua natura giuridica di mera «buona pratica» – nel focalizzare gli aspetti salienti della redazione del bilancio consolidato (tra cui, l’individuazione del Gruppo ente locale e la corretta perimetrazione dell’area di consolidamento), ha, infatti, costituito un importante parametro di riferimento della elaborazione successiva.</w:t>
      </w:r>
    </w:p>
    <w:p w:rsidR="00833821" w:rsidRDefault="00833821" w:rsidP="00833821">
      <w:pPr>
        <w:shd w:val="clear" w:color="auto" w:fill="FEFEFE"/>
        <w:spacing w:after="0" w:line="20" w:lineRule="atLeast"/>
        <w:jc w:val="both"/>
        <w:outlineLvl w:val="1"/>
      </w:pPr>
      <w:r>
        <w:t xml:space="preserve">Nondimeno è con la legge 5 maggio 2009, n. 42, recante «Delega al Governo in materia di federalismo fiscale, in attuazione dell’art. 119 della Costituzione» che la tematica del consolidamento acquista centralità, sicché l’adozione del relativo documento contabile si pone in termini di obbligatorietà. </w:t>
      </w:r>
    </w:p>
    <w:p w:rsidR="00833821" w:rsidRDefault="00833821" w:rsidP="00833821">
      <w:pPr>
        <w:shd w:val="clear" w:color="auto" w:fill="FEFEFE"/>
        <w:spacing w:after="0" w:line="20" w:lineRule="atLeast"/>
        <w:jc w:val="both"/>
        <w:outlineLvl w:val="1"/>
      </w:pPr>
      <w:r>
        <w:t xml:space="preserve">In particolare, l’art. 2 della citata legge, nel fissare i principi ed i criteri direttivi cui devono uniformarsi i correlati decreti legislativi, alla lettera h) del comma 2, prevede, tra l’altro, l’adozione di un bilancio consolidato con le proprie aziende, società o altri organismi controllati, secondo uno schema comune. </w:t>
      </w:r>
    </w:p>
    <w:p w:rsidR="00833821" w:rsidRDefault="00833821" w:rsidP="00833821">
      <w:pPr>
        <w:shd w:val="clear" w:color="auto" w:fill="FEFEFE"/>
        <w:spacing w:after="0" w:line="20" w:lineRule="atLeast"/>
        <w:jc w:val="both"/>
        <w:outlineLvl w:val="1"/>
      </w:pPr>
      <w:r>
        <w:t>La pressoché coeva legge di contabilità e finanza pubblica 31 dicembre 2009, n. 196, all’art. 2, sotto la rubrica oDelega al Governo per l’adeguamento dei sistemi contabili», rimette al legislatore delegato l’adozione di un bilancio consolidato delle amministrazioni pubbliche con le proprie aziende, società o altri organismi controllati, secondo uno schema tipo definito dal Ministro dell’economia e delle finanze d’intesa con i Ministri interessati (comma 2, lettera e</w:t>
      </w:r>
      <w:proofErr w:type="gramStart"/>
      <w:r>
        <w:t>) .</w:t>
      </w:r>
      <w:proofErr w:type="gramEnd"/>
      <w:r>
        <w:t xml:space="preserve"> In tale alveo si colloca il decreto legislativo n. 118/2011, novellato dal decreto legislativo n. 126/2014 («Disposizioni in materia di armonizzazione dei sistemi contabili e degli schemi di bilancio delle Regioni, degli enti locali e dei loro organismi, a norma degli articoli 1 e 2 della legge 5 maggio 2009, n. 42»), il cui art. 11, nel dare attuazione all’articolato disegno tratteggiato dal legislatore delegato, ha stabilito l’obbligo di redazione del bilancio consolidato per tutti gli enti in contabilità armonizzata, secondo le tempistiche indicate dall’art. 18 dello stesso decreto. Per gli enti locali, è di rilievo anche la sopra citata previsione dell’art. 172 TUEL (emendato dal decreto legislativo n. 118/2011), che annovera il bilancio consolidato tra gli allegati al bilancio di previsione, nonché la disposizione dell’art. 239, comma 1, lettera d -</w:t>
      </w:r>
      <w:proofErr w:type="gramStart"/>
      <w:r>
        <w:t>bis )</w:t>
      </w:r>
      <w:proofErr w:type="gramEnd"/>
      <w:r>
        <w:t xml:space="preserve"> del TUEL, secondo cui l’organo di revisione è tenuto a rendere specifico parere sullo schema di bilancio consolidato. </w:t>
      </w:r>
    </w:p>
    <w:p w:rsidR="00833821" w:rsidRDefault="00833821" w:rsidP="00833821">
      <w:pPr>
        <w:shd w:val="clear" w:color="auto" w:fill="FEFEFE"/>
        <w:spacing w:after="0" w:line="20" w:lineRule="atLeast"/>
        <w:jc w:val="both"/>
        <w:outlineLvl w:val="1"/>
      </w:pPr>
      <w:r>
        <w:t>Tale articolato corpus normativo trova completamento nelle disposizioni dettate dal decreto-legge n. 174/2012, convertito dalla legge n. 213/2012 che, nell’intento di rafforzare i controlli della Corte dei conti sugli Enti territoriali, ha integrato e novellato il TUEL, dando un ulteriore impulso all’obbligatorietà del bilancio consolidato.</w:t>
      </w:r>
    </w:p>
    <w:p w:rsidR="00833821" w:rsidRDefault="00833821" w:rsidP="00833821">
      <w:pPr>
        <w:shd w:val="clear" w:color="auto" w:fill="FEFEFE"/>
        <w:spacing w:after="0" w:line="20" w:lineRule="atLeast"/>
        <w:jc w:val="both"/>
        <w:outlineLvl w:val="1"/>
      </w:pPr>
      <w:r>
        <w:t xml:space="preserve"> Di particolare rilievo è la previsione di cui all’art. 148 -bis TUEL, a mente del quale le Sezioni regionali di controllo, nell’esaminare i bilanci e i rendiconti degli enti locali, tengono conto, anche, dei risultati delle partecipazioni societarie.</w:t>
      </w:r>
    </w:p>
    <w:p w:rsidR="00833821" w:rsidRDefault="00833821" w:rsidP="00833821">
      <w:pPr>
        <w:shd w:val="clear" w:color="auto" w:fill="FEFEFE"/>
        <w:spacing w:after="0" w:line="20" w:lineRule="atLeast"/>
        <w:jc w:val="both"/>
        <w:outlineLvl w:val="1"/>
      </w:pPr>
      <w:r>
        <w:t xml:space="preserve"> Analogamente, per Regioni e Province autonome, l’art. 1, comma 4, decreto-legge n. 174/2012, prevede che le Sezioni predette «verificano altresì che i rendiconti delle regioni tengano conto anche delle partecipazioni in società controllate e alle quali è affidata la gestione di servizi pubblici per la collettività regionale e di servizi strumentali alla regione, nonché dei risultati definitivi della gestione degli enti del Servizio sanitario nazionale». </w:t>
      </w:r>
    </w:p>
    <w:p w:rsidR="00833821" w:rsidRDefault="00833821" w:rsidP="00833821">
      <w:pPr>
        <w:shd w:val="clear" w:color="auto" w:fill="FEFEFE"/>
        <w:spacing w:after="0" w:line="20" w:lineRule="atLeast"/>
        <w:jc w:val="both"/>
        <w:outlineLvl w:val="1"/>
      </w:pPr>
      <w:r>
        <w:lastRenderedPageBreak/>
        <w:t xml:space="preserve">L’attenzione del legislatore per il consolidamento dei conti del «gruppo amministrazione pubblica» si rinviene anche nelle norme che disciplinano i controlli interni. </w:t>
      </w:r>
    </w:p>
    <w:p w:rsidR="00833821" w:rsidRDefault="00833821" w:rsidP="00833821">
      <w:pPr>
        <w:shd w:val="clear" w:color="auto" w:fill="FEFEFE"/>
        <w:spacing w:after="0" w:line="20" w:lineRule="atLeast"/>
        <w:jc w:val="both"/>
        <w:outlineLvl w:val="1"/>
      </w:pPr>
      <w:r>
        <w:t>L’art. 147 TUEL al comma 2, lettera d) , dispone che il sistema di controllo interno è, tra l’altro, diretto a «verificare, attraverso l’affidamento e il controllo dello stato di attuazione di indirizzi e obiettivi gestionali, anche in riferimento all’art. 170, comma 6, la redazione del bilancio consolidato nel rispetto di quanto previsto dal decreto legislativo 23 giugno 2011, n. 118, e successive modificazioni, l’efficacia, l’efficienza e l’economicità degli organismi gestionali esterni dell’ente». In modo analogo, il richiamato art. 147 -quater TUEL, nell’introdurre un’inedita forma di controllo sulle società partecipate dall’ente locale, al comma 4, prescrive che «i risultati complessivi della gestione dell’Ente locale e delle aziende partecipate sono rilevati mediante bilancio consolidato, secondo la competenza economica».</w:t>
      </w:r>
    </w:p>
    <w:p w:rsidR="00833821" w:rsidRDefault="00833821" w:rsidP="00833821">
      <w:pPr>
        <w:shd w:val="clear" w:color="auto" w:fill="FEFEFE"/>
        <w:spacing w:after="0" w:line="20" w:lineRule="atLeast"/>
        <w:jc w:val="both"/>
        <w:outlineLvl w:val="1"/>
      </w:pPr>
      <w:r>
        <w:t xml:space="preserve">Le stesse verifiche sono svolte con riferimento alle Regioni e alle Province autonome, ove la norma di riferimento è l’art. 1, comma 6, decreto-legge n. 174/2012. In disparte i problemi di coordinamento – posti dal susseguirsi dei diversi interventi normativi – appare evidente la necessità che l’insieme delle norme regolatrici della materia trovi, da parte degli enti, compiuta e puntuale attuazione, sì da non degradare l’adozione del bilancio consolidato a mero adempimento, frustrandone, conseguentemente, la sinergica funzione informativa e gestionale. </w:t>
      </w:r>
    </w:p>
    <w:p w:rsidR="00833821" w:rsidRDefault="00833821" w:rsidP="00833821">
      <w:pPr>
        <w:shd w:val="clear" w:color="auto" w:fill="FEFEFE"/>
        <w:spacing w:after="0" w:line="20" w:lineRule="atLeast"/>
        <w:jc w:val="both"/>
        <w:outlineLvl w:val="1"/>
      </w:pPr>
      <w:r>
        <w:t xml:space="preserve">3. Le indicazioni della magistratura contabile. Tali finalità sono state, peraltro, evidenziate dalla magistratura contabile che, in diverse sedi e nell’ambito dell’importante riflessione avviata rispetto agli istituti di maggiore rilievo del nuovo sistema di contabilità armonizzata, è intervenuta sulla tematica del consolidamento. </w:t>
      </w:r>
    </w:p>
    <w:p w:rsidR="00833821" w:rsidRDefault="00833821" w:rsidP="00833821">
      <w:pPr>
        <w:shd w:val="clear" w:color="auto" w:fill="FEFEFE"/>
        <w:spacing w:after="0" w:line="20" w:lineRule="atLeast"/>
        <w:jc w:val="both"/>
        <w:outlineLvl w:val="1"/>
      </w:pPr>
      <w:r>
        <w:t xml:space="preserve">Così la Sezione delle autonomie, in occasione della audizione del 29 maggio 2014 innanzi alla Commissione per l’attuazione del federalismo fiscale – nel riferire in ordine allo schema di decreto poi esitato nel decreto legislativo n. 126/2014 – ha rimarcato come il consolidamento dei conti consenta di superare quel frazionamento dei soggetti erogatori di servizi pubblici che potrebbe rappresentare ostacolo ad una piena conoscibilità della situazione finanziaria complessiva che rappresenta condizione imprescindibile per la governabilità dei conti del Paese. Nella medesima sede, seppur in diversa occasione ( cfr. audizione del 27 novembre 2014), la Sezione delle autonomie non ha mancato di segnalare – proprio con riguardo all’adozione del bilancio consolidato e, più in generale, alla introduzione della contabilità economico/patrimoniale – le distonie che potevano riconnettersi ad una introduzione graduale di tali istituti ed al regime differenziato previsto per enti sperimentatori e non ( cfr. appendice n. 1 alla predetta audizione recante «Focus sui tempi di attuazione della riforma per Regioni ed Enti locali»). Analogamente la medesima Sezione – nell’ambito delle relazioni rese al Parlamento in materia di organismi partecipati degli enti territoriali ( cfr. deliberazione n. 23/SEZAUT/2018/FRG, n. 27/SEZAUT/2017/FRG) – ha costantemente evidenziato la centralità del bilancio consolidato in quanto funzionale al rispetto, in termini di effettività, dei vincoli di finanza pubblica, argomentando, al riguardo, come a detti fini, sia necessaria una base conoscitiva omogenea con regole contabili uniformi per tutti i soggetti che, a vario titolo sono inclusi nel concetto di amministrazione pubblica. </w:t>
      </w:r>
    </w:p>
    <w:p w:rsidR="00833821" w:rsidRDefault="00833821" w:rsidP="00833821">
      <w:pPr>
        <w:shd w:val="clear" w:color="auto" w:fill="FEFEFE"/>
        <w:spacing w:after="0" w:line="20" w:lineRule="atLeast"/>
        <w:jc w:val="both"/>
        <w:outlineLvl w:val="1"/>
      </w:pPr>
      <w:r>
        <w:t>Ciò in coerenza con le chiare indicazioni offerte dal principio contabile applicato n. 4/4 allegato al decreto legislativo n. 118/2011, secondo cui «Il bilancio consolidato è quindi lo strumento informativo primario di dati patrimoniali, economici e finanziari del gruppo inteso come un’unica entità economica distinta dalle singole società e/o enti componenti il gruppo, che assolve a funzioni essenziali di informazione, sia interna che esterna, funzioni che non possono essere assolte dai bilanci separati degli enti e/o società componenti il gruppo né da una loro semplice aggregazione».</w:t>
      </w:r>
    </w:p>
    <w:p w:rsidR="00833821" w:rsidRDefault="00833821" w:rsidP="00833821">
      <w:pPr>
        <w:shd w:val="clear" w:color="auto" w:fill="FEFEFE"/>
        <w:spacing w:after="0" w:line="20" w:lineRule="atLeast"/>
        <w:jc w:val="both"/>
        <w:outlineLvl w:val="1"/>
      </w:pPr>
      <w:r>
        <w:t xml:space="preserve">In questa prospettiva specifica attenzione è stata posta da questa Sezione, tanto nell’ambito della funzione di referto che in quella di coordinamento, rispetto alle attività ed agli adempimenti che rappresentano presupposto della redazione del bilancio consolidato. In primo luogo, alla regolare tenuta della contabilità economico patrimoniale. </w:t>
      </w:r>
    </w:p>
    <w:p w:rsidR="00833821" w:rsidRDefault="00833821" w:rsidP="00833821">
      <w:pPr>
        <w:shd w:val="clear" w:color="auto" w:fill="FEFEFE"/>
        <w:spacing w:after="0" w:line="20" w:lineRule="atLeast"/>
        <w:jc w:val="both"/>
        <w:outlineLvl w:val="1"/>
      </w:pPr>
      <w:r>
        <w:t xml:space="preserve">Al riguardo è stato sottolineato come la introduzione, in affiancamento a quella finanziaria, della contabilità economico patrimoniale consente di «realizzare una effettiva omogeneità dei bilanci e dei rendiconti, ampliando il perimetro degli Enti tenuti ad adottare la contabilità patrimoniale fino al consolidamento dei bilanci degli organismi partecipati/controllati dagli Enti stessi, migliorando in tal modo la complessiva qualità dei conti pubblici e concorrendo positivamente al percorso di risanamento della finanza territoriale» ( cfr. deliberazione n. 6/SEZAUT/2019/FRG). </w:t>
      </w:r>
    </w:p>
    <w:p w:rsidR="00833821" w:rsidRDefault="00833821" w:rsidP="00833821">
      <w:pPr>
        <w:shd w:val="clear" w:color="auto" w:fill="FEFEFE"/>
        <w:spacing w:after="0" w:line="20" w:lineRule="atLeast"/>
        <w:jc w:val="both"/>
        <w:outlineLvl w:val="1"/>
      </w:pPr>
      <w:r>
        <w:t xml:space="preserve">Costante è stato, inoltre, il richiamo alla compiuta osservanza della normativa in tema di riconciliazione delle reciproche posizioni creditorie e debitorie. </w:t>
      </w:r>
    </w:p>
    <w:p w:rsidR="00833821" w:rsidRDefault="00833821" w:rsidP="00833821">
      <w:pPr>
        <w:shd w:val="clear" w:color="auto" w:fill="FEFEFE"/>
        <w:spacing w:after="0" w:line="20" w:lineRule="atLeast"/>
        <w:jc w:val="both"/>
        <w:outlineLvl w:val="1"/>
      </w:pPr>
      <w:r>
        <w:lastRenderedPageBreak/>
        <w:t xml:space="preserve">Detto adempimento – oltre a porsi quale presidio per il mantenimento anche prospettico degli equilibri di bilancio, evitando l’insorgenza di passività latenti in capo all’ente socio – assume particolare rilievo ai fini del consolidamento, segnatamente ai fini delle operazioni di elisione delle partite infragruppo, in quanto preordinato a garantire la perfetta corrispondenza tra le poste creditorie e debitorie degli enti e le reciproche registrazioni tenute dai rispettivi organismi. </w:t>
      </w:r>
    </w:p>
    <w:p w:rsidR="00833821" w:rsidRDefault="00833821" w:rsidP="00833821">
      <w:pPr>
        <w:shd w:val="clear" w:color="auto" w:fill="FEFEFE"/>
        <w:spacing w:after="0" w:line="20" w:lineRule="atLeast"/>
        <w:jc w:val="both"/>
        <w:outlineLvl w:val="1"/>
      </w:pPr>
      <w:r>
        <w:t xml:space="preserve">L’obbligo della c.d. circolarizzazione previsto inizialmente solo per comuni e province – nell’ambito delle misure volte a garantire e potenziare il sistema di pubblicità e trasparenza (art. 6, comma 4, decretolegge 6 luglio 2012, n. 95 convertito dalla legge 7 agosto 2012, n. 135) – è stato, infatti, generalizzato ed esteso a tutti gli enti territoriali per effetto dell’art. 11 comma 6, lettera j) del decreto legislativo n. 118/2011. </w:t>
      </w:r>
    </w:p>
    <w:p w:rsidR="00833821" w:rsidRDefault="00833821" w:rsidP="00833821">
      <w:pPr>
        <w:shd w:val="clear" w:color="auto" w:fill="FEFEFE"/>
        <w:spacing w:after="0" w:line="20" w:lineRule="atLeast"/>
        <w:jc w:val="both"/>
        <w:outlineLvl w:val="1"/>
      </w:pPr>
      <w:r>
        <w:t xml:space="preserve">Sul punto è stato rilevato che «trattasi di un obbligo informativo che è parte integrante della relazione sulla gestione allegata al rendiconto — rientrando nella responsabilità dell’organo esecutivo dell’Ente territoriale illustrare gli esiti della verifica dei debiti e crediti reciproci con i propri Enti strumentali e società controllate/partecipate — fermo restando che l’obbligo di asseverazione deve ritenersi posto a carico degli organi di revisione sia degli Enti territoriali sia degli organismi controllati/partecipati, per garantire una piena attendibilità dei rapporti debitori e creditori» ( cfr. C. conti, deliberazione n. 2/SEZAUT/2016/ QMIG). Specifico impulso è stato dato dalla Corte per l’affinamento del concetto di «significatività» e «rilevanza» dei bilanci da consolidare, in relazione alle criticità evidenziate dalle Sezioni regionali (Sez. contr. Puglia, deliberazione n. 66/2016/PRSP) e dalla Sezione autonomie, nelle proprie linee di indirizzo e con monitoraggi ad hoc (Sezione autonomie, deliberazioni nn. 14/SEZAUT/2017/INPR; 9/SEZAUT/2016/ INPR e 27/SEZAUT/2016/FRG, par. 1.3.3 e par. 3.7; 4/SEZAUT/2015/ INPR). </w:t>
      </w:r>
    </w:p>
    <w:p w:rsidR="00833821" w:rsidRDefault="00833821" w:rsidP="00833821">
      <w:pPr>
        <w:shd w:val="clear" w:color="auto" w:fill="FEFEFE"/>
        <w:spacing w:after="0" w:line="20" w:lineRule="atLeast"/>
        <w:jc w:val="both"/>
        <w:outlineLvl w:val="1"/>
      </w:pPr>
      <w:r>
        <w:t xml:space="preserve">L’attuale formulazione del principio contabile supera le rilevate criticità, sotto il duplice profilo della riduzione della soglia di rilevanza e dell’inclusione necessaria delle società in house. </w:t>
      </w:r>
    </w:p>
    <w:p w:rsidR="00833821" w:rsidRDefault="00833821" w:rsidP="00833821">
      <w:pPr>
        <w:shd w:val="clear" w:color="auto" w:fill="FEFEFE"/>
        <w:spacing w:after="0" w:line="20" w:lineRule="atLeast"/>
        <w:jc w:val="both"/>
        <w:outlineLvl w:val="1"/>
      </w:pPr>
      <w:r>
        <w:t>Da ultimo, si richiama la recente deliberazione della Sezione Friuli-Venezia Giulia n. 12/2019, da cui si traggano prime indicazioni operative in merito alla corretta applicazione del principio contabile applicato.</w:t>
      </w:r>
    </w:p>
    <w:p w:rsidR="00833821" w:rsidRDefault="00833821" w:rsidP="00833821">
      <w:pPr>
        <w:shd w:val="clear" w:color="auto" w:fill="FEFEFE"/>
        <w:spacing w:after="0" w:line="20" w:lineRule="atLeast"/>
        <w:jc w:val="both"/>
        <w:outlineLvl w:val="1"/>
      </w:pPr>
      <w:r>
        <w:t xml:space="preserve"> Si rammenta che, in sede di approvazione delle Linee guida per relazioni dei Collegi dei revisori dei conti sui rendiconti delle Regioni e delle Province autonome per l’esercizio 2017 (deliberazione 2018 n. 10/SEZAUT/2018/INPR), questa Sezione si è riservata di adottare, con separato atto, un questionario rivolto ad esaminare, in modo autonomo e disgiunto dagli adempimenti derivanti dalle Linee guida sul rendiconto, i profili patrimoniali riguardanti il bilancio consolidato ai sensi dell’art. 11 -bis del decreto legislativo n. 118/2011. </w:t>
      </w:r>
    </w:p>
    <w:p w:rsidR="00833821" w:rsidRDefault="00833821" w:rsidP="00833821">
      <w:pPr>
        <w:shd w:val="clear" w:color="auto" w:fill="FEFEFE"/>
        <w:spacing w:after="0" w:line="20" w:lineRule="atLeast"/>
        <w:jc w:val="both"/>
        <w:outlineLvl w:val="1"/>
      </w:pPr>
      <w:r>
        <w:t xml:space="preserve">4. Struttura del questionario. </w:t>
      </w:r>
    </w:p>
    <w:p w:rsidR="00833821" w:rsidRDefault="00833821" w:rsidP="00833821">
      <w:pPr>
        <w:shd w:val="clear" w:color="auto" w:fill="FEFEFE"/>
        <w:spacing w:after="0" w:line="20" w:lineRule="atLeast"/>
        <w:jc w:val="both"/>
        <w:outlineLvl w:val="1"/>
      </w:pPr>
      <w:r>
        <w:t xml:space="preserve">In tale contesto vanno a collocarsi il questionario allegato alle presenti linee guida e le correlate note metodologiche. Il questionario è articolato in sei sezioni, precedute da una scheda anagrafica, che riproducono sostanzialmente i passaggi salienti per l’elaborazione del bilancio consolidato. </w:t>
      </w:r>
    </w:p>
    <w:p w:rsidR="00833821" w:rsidRDefault="00833821" w:rsidP="00833821">
      <w:pPr>
        <w:shd w:val="clear" w:color="auto" w:fill="FEFEFE"/>
        <w:spacing w:after="0" w:line="20" w:lineRule="atLeast"/>
        <w:jc w:val="both"/>
        <w:outlineLvl w:val="1"/>
      </w:pPr>
      <w:r>
        <w:t xml:space="preserve">La Sezione Prima, intitolata «Individuazione GAP e Area di consolidamento», è dedicata alla corretta individuazione del Gruppo amministrazione pubblica e del perimetro di consolidamento, secondo le prescritte modalità. </w:t>
      </w:r>
    </w:p>
    <w:p w:rsidR="00833821" w:rsidRDefault="00833821" w:rsidP="00833821">
      <w:pPr>
        <w:shd w:val="clear" w:color="auto" w:fill="FEFEFE"/>
        <w:spacing w:after="0" w:line="20" w:lineRule="atLeast"/>
        <w:jc w:val="both"/>
        <w:outlineLvl w:val="1"/>
      </w:pPr>
      <w:r>
        <w:t xml:space="preserve">La Sezione Seconda, (oComunicazioni e direttive per l’elaborazione del consolidato»), è volta a verificare se l’Ente territoriale capogruppo ha fornito tutte le indicazioni e le direttive agli organismi inclusi nel perimetro di consolidamento per l’elaborazione dei documenti necessari alla redazione del bilancio consolidato. </w:t>
      </w:r>
    </w:p>
    <w:p w:rsidR="00833821" w:rsidRDefault="00833821" w:rsidP="00833821">
      <w:pPr>
        <w:shd w:val="clear" w:color="auto" w:fill="FEFEFE"/>
        <w:spacing w:after="0" w:line="20" w:lineRule="atLeast"/>
        <w:jc w:val="both"/>
        <w:outlineLvl w:val="1"/>
      </w:pPr>
      <w:r>
        <w:t xml:space="preserve">La Sezione Terza punta l’attenzione su «Rettifiche di pre-consolidamento ed elisione delle operazioni infragruppo»: vi rientrano le verifiche sulla corretta attività di omogeneizzazione dei bilanci e di eliminazione delle partite reciproche. </w:t>
      </w:r>
    </w:p>
    <w:p w:rsidR="00833821" w:rsidRDefault="00833821" w:rsidP="00833821">
      <w:pPr>
        <w:shd w:val="clear" w:color="auto" w:fill="FEFEFE"/>
        <w:spacing w:after="0" w:line="20" w:lineRule="atLeast"/>
        <w:jc w:val="both"/>
        <w:outlineLvl w:val="1"/>
      </w:pPr>
      <w:r>
        <w:t xml:space="preserve">La Sezione Quarta attenziona le «Verifiche dei saldi reciproci tra i componenti del gruppo». I revisori, nell’ambito della circolarizzazione dei crediti e debiti, sono chiamati a verificare l’avvenuta asseverazione dei saldi reciproci tra ente capogruppo e organismi inclusi nel perimetro. </w:t>
      </w:r>
    </w:p>
    <w:p w:rsidR="00833821" w:rsidRDefault="00833821" w:rsidP="00833821">
      <w:pPr>
        <w:shd w:val="clear" w:color="auto" w:fill="FEFEFE"/>
        <w:spacing w:after="0" w:line="20" w:lineRule="atLeast"/>
        <w:jc w:val="both"/>
        <w:outlineLvl w:val="1"/>
      </w:pPr>
      <w:r>
        <w:t>La Sezione Quinta, finalizzata alle «Verifiche sul valore delle partecipazioni e del patrimonio netto», tende a rilevare la correttezza nella determinazione del patrimonio del «gruppo amministrazione pubblico».</w:t>
      </w:r>
    </w:p>
    <w:p w:rsidR="00833821" w:rsidRDefault="00833821" w:rsidP="00833821">
      <w:pPr>
        <w:shd w:val="clear" w:color="auto" w:fill="FEFEFE"/>
        <w:spacing w:after="0" w:line="20" w:lineRule="atLeast"/>
        <w:jc w:val="both"/>
        <w:outlineLvl w:val="1"/>
      </w:pPr>
      <w:r>
        <w:t xml:space="preserve">La Sezione Sesta riguarda le «Verifiche sui contenuti minimi della nota integrativa», che deve tenere in opportuna evidenza tutti i fatti contabili e gestionali utili a inquadrare correttamente il contributo economico che l’ente capogruppo fornisce assieme ai suoi organismi consolidati in termini di equilibri di finanza pubblica. </w:t>
      </w:r>
    </w:p>
    <w:p w:rsidR="00833821" w:rsidRDefault="00833821" w:rsidP="00833821">
      <w:pPr>
        <w:shd w:val="clear" w:color="auto" w:fill="FEFEFE"/>
        <w:spacing w:after="0" w:line="20" w:lineRule="atLeast"/>
        <w:jc w:val="both"/>
        <w:outlineLvl w:val="1"/>
      </w:pPr>
      <w:r>
        <w:t xml:space="preserve">5. Modalità di compilazione. </w:t>
      </w:r>
    </w:p>
    <w:p w:rsidR="00833821" w:rsidRDefault="00833821" w:rsidP="00833821">
      <w:pPr>
        <w:shd w:val="clear" w:color="auto" w:fill="FEFEFE"/>
        <w:spacing w:after="0" w:line="20" w:lineRule="atLeast"/>
        <w:jc w:val="both"/>
        <w:outlineLvl w:val="1"/>
      </w:pPr>
      <w:r>
        <w:lastRenderedPageBreak/>
        <w:t xml:space="preserve">In ordine alle modalità di compilazione e di invio della relazione-questionario sul bilancio consolidato 2018 i fogli di lavoro dovranno essere trasmessi per il tramite del sistema Con. Te. (Contabilità Territoriale). </w:t>
      </w:r>
    </w:p>
    <w:p w:rsidR="00833821" w:rsidRDefault="00833821" w:rsidP="00833821">
      <w:pPr>
        <w:shd w:val="clear" w:color="auto" w:fill="FEFEFE"/>
        <w:spacing w:after="0" w:line="20" w:lineRule="atLeast"/>
        <w:jc w:val="both"/>
        <w:outlineLvl w:val="1"/>
      </w:pPr>
      <w:r>
        <w:t xml:space="preserve">Per procedere alla compilazione della relazione-questionario occorre collegarsi al sito della Corte dei conti, area Servizi on line, selezionare il link «Controllo e Referto» e, successivamente, selezionare il sistema FITNET (Finanza Territoriale Network) per poi accedere al sistema Con. Te. </w:t>
      </w:r>
    </w:p>
    <w:p w:rsidR="00833821" w:rsidRDefault="00833821" w:rsidP="00833821">
      <w:pPr>
        <w:shd w:val="clear" w:color="auto" w:fill="FEFEFE"/>
        <w:spacing w:after="0" w:line="20" w:lineRule="atLeast"/>
        <w:jc w:val="both"/>
        <w:outlineLvl w:val="1"/>
      </w:pPr>
      <w:r>
        <w:t xml:space="preserve">Occorrerà selezionare, poi, in successione, il link «Controllo e Referto» e il sistema «Con. Te», attraverso il quale, utilizzando la funzione «Invio Documenti» presente nel menù «Documenti», potrà essere trasmesso il questionario. Il file della relazione-questionario deve essere nominato secondo i seguenti parametri: Bilancio_Consolidato_ Ente_Anno (esempio: Bilancio_Consolidato_Regione_Molise_2018; Bilancio_Consolidato_Comune_Pavia_2018). </w:t>
      </w:r>
    </w:p>
    <w:p w:rsidR="00833821" w:rsidRDefault="00833821" w:rsidP="00833821">
      <w:pPr>
        <w:shd w:val="clear" w:color="auto" w:fill="FEFEFE"/>
        <w:spacing w:after="0" w:line="20" w:lineRule="atLeast"/>
        <w:jc w:val="both"/>
        <w:outlineLvl w:val="1"/>
      </w:pPr>
      <w:r>
        <w:t xml:space="preserve">Per gli utenti sprovvisti di credenziali di accesso sarà necessario eseguire prima la registrazione sul Portale «SOLE». </w:t>
      </w:r>
    </w:p>
    <w:p w:rsidR="00833821" w:rsidRDefault="00833821" w:rsidP="00833821">
      <w:pPr>
        <w:shd w:val="clear" w:color="auto" w:fill="FEFEFE"/>
        <w:spacing w:after="0" w:line="20" w:lineRule="atLeast"/>
        <w:jc w:val="both"/>
        <w:outlineLvl w:val="1"/>
      </w:pPr>
      <w:r>
        <w:t xml:space="preserve">Quindi, dopo avere effettuato tale operazione per il profilo di pertinenza (Presidente del Collegio dei Revisori - PCR; Collaboratore del Collegio dei Revisori - CCR; Responsabile Ragioneria/Servizi Finanziari della Regione – RSF; Responsabile Dati Regione – RDR; Responsabile Servizi Finanziari ente locale; Responsabile Invio Dati Contabili ente locale - RIDC) e ottenute, via e-mail, user-id e password, sarà possibile effettuare l’accesso a Con. Te. Al riguardo, si sottolinea che per i citati profili RSFR e RDR l’individuazione del responsabile da parte dell’ente prescinde da una diretta corrispondenza con i profili professionali contemplati dall’assetto organizzativo dell’ente stesso. 6. Relazione-questionario e base informativa BDAP. La possibilità di soddisfare le esigenze informative connesse al sistema di controllo e referto della finanza territoriale mediante analisi dei dati provenienti dal sistema gestionale BDAP e da altre banche dati, non esonera, tuttavia, i Revisori dall’onere di verificare che i canali informativi sopra richiamati siano adeguatamente alimentati dagli enti, segnalando alla competente struttura la necessità di inserire le informazioni mancanti. In capo ai Revisori dei conti presso le Regioni e le Province autonome è anche l’onere di verificare la coerenza dei dati presenti in BDAP con quanto risultante dai documenti formalmente approvati. </w:t>
      </w:r>
    </w:p>
    <w:p w:rsidR="00833821" w:rsidRDefault="00833821" w:rsidP="00833821">
      <w:pPr>
        <w:shd w:val="clear" w:color="auto" w:fill="FEFEFE"/>
        <w:spacing w:after="0" w:line="20" w:lineRule="atLeast"/>
        <w:jc w:val="both"/>
        <w:outlineLvl w:val="1"/>
      </w:pPr>
      <w:r>
        <w:t xml:space="preserve">A tal fine, potranno registrarsi nel sistema BDAP – Bilanci Armonizzati, per accedere in visualizzazione a tutti i documenti contabili dell’ente di competenza in esso presenti. La registrazione potrà essere eseguita sia dal Presidente del Collegio dei revisori (PCR) sia dai collaboratori del Collegio dei revisori (CCR) e dovrà essere effettuata selezionando il seguente link «Nuova Registrazione» presente nella Home page di BDAP: http://www.bdap. tesoro.it/Pagine/default.aspx. Per qualsiasi supporto di tipo tecnico alla registrazione e all’utilizzo del sistema è possibile selezionare la voce «Supporto» all’interno della Home page. </w:t>
      </w:r>
    </w:p>
    <w:p w:rsidR="00833821" w:rsidRDefault="00833821" w:rsidP="00833821">
      <w:pPr>
        <w:shd w:val="clear" w:color="auto" w:fill="FEFEFE"/>
        <w:spacing w:after="0" w:line="20" w:lineRule="atLeast"/>
        <w:jc w:val="both"/>
        <w:outlineLvl w:val="1"/>
      </w:pPr>
      <w:r>
        <w:t xml:space="preserve">Anche sul Portale «FITNET» della Corte dei conti sarà disponibile una sintetica guida operativa per effettuare la registrazione. </w:t>
      </w:r>
    </w:p>
    <w:p w:rsidR="00833821" w:rsidRDefault="00833821" w:rsidP="00833821">
      <w:pPr>
        <w:shd w:val="clear" w:color="auto" w:fill="FEFEFE"/>
        <w:spacing w:after="0" w:line="20" w:lineRule="atLeast"/>
        <w:jc w:val="both"/>
        <w:outlineLvl w:val="1"/>
      </w:pPr>
      <w:r>
        <w:t xml:space="preserve">7. Relazione-questionario e Sezioni regionali di controllo. </w:t>
      </w:r>
    </w:p>
    <w:p w:rsidR="00833821" w:rsidRDefault="00833821" w:rsidP="00833821">
      <w:pPr>
        <w:shd w:val="clear" w:color="auto" w:fill="FEFEFE"/>
        <w:spacing w:after="0" w:line="20" w:lineRule="atLeast"/>
        <w:jc w:val="both"/>
        <w:outlineLvl w:val="1"/>
      </w:pPr>
      <w:r>
        <w:t>Le presenti Linee guida e la relativa relazione-questionario costituiscono supporto operativo anche per l’attività delle Sezioni di controllo delle Regioni a statuto speciale e delle due Province autonome, le quali, sulla base dei principi richiamati dalle sentenze n. 23/2014, n. 39/2014 e n. 40/2014 della Corte costituzionale, potranno utilizzarle nel rispetto dei regimi di autonomia differenziata ad esse applicabili.</w:t>
      </w:r>
    </w:p>
    <w:p w:rsidR="00833821" w:rsidRDefault="00833821" w:rsidP="00833821">
      <w:pPr>
        <w:shd w:val="clear" w:color="auto" w:fill="FEFEFE"/>
        <w:spacing w:after="0" w:line="20" w:lineRule="atLeast"/>
        <w:jc w:val="both"/>
        <w:outlineLvl w:val="1"/>
      </w:pPr>
      <w:r>
        <w:t xml:space="preserve">In quest’ambito, potranno svolgere, ove ne ravvisino la necessità, approfondimenti istruttori su ulteriori profili contabili e gestionali ritenuti di interesse, specie in materia di vincoli di finanza pubblica, in ordine ai quali la sesta sezione del questionario non propone quesiti per effetto del doppio regime introdotto dalla legge di bilancio n. 145/2018. Resta inteso che le Amministrazioni e gli Organi di revisione contabile dovranno garantire tutte le informazioni richieste secondo le indicazioni fornite dalle Sezioni di controllo territorialmente competenti. A tal fine, negli appositi quadri riservati ai chiarimenti, i Revisori dei predetti enti potranno richiamare la normativa di settore eventualmente applicata in luogo di quella nazionale citata nel questionario, dando evidenza degli effetti prodotti da detta normativa in relazione ai profili di interesse richiamati nello schema di relazione. </w:t>
      </w:r>
    </w:p>
    <w:p w:rsidR="00833821" w:rsidRDefault="00833821" w:rsidP="00833821">
      <w:pPr>
        <w:shd w:val="clear" w:color="auto" w:fill="FEFEFE"/>
        <w:spacing w:after="0" w:line="20" w:lineRule="atLeast"/>
        <w:jc w:val="both"/>
        <w:outlineLvl w:val="1"/>
      </w:pPr>
    </w:p>
    <w:p w:rsidR="00833821" w:rsidRDefault="00833821" w:rsidP="00833821">
      <w:pPr>
        <w:shd w:val="clear" w:color="auto" w:fill="FEFEFE"/>
        <w:spacing w:after="0" w:line="20" w:lineRule="atLeast"/>
        <w:jc w:val="both"/>
        <w:outlineLvl w:val="1"/>
      </w:pPr>
      <w:r>
        <w:t xml:space="preserve">LINEE GUIDA SUL BILANCIO CONSOLIDATO DEGLI ENTI TERRITORIALI </w:t>
      </w:r>
    </w:p>
    <w:p w:rsidR="00833821" w:rsidRDefault="00833821" w:rsidP="00833821">
      <w:pPr>
        <w:shd w:val="clear" w:color="auto" w:fill="FEFEFE"/>
        <w:spacing w:after="0" w:line="20" w:lineRule="atLeast"/>
        <w:jc w:val="both"/>
        <w:outlineLvl w:val="1"/>
      </w:pPr>
      <w:r>
        <w:t xml:space="preserve">INDICE GENERALE </w:t>
      </w:r>
    </w:p>
    <w:p w:rsidR="00833821" w:rsidRDefault="00833821" w:rsidP="00833821">
      <w:pPr>
        <w:shd w:val="clear" w:color="auto" w:fill="FEFEFE"/>
        <w:spacing w:after="0" w:line="20" w:lineRule="atLeast"/>
        <w:jc w:val="both"/>
        <w:outlineLvl w:val="1"/>
      </w:pPr>
      <w:r>
        <w:t xml:space="preserve">Scheda anagrafica </w:t>
      </w:r>
    </w:p>
    <w:p w:rsidR="00833821" w:rsidRDefault="00833821" w:rsidP="00833821">
      <w:pPr>
        <w:shd w:val="clear" w:color="auto" w:fill="FEFEFE"/>
        <w:spacing w:after="0" w:line="20" w:lineRule="atLeast"/>
        <w:jc w:val="both"/>
        <w:outlineLvl w:val="1"/>
      </w:pPr>
      <w:r>
        <w:t xml:space="preserve">Sezione I Individuazione GAP e Area di Consolidamento </w:t>
      </w:r>
    </w:p>
    <w:p w:rsidR="00833821" w:rsidRDefault="00833821" w:rsidP="00833821">
      <w:pPr>
        <w:shd w:val="clear" w:color="auto" w:fill="FEFEFE"/>
        <w:spacing w:after="0" w:line="20" w:lineRule="atLeast"/>
        <w:jc w:val="both"/>
        <w:outlineLvl w:val="1"/>
      </w:pPr>
      <w:r>
        <w:t xml:space="preserve">Sezione II Comunicazioni e direttive per l’elaborazione del consolidato </w:t>
      </w:r>
    </w:p>
    <w:p w:rsidR="00833821" w:rsidRDefault="00833821" w:rsidP="00833821">
      <w:pPr>
        <w:shd w:val="clear" w:color="auto" w:fill="FEFEFE"/>
        <w:spacing w:after="0" w:line="20" w:lineRule="atLeast"/>
        <w:jc w:val="both"/>
        <w:outlineLvl w:val="1"/>
      </w:pPr>
      <w:r>
        <w:lastRenderedPageBreak/>
        <w:t xml:space="preserve">Sezione III Rettifiche di pre-consolidamento ed elisioni delle operazioni infragruppo </w:t>
      </w:r>
    </w:p>
    <w:p w:rsidR="00833821" w:rsidRDefault="00833821" w:rsidP="00833821">
      <w:pPr>
        <w:shd w:val="clear" w:color="auto" w:fill="FEFEFE"/>
        <w:spacing w:after="0" w:line="20" w:lineRule="atLeast"/>
        <w:jc w:val="both"/>
        <w:outlineLvl w:val="1"/>
      </w:pPr>
      <w:r>
        <w:t xml:space="preserve">Sezione IV Verifiche dei saldi reciproci tra i componenti del gruppo </w:t>
      </w:r>
    </w:p>
    <w:p w:rsidR="00833821" w:rsidRDefault="00833821" w:rsidP="00833821">
      <w:pPr>
        <w:shd w:val="clear" w:color="auto" w:fill="FEFEFE"/>
        <w:spacing w:after="0" w:line="20" w:lineRule="atLeast"/>
        <w:jc w:val="both"/>
        <w:outlineLvl w:val="1"/>
      </w:pPr>
      <w:r>
        <w:t xml:space="preserve">Sezione V Verifiche sul valore delle partecipazioni e del patrimonio netto </w:t>
      </w:r>
    </w:p>
    <w:p w:rsidR="00833821" w:rsidRDefault="00833821" w:rsidP="00833821">
      <w:pPr>
        <w:shd w:val="clear" w:color="auto" w:fill="FEFEFE"/>
        <w:spacing w:after="0" w:line="20" w:lineRule="atLeast"/>
        <w:jc w:val="both"/>
        <w:outlineLvl w:val="1"/>
      </w:pPr>
      <w:r>
        <w:t xml:space="preserve">VI Verifiche sui contenuti minimi della nota integrativa  </w:t>
      </w:r>
    </w:p>
    <w:p w:rsidR="00833821" w:rsidRDefault="00833821" w:rsidP="00833821">
      <w:pPr>
        <w:shd w:val="clear" w:color="auto" w:fill="FEFEFE"/>
        <w:spacing w:after="0" w:line="20" w:lineRule="atLeast"/>
        <w:jc w:val="both"/>
        <w:outlineLvl w:val="1"/>
      </w:pPr>
      <w:r>
        <w:t xml:space="preserve">Note Sezione Firma </w:t>
      </w:r>
    </w:p>
    <w:p w:rsidR="00B16E5F" w:rsidRDefault="00B16E5F" w:rsidP="00833821">
      <w:pPr>
        <w:shd w:val="clear" w:color="auto" w:fill="FEFEFE"/>
        <w:spacing w:after="0" w:line="20" w:lineRule="atLeast"/>
        <w:jc w:val="both"/>
        <w:outlineLvl w:val="1"/>
      </w:pPr>
    </w:p>
    <w:p w:rsidR="00E70487" w:rsidRDefault="00B16E5F" w:rsidP="00E70487">
      <w:pPr>
        <w:shd w:val="clear" w:color="auto" w:fill="FEFEFE"/>
        <w:spacing w:after="0" w:line="20" w:lineRule="atLeast"/>
        <w:jc w:val="both"/>
        <w:outlineLvl w:val="1"/>
      </w:pPr>
      <w:r w:rsidRPr="00F751FA">
        <w:rPr>
          <w:b/>
        </w:rPr>
        <w:t>DELIBERA 22 luglio 2019</w:t>
      </w:r>
      <w:r>
        <w:t xml:space="preserve">, Linee guida per la relazione dei revisori dei conti dei comuni, delle città metropolitane e delle province sui bilanci di previsione 2019-2021 per l’attuazione dell’articolo 1, comma 166 e seguenti della legge 23 dicembre 2005, n. 266. (Delibera n. 19/SEZAUT/2019/INPR). </w:t>
      </w:r>
      <w:r w:rsidR="00E70487">
        <w:t>(GU n. 196 del 22.8.19)</w:t>
      </w:r>
    </w:p>
    <w:p w:rsidR="00B16E5F" w:rsidRDefault="00B16E5F" w:rsidP="00B16E5F">
      <w:pPr>
        <w:shd w:val="clear" w:color="auto" w:fill="FEFEFE"/>
        <w:spacing w:after="0" w:line="20" w:lineRule="atLeast"/>
        <w:jc w:val="both"/>
        <w:outlineLvl w:val="1"/>
      </w:pPr>
      <w:r>
        <w:t xml:space="preserve">LA CORTE DEI CONTI SEZIONE DELLE AUTONOMIE </w:t>
      </w:r>
    </w:p>
    <w:p w:rsidR="00B16E5F" w:rsidRDefault="00B16E5F" w:rsidP="00B16E5F">
      <w:pPr>
        <w:shd w:val="clear" w:color="auto" w:fill="FEFEFE"/>
        <w:spacing w:after="0" w:line="20" w:lineRule="atLeast"/>
        <w:jc w:val="both"/>
        <w:outlineLvl w:val="1"/>
      </w:pPr>
      <w:r>
        <w:t xml:space="preserve">Nell’adunanza del 22 luglio 2019; </w:t>
      </w:r>
    </w:p>
    <w:p w:rsidR="00B16E5F" w:rsidRDefault="00B16E5F" w:rsidP="00B16E5F">
      <w:pPr>
        <w:shd w:val="clear" w:color="auto" w:fill="FEFEFE"/>
        <w:spacing w:after="0" w:line="20" w:lineRule="atLeast"/>
        <w:jc w:val="both"/>
        <w:outlineLvl w:val="1"/>
      </w:pPr>
      <w:r>
        <w:t xml:space="preserve">Visto l’art. 100, comma 2, della Costituzione; </w:t>
      </w:r>
    </w:p>
    <w:p w:rsidR="00B16E5F" w:rsidRDefault="00B16E5F" w:rsidP="00B16E5F">
      <w:pPr>
        <w:shd w:val="clear" w:color="auto" w:fill="FEFEFE"/>
        <w:spacing w:after="0" w:line="20" w:lineRule="atLeast"/>
        <w:jc w:val="both"/>
        <w:outlineLvl w:val="1"/>
      </w:pPr>
      <w:r>
        <w:t xml:space="preserve">Vista la legge costituzionale 18 ottobre 2001, n. 3; </w:t>
      </w:r>
    </w:p>
    <w:p w:rsidR="00B16E5F" w:rsidRDefault="00B16E5F" w:rsidP="00B16E5F">
      <w:pPr>
        <w:shd w:val="clear" w:color="auto" w:fill="FEFEFE"/>
        <w:spacing w:after="0" w:line="20" w:lineRule="atLeast"/>
        <w:jc w:val="both"/>
        <w:outlineLvl w:val="1"/>
      </w:pPr>
      <w:r>
        <w:t xml:space="preserve">Vista la legge costituzionale 20 aprile 2012, n. 1 che ha introdotto il principio del pareggio di bilancio nella Carta costituzionale; </w:t>
      </w:r>
    </w:p>
    <w:p w:rsidR="00B16E5F" w:rsidRDefault="00B16E5F" w:rsidP="00B16E5F">
      <w:pPr>
        <w:shd w:val="clear" w:color="auto" w:fill="FEFEFE"/>
        <w:spacing w:after="0" w:line="20" w:lineRule="atLeast"/>
        <w:jc w:val="both"/>
        <w:outlineLvl w:val="1"/>
      </w:pPr>
      <w:r>
        <w:t xml:space="preserve">Vista la legge 24 dicembre 2012, n. 243 recante disposizioni per l’attuazione del principio del pareggio di bilancio ai sensi dell’art. 81, sesto comma, della Costituzione, come modificata dalla legge 12 agosto 2016, n. 164; </w:t>
      </w:r>
    </w:p>
    <w:p w:rsidR="00B16E5F" w:rsidRDefault="00B16E5F" w:rsidP="00B16E5F">
      <w:pPr>
        <w:shd w:val="clear" w:color="auto" w:fill="FEFEFE"/>
        <w:spacing w:after="0" w:line="20" w:lineRule="atLeast"/>
        <w:jc w:val="both"/>
        <w:outlineLvl w:val="1"/>
      </w:pPr>
      <w:r>
        <w:t xml:space="preserve">Visto il testo unico delle leggi sulla Corte dei conti, approvato con regio decreto 12 luglio 1934, n. 1214 e successive modificazioni; </w:t>
      </w:r>
    </w:p>
    <w:p w:rsidR="00B16E5F" w:rsidRDefault="00B16E5F" w:rsidP="00B16E5F">
      <w:pPr>
        <w:shd w:val="clear" w:color="auto" w:fill="FEFEFE"/>
        <w:spacing w:after="0" w:line="20" w:lineRule="atLeast"/>
        <w:jc w:val="both"/>
        <w:outlineLvl w:val="1"/>
      </w:pPr>
      <w:r>
        <w:t xml:space="preserve">Vista la legge 14 gennaio 1994, n. 20, recante disposizioni in materia di giurisdizione e controllo della Corte dei conti; </w:t>
      </w:r>
    </w:p>
    <w:p w:rsidR="00B16E5F" w:rsidRDefault="00B16E5F" w:rsidP="00B16E5F">
      <w:pPr>
        <w:shd w:val="clear" w:color="auto" w:fill="FEFEFE"/>
        <w:spacing w:after="0" w:line="20" w:lineRule="atLeast"/>
        <w:jc w:val="both"/>
        <w:outlineLvl w:val="1"/>
      </w:pPr>
      <w:r>
        <w:t xml:space="preserve">Visto il decreto legislativo 18 agosto 2000, n. 267 recante il testo unico delle leggi sugli enti locali (TUEL) e successive modificazioni; </w:t>
      </w:r>
    </w:p>
    <w:p w:rsidR="00B16E5F" w:rsidRDefault="00B16E5F" w:rsidP="00B16E5F">
      <w:pPr>
        <w:shd w:val="clear" w:color="auto" w:fill="FEFEFE"/>
        <w:spacing w:after="0" w:line="20" w:lineRule="atLeast"/>
        <w:jc w:val="both"/>
        <w:outlineLvl w:val="1"/>
      </w:pPr>
      <w:r>
        <w:t xml:space="preserve">Vista la legge 5 giugno 2003, n. 131, recante disposizioni per l’adeguamento dell’ordinamento della Repubblica alla legge costituzionale 18 ottobre 2001, n. 3, ed in particolare l’art. 7, commi 7 e 8; </w:t>
      </w:r>
    </w:p>
    <w:p w:rsidR="00B16E5F" w:rsidRDefault="00B16E5F" w:rsidP="00B16E5F">
      <w:pPr>
        <w:shd w:val="clear" w:color="auto" w:fill="FEFEFE"/>
        <w:spacing w:after="0" w:line="20" w:lineRule="atLeast"/>
        <w:jc w:val="both"/>
        <w:outlineLvl w:val="1"/>
      </w:pPr>
      <w:r>
        <w:t xml:space="preserve">Vista la legge 23 dicembre 2005, n. 266 (legge finanziaria per il 2006) ed in particolare l’art. 1, commi 166 e seguenti; </w:t>
      </w:r>
    </w:p>
    <w:p w:rsidR="00B16E5F" w:rsidRDefault="00B16E5F" w:rsidP="00B16E5F">
      <w:pPr>
        <w:shd w:val="clear" w:color="auto" w:fill="FEFEFE"/>
        <w:spacing w:after="0" w:line="20" w:lineRule="atLeast"/>
        <w:jc w:val="both"/>
        <w:outlineLvl w:val="1"/>
      </w:pPr>
      <w:r>
        <w:t xml:space="preserve">Visto il decreto legislativo 23 giugno 2011, n. 118 recante «Disposizioni in materia di armonizzazione dei sistemi contabili e degli schemi di bilancio delle Regioni, degli enti locali e dei loro organismi, a norma degli articoli 1 e 2 della legge 5 maggio 2009, n. 42», corretto ed integrato dal decreto legislativo 10 agosto 2014, n. 126; </w:t>
      </w:r>
    </w:p>
    <w:p w:rsidR="00B16E5F" w:rsidRDefault="00B16E5F" w:rsidP="00B16E5F">
      <w:pPr>
        <w:shd w:val="clear" w:color="auto" w:fill="FEFEFE"/>
        <w:spacing w:after="0" w:line="20" w:lineRule="atLeast"/>
        <w:jc w:val="both"/>
        <w:outlineLvl w:val="1"/>
      </w:pPr>
      <w:r>
        <w:t xml:space="preserve">Visto il decreto-legge 10 ottobre 2012, n. 174, convertito dalla legge 7 dicembre 2012, n. 213 e successive modificazioni, recante «Disposizioni in materia di gestione finanziaria e di funzionamento degli enti territoriali e locali, nonché ulteriori disposizioni in favore delle aree colpite dal sisma del maggio 2012»; Vista la legge 7 agosto 2016, n. 160, di conversione del decreto-legge 24 giugno 2016, n. 113, recante «Misure finanziarie per gli Enti territoriali e il territorio»; </w:t>
      </w:r>
    </w:p>
    <w:p w:rsidR="00B16E5F" w:rsidRDefault="00B16E5F" w:rsidP="00B16E5F">
      <w:pPr>
        <w:shd w:val="clear" w:color="auto" w:fill="FEFEFE"/>
        <w:spacing w:after="0" w:line="20" w:lineRule="atLeast"/>
        <w:jc w:val="both"/>
        <w:outlineLvl w:val="1"/>
      </w:pPr>
      <w:r>
        <w:t xml:space="preserve">Vista la legge 11 dicembre 2016, n. 232 recante le disposizioni per la formazione del bilancio di previsione dello Stato per l’anno finanziario 2017 e bilancio pluriennale per il triennio 2017-2019, in particolare l’art. 1, comma 465 e seguenti; </w:t>
      </w:r>
    </w:p>
    <w:p w:rsidR="00B16E5F" w:rsidRDefault="00B16E5F" w:rsidP="00B16E5F">
      <w:pPr>
        <w:shd w:val="clear" w:color="auto" w:fill="FEFEFE"/>
        <w:spacing w:after="0" w:line="20" w:lineRule="atLeast"/>
        <w:jc w:val="both"/>
        <w:outlineLvl w:val="1"/>
      </w:pPr>
      <w:r>
        <w:t xml:space="preserve">Visto il decreto-legge 24 aprile 2017, n. 50, convertito con modificazioni dalla legge 21 giugno 2017, n. 96, recante «Disposizioni urgenti in materia finanziaria, iniziative a favore degli enti territoriali, ulteriori interventi per le zone colpite da eventi sismici e misure per lo sviluppo»; </w:t>
      </w:r>
    </w:p>
    <w:p w:rsidR="00B16E5F" w:rsidRDefault="00B16E5F" w:rsidP="00B16E5F">
      <w:pPr>
        <w:shd w:val="clear" w:color="auto" w:fill="FEFEFE"/>
        <w:spacing w:after="0" w:line="20" w:lineRule="atLeast"/>
        <w:jc w:val="both"/>
        <w:outlineLvl w:val="1"/>
      </w:pPr>
      <w:r>
        <w:t xml:space="preserve">Vista la legge 27 dicembre 2017, n. 205 recante le disposizioni per la formazione del bilancio di previsione dello Stato per l’anno finanziario 2018 e bilancio pluriennale per il triennio 2018-2020; </w:t>
      </w:r>
    </w:p>
    <w:p w:rsidR="00B16E5F" w:rsidRDefault="00B16E5F" w:rsidP="00B16E5F">
      <w:pPr>
        <w:shd w:val="clear" w:color="auto" w:fill="FEFEFE"/>
        <w:spacing w:after="0" w:line="20" w:lineRule="atLeast"/>
        <w:jc w:val="both"/>
        <w:outlineLvl w:val="1"/>
      </w:pPr>
      <w:r>
        <w:t xml:space="preserve">Visto il decreto del Presidente del Consiglio dei ministri 21 febbraio 2017, n. 21 che ha adottato il Regolamento recante criteri e modalità di attuazione dell’art. 10, comma 5, della legge 24 dicembre 2012, n. 243, in particolare l’art. 2, commi 11 e 12; </w:t>
      </w:r>
    </w:p>
    <w:p w:rsidR="00B16E5F" w:rsidRDefault="00B16E5F" w:rsidP="00B16E5F">
      <w:pPr>
        <w:shd w:val="clear" w:color="auto" w:fill="FEFEFE"/>
        <w:spacing w:after="0" w:line="20" w:lineRule="atLeast"/>
        <w:jc w:val="both"/>
        <w:outlineLvl w:val="1"/>
      </w:pPr>
      <w:r>
        <w:t xml:space="preserve">Visto il decreto del Ministero dell’interno del 7 dicembre 2018 che ha disposto il differimento dal 31 dicembre 2017 al 28 febbraio 2019 del termine per l’approvazione del bilancio di previsione 2019/2021 da parte degli enti locali; </w:t>
      </w:r>
    </w:p>
    <w:p w:rsidR="00B16E5F" w:rsidRDefault="00B16E5F" w:rsidP="00B16E5F">
      <w:pPr>
        <w:shd w:val="clear" w:color="auto" w:fill="FEFEFE"/>
        <w:spacing w:after="0" w:line="20" w:lineRule="atLeast"/>
        <w:jc w:val="both"/>
        <w:outlineLvl w:val="1"/>
      </w:pPr>
      <w:r>
        <w:lastRenderedPageBreak/>
        <w:t>Visto il decreto ministeriale del Ministro dell’interno del 17 dicembre 2018 recante la proroga della sospensione dei termini di alcuni adempimenti finanziari, contabili e certificativi per i comuni compresi negli allegati 1, 2 e 2 -</w:t>
      </w:r>
      <w:proofErr w:type="gramStart"/>
      <w:r>
        <w:t>bis ,</w:t>
      </w:r>
      <w:proofErr w:type="gramEnd"/>
      <w:r>
        <w:t xml:space="preserve"> del decreto-legge 17 ottobre 2016, n. 189, convertito con modificazioni dalla legge 15 dicembre 2016, n. 229; </w:t>
      </w:r>
    </w:p>
    <w:p w:rsidR="00B16E5F" w:rsidRDefault="00B16E5F" w:rsidP="00B16E5F">
      <w:pPr>
        <w:shd w:val="clear" w:color="auto" w:fill="FEFEFE"/>
        <w:spacing w:after="0" w:line="20" w:lineRule="atLeast"/>
        <w:jc w:val="both"/>
        <w:outlineLvl w:val="1"/>
      </w:pPr>
      <w:r>
        <w:t xml:space="preserve">Visto il decreto del Ministero dell’interno del 25 gennaio 2019 che ha disposto l’ulteriore differimento dal 28 febbraio 2019 al 31 marzo 2019 del termine per l’approvazione del bilancio di previsione 2019/2021 da parte degli enti locali; </w:t>
      </w:r>
    </w:p>
    <w:p w:rsidR="00B16E5F" w:rsidRDefault="00B16E5F" w:rsidP="00B16E5F">
      <w:pPr>
        <w:shd w:val="clear" w:color="auto" w:fill="FEFEFE"/>
        <w:spacing w:after="0" w:line="20" w:lineRule="atLeast"/>
        <w:jc w:val="both"/>
        <w:outlineLvl w:val="1"/>
      </w:pPr>
      <w:r>
        <w:t xml:space="preserve">Visto il decreto del Ministero dell’interno del 28 marzo 2019 che ha differito al 30 aprile 2019 e al 30 giugno 2019, rispettivamente, il termine per la deliberazione del bilancio di previsione 2019-2021 da parte degli enti locali che hanno adottato la procedura di riequilibrio finanziario pluriennale e che hanno riformulato o rimodulato i piani di riequilibrio ai sensi dell’art. 1, comma 714, della legge 28 dicembre 2015, n. 208, e successive modificazioni e il temine per la deliberazione del bilancio di previsione 2019- 2021 da parte degli enti locali interessati eventi sismici di cui agli allegati 1, 2 e 2 -bis di cui sopra; Visto il decreto del Ministero dell’interno del 24 aprile 2019 che ha differito ulteriormente dal 30 giugno 2019 al 31 luglio 2019 il termine per l’approvazione del bilancio di previsione 2019/2021 da parte degli enti locali che hanno adottato la procedura di riequilibrio finanziario pluriennale e che hanno riformulato o rimodulato i piani di riequilibrio; Visti l’art. 4 del decreto-legge 23 ottobre 2018, n. 119, convertito con modificazioni dalla legge 17 dicembre 2018, n. 136, e 11 -bis , comma 6, del decreto-legge 14 dicembre 2018, n. 135, convertito con modificazioni dalla legge 11 febbraio 2019, n. 12, che dispongono, rispettivamente, lo stralcio dei debiti fino a mille euro affidati agli agenti della riscossione dal 2000 al 2010 ed il riparto dell’eventuale disavanzo conseguente in un numero massimo di cinque annualità in quote costanti; </w:t>
      </w:r>
    </w:p>
    <w:p w:rsidR="00B16E5F" w:rsidRDefault="00B16E5F" w:rsidP="00B16E5F">
      <w:pPr>
        <w:shd w:val="clear" w:color="auto" w:fill="FEFEFE"/>
        <w:spacing w:after="0" w:line="20" w:lineRule="atLeast"/>
        <w:jc w:val="both"/>
        <w:outlineLvl w:val="1"/>
      </w:pPr>
      <w:r>
        <w:t xml:space="preserve">Vista la legge 30 dicembre 2018, n. 145 recante le disposizioni per la formazione del bilancio di previsione dello Stato per l’anno finanziario 2019 e bilancio pluriennale per il triennio 2019-2021; </w:t>
      </w:r>
    </w:p>
    <w:p w:rsidR="00B16E5F" w:rsidRDefault="00B16E5F" w:rsidP="00B16E5F">
      <w:pPr>
        <w:shd w:val="clear" w:color="auto" w:fill="FEFEFE"/>
        <w:spacing w:after="0" w:line="20" w:lineRule="atLeast"/>
        <w:jc w:val="both"/>
        <w:outlineLvl w:val="1"/>
      </w:pPr>
      <w:r>
        <w:t xml:space="preserve">Visto il regolamento per l’organizzazione delle funzioni di controllo della Corte dei conti, approvato dalle Sezioni riunite con la deliberazione n. 14 del 16 giugno 2000, e successive modifiche e integrazioni; </w:t>
      </w:r>
    </w:p>
    <w:p w:rsidR="00B16E5F" w:rsidRDefault="00B16E5F" w:rsidP="00B16E5F">
      <w:pPr>
        <w:shd w:val="clear" w:color="auto" w:fill="FEFEFE"/>
        <w:spacing w:after="0" w:line="20" w:lineRule="atLeast"/>
        <w:jc w:val="both"/>
        <w:outlineLvl w:val="1"/>
      </w:pPr>
      <w:r>
        <w:t xml:space="preserve">Viste le note del Presidente della Sezione delle autonomie preposto alla funzione di coordinamento n. 470 e n. 471 del 16 luglio 2019, con le quali è stata trasmessa ai Presidenti dell’ANCI e dell’UPI la bozza del questionario relativo al bilancio di previsione 2019-2021; Vista la nota del Presidente della Corte dei conti n. 472 del 16 luglio 2019 di convocazione della Sezione delle autonomie per l’adunanza odierna; </w:t>
      </w:r>
    </w:p>
    <w:p w:rsidR="00B16E5F" w:rsidRDefault="00B16E5F" w:rsidP="00B16E5F">
      <w:pPr>
        <w:shd w:val="clear" w:color="auto" w:fill="FEFEFE"/>
        <w:spacing w:after="0" w:line="20" w:lineRule="atLeast"/>
        <w:jc w:val="both"/>
        <w:outlineLvl w:val="1"/>
      </w:pPr>
      <w:r>
        <w:t xml:space="preserve">Valutate le osservazioni fatte pervenire dall’UPI in data 22 luglio 2019; </w:t>
      </w:r>
    </w:p>
    <w:p w:rsidR="00B16E5F" w:rsidRDefault="00B16E5F" w:rsidP="00B16E5F">
      <w:pPr>
        <w:shd w:val="clear" w:color="auto" w:fill="FEFEFE"/>
        <w:spacing w:after="0" w:line="20" w:lineRule="atLeast"/>
        <w:jc w:val="both"/>
        <w:outlineLvl w:val="1"/>
      </w:pPr>
      <w:r>
        <w:t xml:space="preserve">Valutate le osservazioni fatte pervenire dall’ANCI – IFEL, settore Finanza Locale, in data 22 luglio 2019; Uditi i relatori, Consiglieri Rinieri Ferone, Elena Brandolini e Valeria Franchi; </w:t>
      </w:r>
    </w:p>
    <w:p w:rsidR="00B16E5F" w:rsidRDefault="00B16E5F" w:rsidP="00B16E5F">
      <w:pPr>
        <w:shd w:val="clear" w:color="auto" w:fill="FEFEFE"/>
        <w:spacing w:after="0" w:line="20" w:lineRule="atLeast"/>
        <w:jc w:val="both"/>
        <w:outlineLvl w:val="1"/>
      </w:pPr>
      <w:r>
        <w:t xml:space="preserve">Delibera: </w:t>
      </w:r>
    </w:p>
    <w:p w:rsidR="00B16E5F" w:rsidRDefault="00B16E5F" w:rsidP="00B16E5F">
      <w:pPr>
        <w:shd w:val="clear" w:color="auto" w:fill="FEFEFE"/>
        <w:spacing w:after="0" w:line="20" w:lineRule="atLeast"/>
        <w:jc w:val="both"/>
        <w:outlineLvl w:val="1"/>
      </w:pPr>
      <w:r>
        <w:t xml:space="preserve">di approvare gli uniti documenti, che sono parte integrante della presente deliberazione, riguardanti le Linee guida e il relativo questionario, cui devono attenersi gli organi di revisione economico-finanziaria degli enti locali nella predisposizione della relazione sul bilancio di previsione 2019-2021, secondo le procedure di cui all’art. 1, commi 166 e seguenti, della legge 23 dicembre 2005, n. 266, richiamato dall’art. 1, comma 1, lettera e) del decreto-legge 10 ottobre 2012, n. 174, convertito, con modificazioni, dalla legge 7 dicembre 2012, n. 213. La presente deliberazione sarà pubblicata nella Gazzetta Ufficiale della Repubblica italiana. Così deliberato in Roma nell’adunanza del 22 luglio 2019. </w:t>
      </w:r>
    </w:p>
    <w:p w:rsidR="00B16E5F" w:rsidRDefault="00B16E5F" w:rsidP="00B16E5F">
      <w:pPr>
        <w:shd w:val="clear" w:color="auto" w:fill="FEFEFE"/>
        <w:spacing w:after="0" w:line="20" w:lineRule="atLeast"/>
        <w:jc w:val="both"/>
        <w:outlineLvl w:val="1"/>
      </w:pPr>
      <w:r>
        <w:t xml:space="preserve">Il Presidente: </w:t>
      </w:r>
    </w:p>
    <w:p w:rsidR="00B16E5F" w:rsidRDefault="00B16E5F" w:rsidP="00B16E5F">
      <w:pPr>
        <w:shd w:val="clear" w:color="auto" w:fill="FEFEFE"/>
        <w:spacing w:after="0" w:line="20" w:lineRule="atLeast"/>
        <w:jc w:val="both"/>
        <w:outlineLvl w:val="1"/>
      </w:pPr>
      <w:r>
        <w:t xml:space="preserve">BUSCEMA I relatori: FERONE - BRANDOLINI - FRANCHI Depositata in segreteria il 24 luglio 2019 p. il dirigente, il funzionario incaricato: MARZELLA </w:t>
      </w:r>
    </w:p>
    <w:p w:rsidR="00B16E5F" w:rsidRDefault="00B16E5F" w:rsidP="00B16E5F">
      <w:pPr>
        <w:shd w:val="clear" w:color="auto" w:fill="FEFEFE"/>
        <w:spacing w:after="0" w:line="20" w:lineRule="atLeast"/>
        <w:jc w:val="both"/>
        <w:outlineLvl w:val="1"/>
      </w:pPr>
    </w:p>
    <w:p w:rsidR="00B16E5F" w:rsidRDefault="00B16E5F" w:rsidP="00B16E5F">
      <w:pPr>
        <w:shd w:val="clear" w:color="auto" w:fill="FEFEFE"/>
        <w:spacing w:after="0" w:line="20" w:lineRule="atLeast"/>
        <w:jc w:val="both"/>
        <w:outlineLvl w:val="1"/>
      </w:pPr>
      <w:r>
        <w:t xml:space="preserve">LINEE GUIDA PER LA RELAZIONE DEI REVISORI DEI CONTI DEI COMUNI, DELLE CITTÀ METROPOLITANE E DELLE PROVINCE SUI BILANCI DI PREVISIONE 2019-2021 PER L’ATTUAZIONE DELL’ART. 1, COMMA 166 E SEGUENTI DELLA LEGGE 23 DICEMBRE 2005, N. 266. </w:t>
      </w:r>
    </w:p>
    <w:p w:rsidR="00297481" w:rsidRDefault="00297481" w:rsidP="00B16E5F">
      <w:pPr>
        <w:shd w:val="clear" w:color="auto" w:fill="FEFEFE"/>
        <w:spacing w:after="0" w:line="20" w:lineRule="atLeast"/>
        <w:jc w:val="both"/>
        <w:outlineLvl w:val="1"/>
      </w:pPr>
      <w:r>
        <w:t>LINEE GUIDA PER LA RELAZIONE DEI REVISORI DEI CONTI DEI COMUNI, DELLE CITTÀ METROPOLITANE E DELLE PROVINCE SUI BILANCI DI PREVISIONE 2019-2021</w:t>
      </w:r>
    </w:p>
    <w:p w:rsidR="00B16E5F" w:rsidRDefault="00B16E5F" w:rsidP="00B16E5F">
      <w:pPr>
        <w:shd w:val="clear" w:color="auto" w:fill="FEFEFE"/>
        <w:spacing w:after="0" w:line="20" w:lineRule="atLeast"/>
        <w:jc w:val="both"/>
        <w:outlineLvl w:val="1"/>
      </w:pPr>
      <w:r>
        <w:t xml:space="preserve">1. Premessa. </w:t>
      </w:r>
    </w:p>
    <w:p w:rsidR="00B16E5F" w:rsidRDefault="00B16E5F" w:rsidP="00B16E5F">
      <w:pPr>
        <w:shd w:val="clear" w:color="auto" w:fill="FEFEFE"/>
        <w:spacing w:after="0" w:line="20" w:lineRule="atLeast"/>
        <w:jc w:val="both"/>
        <w:outlineLvl w:val="1"/>
      </w:pPr>
      <w:r>
        <w:t xml:space="preserve">Le presenti Linee di indirizzo accompagnano il questionario finalizzato alla predisposizione delle relazioni sul bilancio di previsione degli Enti locali per gli esercizi 2019-2021, che gli Organi di revisione economico-finanziaria dei medesimi devono inviare alle Sezioni regionali di controllo, competenti per territorio, ai fini </w:t>
      </w:r>
      <w:r>
        <w:lastRenderedPageBreak/>
        <w:t xml:space="preserve">dell’espletamento del prescritto controllo di regolarità e di legittimità sui bilanci di cui all’art. 1, commi 166 e seguenti, della legge 23 dicembre 2005, n. 266 (in seguito ulteriormente potenziato con le misure introdotte dal decreto-legge 10 ottobre 2012, n. 174, convertito nella legge 7 dicembre 2012, n. 213, e poi trasfuso nell’art. 148 -bis del TUEL). </w:t>
      </w:r>
    </w:p>
    <w:p w:rsidR="00B16E5F" w:rsidRDefault="00B16E5F" w:rsidP="00B16E5F">
      <w:pPr>
        <w:shd w:val="clear" w:color="auto" w:fill="FEFEFE"/>
        <w:spacing w:after="0" w:line="20" w:lineRule="atLeast"/>
        <w:jc w:val="both"/>
        <w:outlineLvl w:val="1"/>
      </w:pPr>
      <w:r>
        <w:t xml:space="preserve">Le stesse, si ricorda, costituiscono le basi per una più proficua collaborazione tra la Corte dei conti e le Istituzioni territoriali e rappresentano uno strumento essenziale al quale fanno riferimento tanto i Collegi dei revisori dei conti degli enti locali, per le attività loro demandate, quanto le Sezioni regionali di controllo, per le verifiche di competenza, in vista di una più efficace e sinergica cooperazione tra organi di controllo interno ed esterno. </w:t>
      </w:r>
    </w:p>
    <w:p w:rsidR="00B16E5F" w:rsidRDefault="00B16E5F" w:rsidP="00B16E5F">
      <w:pPr>
        <w:shd w:val="clear" w:color="auto" w:fill="FEFEFE"/>
        <w:spacing w:after="0" w:line="20" w:lineRule="atLeast"/>
        <w:jc w:val="both"/>
        <w:outlineLvl w:val="1"/>
      </w:pPr>
      <w:r>
        <w:t xml:space="preserve">A tal riguardo non appare, peraltro, superfluo ribadire come il supporto operativo offerto dalle Linee di indirizzo e dal relativo questionario non esaurisca gli ambiti di indagine delle Sezioni regionali di controllo che potranno procedere ad approfondimenti istruttori anche in relazione ad ulteriori profili, contabili e gestionali, ritenuti di interesse. Le presenti linee di indirizzo potranno, inoltre, essere di ausilio anche per le attività delle Sezioni regionali di controllo delle Regioni a statuto speciale e delle due Province autonome che potranno utilizzarle nel rispetto dei regimi di autonomia differenziata ad esse applicabili: in tale ottica, i revisori dei predetti enti avranno cura di richiamare, negli appositi quadri riservati ai chiarimenti, la normativa di settore eventualmente applicata in luogo di quella nazionale citata nel questionario. L’adozione ad esercizio avanzato delle linee guida non compromette né depotenzia la richiamata finalità di interazione tra organi di controllo, interno ed esterno, in considerazione di quella visione di sintesi dei principali obiettivi di interesse delle gestioni pubbliche, sottesa all’art. 1, comma 166 e segg. della già ricordata legge n. 266/2005. </w:t>
      </w:r>
    </w:p>
    <w:p w:rsidR="00B16E5F" w:rsidRDefault="00B16E5F" w:rsidP="00B16E5F">
      <w:pPr>
        <w:shd w:val="clear" w:color="auto" w:fill="FEFEFE"/>
        <w:spacing w:after="0" w:line="20" w:lineRule="atLeast"/>
        <w:jc w:val="both"/>
        <w:outlineLvl w:val="1"/>
      </w:pPr>
      <w:r>
        <w:t xml:space="preserve">D’altro canto, obiettivi prioritari ed ineludibili sono, per un verso, l’avvicinamento tra fase di valutazione e fase di gestione in modo di ampliare lo spettro degli effetti collaborativi dei controlli oltre che la compiuta scansione del ciclo di bilancio secondo i tempi fissati dalla legge a partire proprio dalla deliberazione del bilancio di previsione. </w:t>
      </w:r>
    </w:p>
    <w:p w:rsidR="00B16E5F" w:rsidRDefault="00B16E5F" w:rsidP="00B16E5F">
      <w:pPr>
        <w:shd w:val="clear" w:color="auto" w:fill="FEFEFE"/>
        <w:spacing w:after="0" w:line="20" w:lineRule="atLeast"/>
        <w:jc w:val="both"/>
        <w:outlineLvl w:val="1"/>
      </w:pPr>
      <w:r>
        <w:t xml:space="preserve">Sotto tale profilo si segnala come, anche per l’esercizio 2019, si sia fatto ricorso all’esercizio provvisorio (autorizzato dapprima fino al 28 febbraio 2019 con il decreto del Ministero dell’interno del 7 dicembre 2018 e, quindi, fino al 31 marzo 2019 con decreto del Ministro dell’interno del 25 gennaio 2019). </w:t>
      </w:r>
    </w:p>
    <w:p w:rsidR="00B16E5F" w:rsidRDefault="00B16E5F" w:rsidP="00B16E5F">
      <w:pPr>
        <w:shd w:val="clear" w:color="auto" w:fill="FEFEFE"/>
        <w:spacing w:after="0" w:line="20" w:lineRule="atLeast"/>
        <w:jc w:val="both"/>
        <w:outlineLvl w:val="1"/>
      </w:pPr>
      <w:r>
        <w:t xml:space="preserve">Specifico regime di proroga ha riguardato gli enti locali in piano di riequilibrio finanziario pluriennale che hanno fatto ricorso alla rimodulazione/riformulazione ex art. 1, comma 714 della legge 28 dicembre 2015, n. 208 come sostituito dall’art. 1 comma 434 della legge 11 dicembre 2016 n. 232, per i quali con decreto del Ministero dell’interno del 28 marzo 2019 il termine è stato differito fino al 30 aprile 2019 e con il successivo decreto del 24 aprile 2019, fino al 31 luglio 2019. </w:t>
      </w:r>
    </w:p>
    <w:p w:rsidR="00B16E5F" w:rsidRDefault="00B16E5F" w:rsidP="00B16E5F">
      <w:pPr>
        <w:shd w:val="clear" w:color="auto" w:fill="FEFEFE"/>
        <w:spacing w:after="0" w:line="20" w:lineRule="atLeast"/>
        <w:jc w:val="both"/>
        <w:outlineLvl w:val="1"/>
      </w:pPr>
      <w:r>
        <w:t xml:space="preserve">Con tale ultimo decreto del Ministero dell’interno, per i comuni interessati negli scorsi anni da eventi sismici (terremoto L’Aquila del 2009, del Centro Italia dal 24 agosto 2016 e dell’area etnea del 28 dicembre 2018), il termine, già fissato al 31 marzo, è stato ulteriormente differito al 30 giugno 2019. </w:t>
      </w:r>
    </w:p>
    <w:p w:rsidR="00B16E5F" w:rsidRDefault="00B16E5F" w:rsidP="00B16E5F">
      <w:pPr>
        <w:shd w:val="clear" w:color="auto" w:fill="FEFEFE"/>
        <w:spacing w:after="0" w:line="20" w:lineRule="atLeast"/>
        <w:jc w:val="both"/>
        <w:outlineLvl w:val="1"/>
      </w:pPr>
      <w:r>
        <w:t xml:space="preserve">Sui i limiti gestionali da osservare, per legge, in costanza di esercizio provvisorio, risultano attuali e devono, pertanto, trovare conferma le indicazioni rese dalla Sezione delle autonomie con le deliberazioni n. 9/2016/ INPR e n. 14/2017/INPR. </w:t>
      </w:r>
    </w:p>
    <w:p w:rsidR="00B16E5F" w:rsidRDefault="00B16E5F" w:rsidP="00B16E5F">
      <w:pPr>
        <w:shd w:val="clear" w:color="auto" w:fill="FEFEFE"/>
        <w:spacing w:after="0" w:line="20" w:lineRule="atLeast"/>
        <w:jc w:val="both"/>
        <w:outlineLvl w:val="1"/>
      </w:pPr>
      <w:r>
        <w:t xml:space="preserve">Le presenti Linee di indirizzo, e l’annesso questionario, consolidano - all’interno di un quadro normativo complesso e caratterizzato da una certa fluidità delle disposizioni -, il percorso di semplificazione, snellimento e razionalizzazione delle attività di controllo intrapreso dalla Sezione delle autonomie a partire dal 2015 con la deliberazione n. 32/2015/ INPR recante le «Linee di indirizzo su aspetti significativi dei bilanci preventivi 2015 nel contesto della contabilità armonizzata». </w:t>
      </w:r>
    </w:p>
    <w:p w:rsidR="00B16E5F" w:rsidRDefault="00B16E5F" w:rsidP="00B16E5F">
      <w:pPr>
        <w:shd w:val="clear" w:color="auto" w:fill="FEFEFE"/>
        <w:spacing w:after="0" w:line="20" w:lineRule="atLeast"/>
        <w:jc w:val="both"/>
        <w:outlineLvl w:val="1"/>
      </w:pPr>
      <w:r>
        <w:t xml:space="preserve">Analoghe finalità hanno informato le deliberazioni n. 9/2016/INPR e n. 14/2017/INPR recanti, rispettivamente, le «Linee di indirizzo per la formazione del bilancio 2016-2018 e per l’attuazione della contabilità armonizzata negli enti territoriali» e le «Linee di indirizzo per la relazione dei revisori dei conti dei Comuni, delle Città metropolitane e delle Province sui bilanci di previsione 2017-2019» e sono state ribadite nella deliberazione n. 1/SEZAUT/2018/INPR approvativa del programma delle attività di controllo della Sezione per l’anno 2018. </w:t>
      </w:r>
    </w:p>
    <w:p w:rsidR="00B16E5F" w:rsidRDefault="00B16E5F" w:rsidP="00B16E5F">
      <w:pPr>
        <w:shd w:val="clear" w:color="auto" w:fill="FEFEFE"/>
        <w:spacing w:after="0" w:line="20" w:lineRule="atLeast"/>
        <w:jc w:val="both"/>
        <w:outlineLvl w:val="1"/>
      </w:pPr>
      <w:r>
        <w:t xml:space="preserve">Ciò, anche in considerazione, degli obblighi gravanti sugli Enti locali, di trasmissione alla Banca dati della pubblica amministrazione di cui all’art. 13 della legge 31 dicembre 2009, n. 196 (BDAP), non solo degli schemi di bilancio e di rendiconto, ma anche, dei numerosi allegati obbligatori previsti a corredo dei predetti documenti contabili (art. 11, comma 3, del decreto legislativo n. 118/2011 e successive modificazioni ed </w:t>
      </w:r>
      <w:r>
        <w:lastRenderedPageBreak/>
        <w:t xml:space="preserve">integrazioni, punto 9.3 del principio contabile applicato 4/1, lettera g) e lettera h) ; art. 172 TUEL e decreto ministeriale 9 dicembre 2015, all. 1). </w:t>
      </w:r>
    </w:p>
    <w:p w:rsidR="00B16E5F" w:rsidRDefault="00B16E5F" w:rsidP="00B16E5F">
      <w:pPr>
        <w:shd w:val="clear" w:color="auto" w:fill="FEFEFE"/>
        <w:spacing w:after="0" w:line="20" w:lineRule="atLeast"/>
        <w:jc w:val="both"/>
        <w:outlineLvl w:val="1"/>
      </w:pPr>
      <w:r>
        <w:t xml:space="preserve">Deve, peraltro, osservarsi come i ripetuti interventi del legislatore nella materia della finanza locale che introducono nel sistema ordinamentale misure pur, asseritamente, ispirate ad esigenze di semplificazione e flessibilità di bilancio, concorrano a creare aree di gestione difficili da intercettare: in questa prospettiva, al fine di assicurare un quadro informativo, al contempo, snello e significativo si è ritenuto opportuno implementare il contenuto delle presenti linee di indirizzo e, nell’ambito delle stesse, dare specifica evidenza ad alcune di queste aree tematiche. </w:t>
      </w:r>
    </w:p>
    <w:p w:rsidR="00B16E5F" w:rsidRDefault="00B16E5F" w:rsidP="00B16E5F">
      <w:pPr>
        <w:shd w:val="clear" w:color="auto" w:fill="FEFEFE"/>
        <w:spacing w:after="0" w:line="20" w:lineRule="atLeast"/>
        <w:jc w:val="both"/>
        <w:outlineLvl w:val="1"/>
      </w:pPr>
      <w:r>
        <w:t xml:space="preserve">In tale contesto operativo – che avvia a completamento il disegno di acquisizione dei dati contabili degli enti territoriali e dei loro organismi partecipati da banche dati esterne – finalità precipua del questionario allegato rimane quella di acquisire informazioni mirate su temi centrali per la stabilità finanziaria degli enti territoriali e sulla corretta tenuta della contabilità armonizzata, nei limiti delle strette necessità informative non soddisfatte direttamente dalla BDAP: di qui l’adozione di una struttura ispirata ad un criterio di razionalizzazione complessiva dei flussi informativi così da consentire alle Sezioni regionali di controllo di poter condurre le proprie analisi sulla sana gestione degli enti locali pur evitando duplicazioni di richieste di dati contabili facilmente reperibili in BDAP. </w:t>
      </w:r>
    </w:p>
    <w:p w:rsidR="00B16E5F" w:rsidRDefault="00B16E5F" w:rsidP="00B16E5F">
      <w:pPr>
        <w:shd w:val="clear" w:color="auto" w:fill="FEFEFE"/>
        <w:spacing w:after="0" w:line="20" w:lineRule="atLeast"/>
        <w:jc w:val="both"/>
        <w:outlineLvl w:val="1"/>
      </w:pPr>
      <w:r>
        <w:t>2. Novità normative.</w:t>
      </w:r>
    </w:p>
    <w:p w:rsidR="00B16E5F" w:rsidRDefault="00B16E5F" w:rsidP="00B16E5F">
      <w:pPr>
        <w:shd w:val="clear" w:color="auto" w:fill="FEFEFE"/>
        <w:spacing w:after="0" w:line="20" w:lineRule="atLeast"/>
        <w:jc w:val="both"/>
        <w:outlineLvl w:val="1"/>
      </w:pPr>
      <w:r>
        <w:t xml:space="preserve"> L’esercizio finanziario 2019 per gli enti territoriali è caratterizzato da importanti novità normative. Specifica significatività assumono quelle introdotte dalla legge 30 dicembre 2018, n. 145 (legge di bilancio 2019), oltre che da altre disposizioni per le quali si fa rinvio allo specifico ambito tematico. Quanto alla legge di bilancio 2019, in una prospettiva generale, meritevoli di segnalazione appaiono: </w:t>
      </w:r>
    </w:p>
    <w:p w:rsidR="00B16E5F" w:rsidRDefault="00B16E5F" w:rsidP="00B16E5F">
      <w:pPr>
        <w:shd w:val="clear" w:color="auto" w:fill="FEFEFE"/>
        <w:spacing w:after="0" w:line="20" w:lineRule="atLeast"/>
        <w:jc w:val="both"/>
        <w:outlineLvl w:val="1"/>
      </w:pPr>
      <w:r>
        <w:t xml:space="preserve">a) la nuova regola fiscale concernente la verifica della situazione di equilibrio (art. 1, commi 819-826); </w:t>
      </w:r>
    </w:p>
    <w:p w:rsidR="00B16E5F" w:rsidRDefault="00B16E5F" w:rsidP="00B16E5F">
      <w:pPr>
        <w:shd w:val="clear" w:color="auto" w:fill="FEFEFE"/>
        <w:spacing w:after="0" w:line="20" w:lineRule="atLeast"/>
        <w:jc w:val="both"/>
        <w:outlineLvl w:val="1"/>
      </w:pPr>
      <w:r>
        <w:t>b) il libero utilizzo degli avanzi di amministrazione, con specifico riguardo alle condizioni ed ai limiti che regolano l’applicazione dell’avanzo per gli enti in disavanzo (art. 1, commi 897-900 legge di bilancio 2019</w:t>
      </w:r>
      <w:proofErr w:type="gramStart"/>
      <w:r>
        <w:t>) ;</w:t>
      </w:r>
      <w:proofErr w:type="gramEnd"/>
      <w:r>
        <w:t xml:space="preserve"> c) la corretta programmazione delle risorse con particolare riferimento alle importanti novità in tema di prenotazione/costituzione del Fondo pluriennale vincolato (art. 1, commi 909-911) fin dall’avvio della fase della progettazione; </w:t>
      </w:r>
    </w:p>
    <w:p w:rsidR="00B16E5F" w:rsidRDefault="00B16E5F" w:rsidP="00B16E5F">
      <w:pPr>
        <w:shd w:val="clear" w:color="auto" w:fill="FEFEFE"/>
        <w:spacing w:after="0" w:line="20" w:lineRule="atLeast"/>
        <w:jc w:val="both"/>
        <w:outlineLvl w:val="1"/>
      </w:pPr>
      <w:r>
        <w:t xml:space="preserve">d) le varie misure di semplificazione e flessibilità dei bilanci, aventi ad oggetto deroghe al progressivo, prestabilito, incremento dell’accantonamento al Fondo crediti di dubbia esigibilità (commi 1015-1018), lo stralcio dei crediti fino a € 1.000 iscritti a ruolo tra il 2.000 ed il 2010, così come previsto dall’art. 4 del decreto-legge 23 ottobre 2018, n. 119 convertito dalla legge 17 dicembre 2018, n. 136 ed il rientro dall’eventuale disavanzo derivante dall’automatico annullamento in base ad un regime temporale differenziato rispetto alla generale disciplina ex art. 188 TUEL (art. 11 -bis , comma 6, decreto-legge n. 135/2018; </w:t>
      </w:r>
    </w:p>
    <w:p w:rsidR="00B16E5F" w:rsidRDefault="00B16E5F" w:rsidP="00B16E5F">
      <w:pPr>
        <w:shd w:val="clear" w:color="auto" w:fill="FEFEFE"/>
        <w:spacing w:after="0" w:line="20" w:lineRule="atLeast"/>
        <w:jc w:val="both"/>
        <w:outlineLvl w:val="1"/>
      </w:pPr>
      <w:r>
        <w:t>e) l’utilizzo, a regime, dei proventi da alienazione dei beni patrimoniali per il pagamento delle rate di mutuo (art. 11 -</w:t>
      </w:r>
      <w:proofErr w:type="gramStart"/>
      <w:r>
        <w:t>bis ,</w:t>
      </w:r>
      <w:proofErr w:type="gramEnd"/>
      <w:r>
        <w:t xml:space="preserve"> comma 4, decreto-legge n. 135/2018) e l’eliminazione dell’obbligo di concorrere al fondo ammortamento titoli di stato</w:t>
      </w:r>
    </w:p>
    <w:p w:rsidR="00B16E5F" w:rsidRDefault="00B16E5F" w:rsidP="00B16E5F">
      <w:pPr>
        <w:shd w:val="clear" w:color="auto" w:fill="FEFEFE"/>
        <w:spacing w:after="0" w:line="20" w:lineRule="atLeast"/>
        <w:jc w:val="both"/>
        <w:outlineLvl w:val="1"/>
      </w:pPr>
      <w:r>
        <w:t xml:space="preserve">f) le nuove fattispecie di anticipazioni di liquidità disciplinate e previste dai commi da 849 a 858 da utilizzare per il pagamento dei debiti certi, liquidi ed esigibili maturati alla data del 31 dicembre 2018, relativi a somministrazioni, forniture, appalti e a obbligazioni per prestazioni professionali, che non costituiscono indebitamento ai sensi dell’art. 3, comma 17, della legge 24 dicembre 2003, n. 350, e da concedersi, per gli enti locali, entro il limite massimo di tre dodicesimi delle entrate accertate nell’anno 2017 afferenti ai primi tre titoli di entrata del bilancio. </w:t>
      </w:r>
    </w:p>
    <w:p w:rsidR="00B16E5F" w:rsidRDefault="00B16E5F" w:rsidP="00B16E5F">
      <w:pPr>
        <w:shd w:val="clear" w:color="auto" w:fill="FEFEFE"/>
        <w:spacing w:after="0" w:line="20" w:lineRule="atLeast"/>
        <w:jc w:val="both"/>
        <w:outlineLvl w:val="1"/>
      </w:pPr>
      <w:r>
        <w:t xml:space="preserve">Si osserva in proposito che proprio in relazione al carattere di novità che esse comportano, sono in itinere modifiche al principio contabile applicato 4/2 concernenti la diversa contabilizzazione delle anticipazioni di liquidità annuali da restituire entro l’esercizio, rispetto a quelle pluriennali. </w:t>
      </w:r>
    </w:p>
    <w:p w:rsidR="00B16E5F" w:rsidRDefault="00B16E5F" w:rsidP="00B16E5F">
      <w:pPr>
        <w:shd w:val="clear" w:color="auto" w:fill="FEFEFE"/>
        <w:spacing w:after="0" w:line="20" w:lineRule="atLeast"/>
        <w:jc w:val="both"/>
        <w:outlineLvl w:val="1"/>
      </w:pPr>
      <w:r>
        <w:t>Occorre, tra l’altro, considerare che i principi o postulati del sistema di bilancio a valenza applicativa generale (quali definiti dagli allegati al decreto legislativo n. 118 del 2011, in particolare l’all. 1) alla cui osservanza sono tenuti anche gli enti locali nella costruzione e redazione dei documenti contabili del proprio ciclo di bilancio, sono stati anche di recente riformulati (decreto ministeriale del Ministero dell’economia e delle finanze del 1° marzo 2019).</w:t>
      </w:r>
    </w:p>
    <w:p w:rsidR="00B16E5F" w:rsidRDefault="00B16E5F" w:rsidP="00B16E5F">
      <w:pPr>
        <w:shd w:val="clear" w:color="auto" w:fill="FEFEFE"/>
        <w:spacing w:after="0" w:line="20" w:lineRule="atLeast"/>
        <w:jc w:val="both"/>
        <w:outlineLvl w:val="1"/>
      </w:pPr>
      <w:r>
        <w:t xml:space="preserve"> Si tratta, evidentemente, di un complesso di misure che hanno rilevante impatto su aspetti strutturali nella costruzione del programma finanziario triennale, oltre che sui meccanismi gestionali, incidendo sia sulle regole della gestione di competenza, sia su quelle relative alla rappresentazione degli effetti finanziari delle </w:t>
      </w:r>
      <w:r>
        <w:lastRenderedPageBreak/>
        <w:t xml:space="preserve">gestioni nella continuità degli esercizi: in tal senso si pongono, in particolare, le novità introdotte in tema di costituzione e gestione del FPV la cui disciplina nel principio contabile applicato 4/2 è stata ampiamente aggiornata. (Decreto ministeriale del Ministero dell’economia e delle finanze del 1° marzo 2019). </w:t>
      </w:r>
    </w:p>
    <w:p w:rsidR="00B16E5F" w:rsidRDefault="00B16E5F" w:rsidP="00B16E5F">
      <w:pPr>
        <w:shd w:val="clear" w:color="auto" w:fill="FEFEFE"/>
        <w:spacing w:after="0" w:line="20" w:lineRule="atLeast"/>
        <w:jc w:val="both"/>
        <w:outlineLvl w:val="1"/>
      </w:pPr>
      <w:r>
        <w:t xml:space="preserve">In una valutazione di sintesi si tratta di misure che attenuano la rigidità dei bilanci per favorire fluidità alla manovra e stimolare azioni a sostegno dello sviluppo economico sociale ma che nel contempo impongono maggiore impegno per tutti i profili di responsabilità a livello politico e amministrativo. </w:t>
      </w:r>
    </w:p>
    <w:p w:rsidR="00B16E5F" w:rsidRDefault="00B16E5F" w:rsidP="00B16E5F">
      <w:pPr>
        <w:shd w:val="clear" w:color="auto" w:fill="FEFEFE"/>
        <w:spacing w:after="0" w:line="20" w:lineRule="atLeast"/>
        <w:jc w:val="both"/>
        <w:outlineLvl w:val="1"/>
      </w:pPr>
      <w:r>
        <w:t>Di seguito si evidenziano gli aspetti maggiormente significativi delle richiamate disposizioni.</w:t>
      </w:r>
    </w:p>
    <w:p w:rsidR="00B16E5F" w:rsidRDefault="00B16E5F" w:rsidP="00B16E5F">
      <w:pPr>
        <w:shd w:val="clear" w:color="auto" w:fill="FEFEFE"/>
        <w:spacing w:after="0" w:line="20" w:lineRule="atLeast"/>
        <w:jc w:val="both"/>
        <w:outlineLvl w:val="1"/>
      </w:pPr>
      <w:r>
        <w:t xml:space="preserve"> 2.1. Gli equilibri di bilancio dopo l’abolizione di regole finanziarie aggiuntive. </w:t>
      </w:r>
    </w:p>
    <w:p w:rsidR="00B16E5F" w:rsidRDefault="00B16E5F" w:rsidP="00B16E5F">
      <w:pPr>
        <w:shd w:val="clear" w:color="auto" w:fill="FEFEFE"/>
        <w:spacing w:after="0" w:line="20" w:lineRule="atLeast"/>
        <w:jc w:val="both"/>
        <w:outlineLvl w:val="1"/>
      </w:pPr>
      <w:r>
        <w:t xml:space="preserve">L’art. 1, commi da 819 a 830, della legge di bilancio 2019 ha introdotto per gli enti territoriali nuove disposizioni in tema di equilibrio </w:t>
      </w:r>
      <w:proofErr w:type="gramStart"/>
      <w:r>
        <w:t>di  bilancio</w:t>
      </w:r>
      <w:proofErr w:type="gramEnd"/>
      <w:r>
        <w:t xml:space="preserve">, prevendendo che gli stessi, a decorrere dal 2019, soddisfano tale condizione laddove risulti verificato un risultato di competenza dell’esercizio non negativo. </w:t>
      </w:r>
    </w:p>
    <w:p w:rsidR="00B16E5F" w:rsidRDefault="00B16E5F" w:rsidP="00B16E5F">
      <w:pPr>
        <w:shd w:val="clear" w:color="auto" w:fill="FEFEFE"/>
        <w:spacing w:after="0" w:line="20" w:lineRule="atLeast"/>
        <w:jc w:val="both"/>
        <w:outlineLvl w:val="1"/>
      </w:pPr>
      <w:r>
        <w:t xml:space="preserve">Nello specifico è stato sancito il superamento delle norme in materia di rispetto del principio di pareggio di bilancio basate sull’art. 9 della legge n. 243/2012, a favore di un risultato di competenza dell’esercizio non negativo desumibile dal prospetto della verifica degli equilibri allegato al rendiconto di gestione. </w:t>
      </w:r>
    </w:p>
    <w:p w:rsidR="00B16E5F" w:rsidRDefault="00B16E5F" w:rsidP="00B16E5F">
      <w:pPr>
        <w:shd w:val="clear" w:color="auto" w:fill="FEFEFE"/>
        <w:spacing w:after="0" w:line="20" w:lineRule="atLeast"/>
        <w:jc w:val="both"/>
        <w:outlineLvl w:val="1"/>
      </w:pPr>
      <w:r>
        <w:t>La nuova regola si applica agli Enti locali dal 2019 a differenza delle Regioni a statuto ordinario per le quali decorre solo dall’anno 2021.</w:t>
      </w:r>
    </w:p>
    <w:p w:rsidR="00B16E5F" w:rsidRDefault="00B16E5F" w:rsidP="00B16E5F">
      <w:pPr>
        <w:shd w:val="clear" w:color="auto" w:fill="FEFEFE"/>
        <w:spacing w:after="0" w:line="20" w:lineRule="atLeast"/>
        <w:jc w:val="both"/>
        <w:outlineLvl w:val="1"/>
      </w:pPr>
      <w:r>
        <w:t>Trattasi di una semplificazione di rilievo che, comportando il superamento del “doppio binario” pareggio-equilibri, consente di leggere in maniera piana i principali effetti del ciclo di bilancio scandito, in termini di estrema sintesi, dall’acquisizione delle risorse e dal loro utilizzo nell’esercizio di competenza e nella corretta programmazione delle annualità successive.</w:t>
      </w:r>
    </w:p>
    <w:p w:rsidR="00B16E5F" w:rsidRDefault="00B16E5F" w:rsidP="00B16E5F">
      <w:pPr>
        <w:shd w:val="clear" w:color="auto" w:fill="FEFEFE"/>
        <w:spacing w:after="0" w:line="20" w:lineRule="atLeast"/>
        <w:jc w:val="both"/>
        <w:outlineLvl w:val="1"/>
      </w:pPr>
      <w:r>
        <w:t xml:space="preserve"> È stata così «archiviata» la fase, sostanzialmente breve seppur articolata, che ha caratterizzato il passaggio dal patto di stabilità interno al nuovo saldo di finanza pubblica (saldo non negativo tra le entrate e le spese finali) introdotto, a partire dall’anno 2016 (1</w:t>
      </w:r>
      <w:proofErr w:type="gramStart"/>
      <w:r>
        <w:t>) .</w:t>
      </w:r>
      <w:proofErr w:type="gramEnd"/>
      <w:r>
        <w:t xml:space="preserve"> </w:t>
      </w:r>
    </w:p>
    <w:p w:rsidR="00B16E5F" w:rsidRDefault="00B16E5F" w:rsidP="00B16E5F">
      <w:pPr>
        <w:shd w:val="clear" w:color="auto" w:fill="FEFEFE"/>
        <w:spacing w:after="0" w:line="20" w:lineRule="atLeast"/>
        <w:jc w:val="both"/>
        <w:outlineLvl w:val="1"/>
      </w:pPr>
      <w:r>
        <w:t xml:space="preserve">Tali regole sono state oggetto di significativa rivisitazione per effetto della legge n. 164 del 2016 che ha permesso di ridurre sensibilmente l’obiettivo di finanza pubblica degli enti territoriali pur mantenendo limiti nell’utilizzo dell’avanzo di amministrazione (2) e nell’utilizzo del Fondo pluriennale vincolato. </w:t>
      </w:r>
    </w:p>
    <w:p w:rsidR="00B16E5F" w:rsidRDefault="00B16E5F" w:rsidP="00B16E5F">
      <w:pPr>
        <w:shd w:val="clear" w:color="auto" w:fill="FEFEFE"/>
        <w:spacing w:after="0" w:line="20" w:lineRule="atLeast"/>
        <w:jc w:val="both"/>
        <w:outlineLvl w:val="1"/>
      </w:pPr>
      <w:r>
        <w:t xml:space="preserve">La disciplina da ultimo richiamata ha, peraltro, apportato alcune sostanziali modifiche agli articoli 9 e 10 della legge n. 243 del 2012, modificando le regole per il computo del saldo di bilancio con l’inclusione del FPV di entrata e di spesa, in via transitoria per gli anni 2017-2019 (con la legge di bilancio, compatibilmente con gli obiettivi di finanza pubblica e su base triennale) e in via permanente dal 2020, al netto della quota rinveniente dal ricorso all’indebitamento (3). </w:t>
      </w:r>
    </w:p>
    <w:p w:rsidR="00B16E5F" w:rsidRDefault="00B16E5F" w:rsidP="00B16E5F">
      <w:pPr>
        <w:shd w:val="clear" w:color="auto" w:fill="FEFEFE"/>
        <w:spacing w:after="0" w:line="20" w:lineRule="atLeast"/>
        <w:jc w:val="both"/>
        <w:outlineLvl w:val="1"/>
      </w:pPr>
      <w:r>
        <w:t xml:space="preserve">Tale normativa è stata confermata e, nel contempo, ulteriormente definita dalla legge di bilancio 2017 (4) e dalla recente giurisprudenza della Corte costituzionale. In relazione a tale ultimo significativo aspetto, infatti, la Corte costituzionale, dapprima con la sentenza n. 247/2017 e successivamente con la n. 101/2018, ha censurato le previgenti limitazioni circa l’utilizzo dell’avanzo di amministrazione e del Fondo pluriennale vincolato, evidenziando, peraltro, come siffatta facoltà sia coerente e non vulneri le esigenze di coordinamento di finanza pubblica e non pregiudichi il conseguimento degli obiettivi di stabilità che trovano adeguata garanzia nelle regole per la costruzione degli equilibri di bilancio dettate dal decreto legislativo n. 118 del 2011, in vista della la piena attuazione degli articoli 81 e 97 della Costituzione. </w:t>
      </w:r>
    </w:p>
    <w:p w:rsidR="00B16E5F" w:rsidRDefault="00B16E5F" w:rsidP="00B16E5F">
      <w:pPr>
        <w:shd w:val="clear" w:color="auto" w:fill="FEFEFE"/>
        <w:spacing w:after="0" w:line="20" w:lineRule="atLeast"/>
        <w:jc w:val="both"/>
        <w:outlineLvl w:val="1"/>
      </w:pPr>
      <w:r>
        <w:t>Come già evidenziato, la nuova regola prevede la verifica a consuntivo del conseguimento degli equilibri, attraverso l’apposito «Prospetto» allegato al rendiconto della gestione (All. 10 del decreto legislativo n. 118/2011), contenente gli accertamenti e gli impegni di competenza imputati all’esercizio, del quale è attualmente in itinere la rielaborazione ad opera dell’undicesimo decreto correttivo al decreto legislativo n. 118 del 2011, ormai in fase avanzata di definizione.</w:t>
      </w:r>
    </w:p>
    <w:p w:rsidR="00B16E5F" w:rsidRDefault="00B16E5F" w:rsidP="00B16E5F">
      <w:pPr>
        <w:shd w:val="clear" w:color="auto" w:fill="FEFEFE"/>
        <w:spacing w:after="0" w:line="20" w:lineRule="atLeast"/>
        <w:jc w:val="both"/>
        <w:outlineLvl w:val="1"/>
      </w:pPr>
      <w:r>
        <w:t xml:space="preserve">Va precisato in proposito che il formale riferimento, secondo la lettera della legge, al risultato di competenza non rende meno rilevanti le voci relative agli equilibri di bilancio (risultato di competenza al netto degli accantonamenti) e agli equilibri complessivi (somma algebrica tra equilibri di bilancio e variazione degli accantonamenti fatta in sede di rendiconto) rilevate, a scopi conoscitivi, nel nuovo prospetto di verifica degli equilibri adottato insieme alla revisione del principio contabile in corso di emanazione. </w:t>
      </w:r>
    </w:p>
    <w:p w:rsidR="00B16E5F" w:rsidRDefault="00B16E5F" w:rsidP="00B16E5F">
      <w:pPr>
        <w:shd w:val="clear" w:color="auto" w:fill="FEFEFE"/>
        <w:spacing w:after="0" w:line="20" w:lineRule="atLeast"/>
        <w:jc w:val="both"/>
        <w:outlineLvl w:val="1"/>
      </w:pPr>
      <w:r>
        <w:t xml:space="preserve">Le prime, per tenere conto della finalizzazione delle risorse acquisite in bilancio alla destinazione degli accantonamenti previsti dalle leggi e dai principi contabili, nonché per evidenziare le risorse con vincoli specifici di destinazione, le seconde al fine di considerare gli effetti derivanti dagli accantonamenti appostati </w:t>
      </w:r>
      <w:r>
        <w:lastRenderedPageBreak/>
        <w:t xml:space="preserve">in sede di rendiconto in attuazione dei principi contabili, ovvero, per la gestione contabile, quelli verificatisi dopo la chiusura dell’esercizio o dopo la scadenza dei termini per le variazioni di bilancio. </w:t>
      </w:r>
    </w:p>
    <w:p w:rsidR="00B16E5F" w:rsidRDefault="00B16E5F" w:rsidP="00B16E5F">
      <w:pPr>
        <w:shd w:val="clear" w:color="auto" w:fill="FEFEFE"/>
        <w:spacing w:after="0" w:line="20" w:lineRule="atLeast"/>
        <w:jc w:val="both"/>
        <w:outlineLvl w:val="1"/>
      </w:pPr>
    </w:p>
    <w:p w:rsidR="00B16E5F" w:rsidRDefault="00B16E5F" w:rsidP="00B16E5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EFEFE"/>
        <w:spacing w:after="0" w:line="20" w:lineRule="atLeast"/>
        <w:jc w:val="both"/>
        <w:outlineLvl w:val="1"/>
      </w:pPr>
      <w:r>
        <w:t xml:space="preserve">(1) Art. 1, comma 707, commi da 709 a 713, comma 716 e commi da 719 a 734, legge 28 dicembre 2015, n. 208 - legge di stabilità 2016. </w:t>
      </w:r>
    </w:p>
    <w:p w:rsidR="00B16E5F" w:rsidRDefault="00B16E5F" w:rsidP="00B16E5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EFEFE"/>
        <w:spacing w:after="0" w:line="20" w:lineRule="atLeast"/>
        <w:jc w:val="both"/>
        <w:outlineLvl w:val="1"/>
      </w:pPr>
      <w:r>
        <w:t>2) In misura non superiore agli stanziamenti previsti per il Fondo crediti dubbia esigibilità ed i Fondi spese e rischi futuri di ciascun anno di programmazione, nonché per le quote di capitale di rimborso prestiti.</w:t>
      </w:r>
    </w:p>
    <w:p w:rsidR="00B16E5F" w:rsidRDefault="00B16E5F" w:rsidP="00B16E5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EFEFE"/>
        <w:spacing w:after="0" w:line="20" w:lineRule="atLeast"/>
        <w:jc w:val="both"/>
        <w:outlineLvl w:val="1"/>
      </w:pPr>
      <w:r>
        <w:t xml:space="preserve">(3) Art. 1, legge n. 164 del 2016 che ha introdotto il comma 1-bis all’art. 9 richiamato. </w:t>
      </w:r>
    </w:p>
    <w:p w:rsidR="00B16E5F" w:rsidRDefault="00B16E5F" w:rsidP="00B16E5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EFEFE"/>
        <w:spacing w:after="0" w:line="20" w:lineRule="atLeast"/>
        <w:jc w:val="both"/>
        <w:outlineLvl w:val="1"/>
      </w:pPr>
      <w:r>
        <w:t xml:space="preserve">(4) Legge 11 dicembre 2016, n. 232, art. 1, comma 466. </w:t>
      </w:r>
    </w:p>
    <w:p w:rsidR="00B16E5F" w:rsidRDefault="00B16E5F" w:rsidP="00B16E5F">
      <w:pPr>
        <w:shd w:val="clear" w:color="auto" w:fill="FEFEFE"/>
        <w:spacing w:after="0" w:line="20" w:lineRule="atLeast"/>
        <w:jc w:val="both"/>
        <w:outlineLvl w:val="1"/>
      </w:pPr>
    </w:p>
    <w:p w:rsidR="00B16E5F" w:rsidRDefault="00B16E5F" w:rsidP="00B16E5F">
      <w:pPr>
        <w:shd w:val="clear" w:color="auto" w:fill="FEFEFE"/>
        <w:spacing w:after="0" w:line="20" w:lineRule="atLeast"/>
        <w:jc w:val="both"/>
        <w:outlineLvl w:val="1"/>
      </w:pPr>
      <w:r>
        <w:t xml:space="preserve">L’impostazione del bilancio di previsione non può prescindere dal fondamentale obiettivo di conseguire, oltre al risultato di competenza non negativo, anche l’equilibrio di bilancio come sopra definito, il quale in effetti rappresenta una condizione che esprime la concreta applicazione del principio generale della prudenza; ragion per cui, in funzione della verifica della nuova regola finanziaria, da operare a consuntivo, la costruzione del programma finanziario nella gestione 2019 deve essere coerente con detta finalità che troverà evidenza, secondo le previsioni dell’art. 1, comma 821, della legge di bilancio, nel prospetto «Verifica degli equilibri» di cui al citato allegato 10 al decreto legislativo n. 118 del 2011, sopra richiamato, in relazione al quale si dovrà tenere conto del citato decreto di aggiornamento, in corso di approvazione, il quale, in definitiva costituirà modalità di riscontro sostanziale del rispetto della ripetuta regola di finanza pubblica. </w:t>
      </w:r>
    </w:p>
    <w:p w:rsidR="00B16E5F" w:rsidRDefault="00B16E5F" w:rsidP="00B16E5F">
      <w:pPr>
        <w:shd w:val="clear" w:color="auto" w:fill="FEFEFE"/>
        <w:spacing w:after="0" w:line="20" w:lineRule="atLeast"/>
        <w:jc w:val="both"/>
        <w:outlineLvl w:val="1"/>
      </w:pPr>
      <w:r>
        <w:t>Si evidenzia, a tal proposito, che qualora risultino andamenti di spesa degli Enti non coerenti con gli impegni finanziari assunti con l’Unione europea, la novella legislativa opera un esplicito richiamo alla «clausola di salvaguardia» che demanda al ministro dell’economia e finanze la proposizione di adeguate misure di contenimento della predetta spesa. (</w:t>
      </w:r>
      <w:proofErr w:type="gramStart"/>
      <w:r>
        <w:t>art.</w:t>
      </w:r>
      <w:proofErr w:type="gramEnd"/>
      <w:r>
        <w:t xml:space="preserve"> 1, comma 822, legge di bilancio 2018). </w:t>
      </w:r>
    </w:p>
    <w:p w:rsidR="00B16E5F" w:rsidRDefault="00B16E5F" w:rsidP="00B16E5F">
      <w:pPr>
        <w:shd w:val="clear" w:color="auto" w:fill="FEFEFE"/>
        <w:spacing w:after="0" w:line="20" w:lineRule="atLeast"/>
        <w:jc w:val="both"/>
        <w:outlineLvl w:val="1"/>
      </w:pPr>
      <w:r>
        <w:t xml:space="preserve">2.2. L’utilizzo dell’avanzo di amministrazione nel bilancio e nel divenire della gestione: la salvaguardia degli equilibri. </w:t>
      </w:r>
    </w:p>
    <w:p w:rsidR="00B16E5F" w:rsidRDefault="00B16E5F" w:rsidP="00B16E5F">
      <w:pPr>
        <w:shd w:val="clear" w:color="auto" w:fill="FEFEFE"/>
        <w:spacing w:after="0" w:line="20" w:lineRule="atLeast"/>
        <w:jc w:val="both"/>
        <w:outlineLvl w:val="1"/>
      </w:pPr>
      <w:r>
        <w:t xml:space="preserve">Altra novità di rilievo introdotta dalla legge di bilancio per il 2019 riguarda la più ampia possibilità di utilizzo dell’avanzo di amministrazione risultante dall’esercizio precedente, sia pure con alcune limitazioni applicabili in particolare agli enti in disavanzo. </w:t>
      </w:r>
    </w:p>
    <w:p w:rsidR="00B16E5F" w:rsidRDefault="00B16E5F" w:rsidP="00B16E5F">
      <w:pPr>
        <w:shd w:val="clear" w:color="auto" w:fill="FEFEFE"/>
        <w:spacing w:after="0" w:line="20" w:lineRule="atLeast"/>
        <w:jc w:val="both"/>
        <w:outlineLvl w:val="1"/>
      </w:pPr>
      <w:r>
        <w:t xml:space="preserve">Anche in questo caso la nuova disciplina introduce una misura di flessibilità nella gestione delle risorse da riconnettersi ai principi di diritto affermati dalla Corte costituzionale con le già ricordate sentenze n. 247 del 2017 e n. 101 del 2018. </w:t>
      </w:r>
    </w:p>
    <w:p w:rsidR="00B16E5F" w:rsidRDefault="00B16E5F" w:rsidP="00B16E5F">
      <w:pPr>
        <w:shd w:val="clear" w:color="auto" w:fill="FEFEFE"/>
        <w:spacing w:after="0" w:line="20" w:lineRule="atLeast"/>
        <w:jc w:val="both"/>
        <w:outlineLvl w:val="1"/>
      </w:pPr>
      <w:r>
        <w:t>Si premette in argomento che il risultato di amministrazione deve essere accertato con l’approvazione del rendiconto dell’ultimo esercizio chiuso e deve essere sufficiente a coprire la quota accantonata (5</w:t>
      </w:r>
      <w:proofErr w:type="gramStart"/>
      <w:r>
        <w:t>) ,</w:t>
      </w:r>
      <w:proofErr w:type="gramEnd"/>
      <w:r>
        <w:t xml:space="preserve"> quella vincolata (6) e quella destinata agli investimenti (7). </w:t>
      </w:r>
    </w:p>
    <w:p w:rsidR="00B16E5F" w:rsidRDefault="00B16E5F" w:rsidP="00B16E5F">
      <w:pPr>
        <w:shd w:val="clear" w:color="auto" w:fill="FEFEFE"/>
        <w:spacing w:after="0" w:line="20" w:lineRule="atLeast"/>
        <w:jc w:val="both"/>
        <w:outlineLvl w:val="1"/>
      </w:pPr>
      <w:r>
        <w:t>Nel caso in cui detto risultato –che trova evidenziazione contabile nella voce “A” del prospetto dimostrativo del risultato di amministrazione (prospetto A dell’allegato 10 al decreto legislativo n. 118/2011) non sia sufficiente a comprendere le predette quote (vincolate, destinate e accantonate), l’ente deve considerarsi in disavanzo di amministrazione. (</w:t>
      </w:r>
      <w:proofErr w:type="gramStart"/>
      <w:r>
        <w:t>art.</w:t>
      </w:r>
      <w:proofErr w:type="gramEnd"/>
      <w:r>
        <w:t xml:space="preserve"> 187, comma 1, TUEL). </w:t>
      </w:r>
    </w:p>
    <w:p w:rsidR="00B16E5F" w:rsidRDefault="00B16E5F" w:rsidP="00B16E5F">
      <w:pPr>
        <w:shd w:val="clear" w:color="auto" w:fill="FEFEFE"/>
        <w:spacing w:after="0" w:line="20" w:lineRule="atLeast"/>
        <w:jc w:val="both"/>
        <w:outlineLvl w:val="1"/>
      </w:pPr>
      <w:r>
        <w:t xml:space="preserve">A loro volta, l’avanzo o il disavanzo di amministrazione trovano evidenziazione contabile nella voce «E - totale parte disponibile» del menzionato prospetto dimostrativo. </w:t>
      </w:r>
    </w:p>
    <w:p w:rsidR="00B16E5F" w:rsidRDefault="00B16E5F" w:rsidP="00B16E5F">
      <w:pPr>
        <w:shd w:val="clear" w:color="auto" w:fill="FEFEFE"/>
        <w:spacing w:after="0" w:line="20" w:lineRule="atLeast"/>
        <w:jc w:val="both"/>
        <w:outlineLvl w:val="1"/>
      </w:pPr>
      <w:r>
        <w:t>Sulla base dei risultati finali della gestione di esercizio, gli enti potranno trovarsi in situazione di avanzo (lettera A e lettera E positive) ovvero in una situazione «graduata» di disavanzo che consegue a due distinte ipotesi di cui: una «moderata» in cui il risultato di amministrazione è positivo, ma incapiente delle quote accantonate, vincolate e destinate (lettera A positiva e lettera E negativa) ed una più grave in cui l’Ente chiude l’esercizio già con il risultato di amministrazione negativo (lettera A e lettera E negativi).</w:t>
      </w:r>
    </w:p>
    <w:p w:rsidR="00B16E5F" w:rsidRDefault="00B16E5F" w:rsidP="00B16E5F">
      <w:pPr>
        <w:shd w:val="clear" w:color="auto" w:fill="FEFEFE"/>
        <w:spacing w:after="0" w:line="20" w:lineRule="atLeast"/>
        <w:jc w:val="both"/>
        <w:outlineLvl w:val="1"/>
      </w:pPr>
      <w:r>
        <w:t xml:space="preserve"> L’utilizzo dell’avanzo disponibile è prioritariamente destinato alla salvaguardia degli equilibri di bilancio e della sana e corretta gestione finanziaria dell’ente, mentre il disavanzo deve essere iscritto come posta a sé stante nel primo esercizio del bilancio di previsione secondo le modalità previste dall’art. 188 TUEL e deve essere ripianato nei modi ordinari di cui al medesimo articolo. </w:t>
      </w:r>
    </w:p>
    <w:p w:rsidR="00B16E5F" w:rsidRDefault="00B16E5F" w:rsidP="00B16E5F">
      <w:pPr>
        <w:shd w:val="clear" w:color="auto" w:fill="FEFEFE"/>
        <w:spacing w:after="0" w:line="20" w:lineRule="atLeast"/>
        <w:jc w:val="both"/>
        <w:outlineLvl w:val="1"/>
      </w:pPr>
      <w:r>
        <w:t xml:space="preserve">Si ricorda, altresì, che l’applicazione dell’avanzo al bilancio di previsione presuppone che lo stesso sia accertato in sede di rendiconto. </w:t>
      </w:r>
    </w:p>
    <w:p w:rsidR="00B16E5F" w:rsidRDefault="00B16E5F" w:rsidP="00B16E5F">
      <w:pPr>
        <w:shd w:val="clear" w:color="auto" w:fill="FEFEFE"/>
        <w:spacing w:after="0" w:line="20" w:lineRule="atLeast"/>
        <w:jc w:val="both"/>
        <w:outlineLvl w:val="1"/>
      </w:pPr>
      <w:r>
        <w:lastRenderedPageBreak/>
        <w:t xml:space="preserve">L’applicazione dell’avanzo presunto, che non rappresenta un’entrata certa, derogando al principio generale, segue le regole definite dal principio contabile applicato All. 4/2, punto 9.2, decreto legislativo n. 118/2011 </w:t>
      </w:r>
      <w:proofErr w:type="gramStart"/>
      <w:r>
        <w:t>( cfr.</w:t>
      </w:r>
      <w:proofErr w:type="gramEnd"/>
      <w:r>
        <w:t xml:space="preserve"> , anche sentenza Corte costituzionale n. 70/2012) e relativi prospetti di bilancio. </w:t>
      </w:r>
    </w:p>
    <w:p w:rsidR="00B16E5F" w:rsidRDefault="00B16E5F" w:rsidP="00B16E5F">
      <w:pPr>
        <w:shd w:val="clear" w:color="auto" w:fill="FEFEFE"/>
        <w:spacing w:after="0" w:line="20" w:lineRule="atLeast"/>
        <w:jc w:val="both"/>
        <w:outlineLvl w:val="1"/>
      </w:pPr>
      <w:r>
        <w:t xml:space="preserve">Dal 2019, in conformità alla nuova normativa, gli Enti locali potranno utilizzare, ai fini dell’equilibrio di bilancio, sia il Fondo pluriennale vincolato di entrata sia l’avanzo di amministrazione, componenti rilevanti (5) Accantonamenti per FCDE; quota accantonata per anticipazioni di liquidità; accantonamenti per contenzioso; accantonamenti per indennità di fine mandato; accantonamenti per società partecipate; accantonamenti per altri fondi spese e rischi futuri. (6) Vincoli derivanti da leggi e dai principi contabili; vincoli derivanti da trasferimenti; vincoli derivanti dalla contrazione di mutui; vincoli formalmente attribuiti dall’ente. (7) Entrate in c/capitale senza vincoli di specifica destinazione non spese, utilizzabili con provvedimento di variazione di bilancio solo a seguito dell’approvazione del rendiconto. </w:t>
      </w:r>
      <w:proofErr w:type="gramStart"/>
      <w:r>
        <w:t>nel</w:t>
      </w:r>
      <w:proofErr w:type="gramEnd"/>
      <w:r>
        <w:t xml:space="preserve"> totale complessivo delle entrate che fronteggiano il totale complessivo delle spese, nel solo rispetto delle disposizioni previste dal decreto legislativo 23 giugno 2011, n. 118 (art. 1, comma 820). </w:t>
      </w:r>
    </w:p>
    <w:p w:rsidR="00B16E5F" w:rsidRDefault="00B16E5F" w:rsidP="00B16E5F">
      <w:pPr>
        <w:shd w:val="clear" w:color="auto" w:fill="FEFEFE"/>
        <w:spacing w:after="0" w:line="20" w:lineRule="atLeast"/>
        <w:jc w:val="both"/>
        <w:outlineLvl w:val="1"/>
      </w:pPr>
      <w:r>
        <w:t xml:space="preserve">Va ribadito che, nelle more dell’approvazione del rendiconto dell’esercizio precedente, per l’utilizzo dell’avanzo, oltre alla sussistenza dei presupposti oggettivi di necessità legislativamente previsti, ai fini della quantificazione delle poste si fa riferimento al prospetto riguardante il risultato di amministrazione presunto allegato al bilancio di previsione, previa verifica della consistenza delle quote presunte effettuata sulla base dei dati di preconsuntivo e secondo le modalità di cui all’art. 187, comma 3 -quater , del TUEL. Per gli Enti in avanzo, la nuova disciplina prevede la piena spendibilità delle diverse voci di avanzo ad eccezione di FCDE e FAL e, pertanto, la limitazione all’utilizzo del risultato di amministrazione riguarda unicamente la non spendibilità dell’avanzo accantonato al FCDE e al FAL. La novella consente l’applicazione al bilancio di previsione della quota vincolata, accantonata e destinata del risultato di amministrazione anche per gli enti che si trovano in una condizione di disavanzo complessivo, prevedendo comunque un regime differente per quelli che, pure essendo in disavanzo (di lettera E) , presentano un risultato di amministrazione complessivo (di lettera A) positivo e capiente rispetto alla somma degli accantonamenti a FCDE e a FAL, rispetto agli enti per i quali non risulti invece verificata la predetta condizione di capienza (art. 1, commi 897 e 898) e ferma restando la necessità di reperire le risorse necessarie a sostenere le spese alle quali erano originariamente finalizzate le entrate vincolate e accantonate. </w:t>
      </w:r>
    </w:p>
    <w:p w:rsidR="00B16E5F" w:rsidRDefault="00B16E5F" w:rsidP="00B16E5F">
      <w:pPr>
        <w:shd w:val="clear" w:color="auto" w:fill="FEFEFE"/>
        <w:spacing w:after="0" w:line="20" w:lineRule="atLeast"/>
        <w:jc w:val="both"/>
        <w:outlineLvl w:val="1"/>
      </w:pPr>
      <w:r>
        <w:t>Questa opzione gestionale è, quindi, puntualmente disciplinata dalla legge e, al pari di altre misure di flessibilità, richiede un’attenta verifica della sussistenza delle condizioni che ne legittimano l’uso e dei limiti entro i quali gli Enti potranno operare.</w:t>
      </w:r>
    </w:p>
    <w:p w:rsidR="00B16E5F" w:rsidRDefault="00B16E5F" w:rsidP="00B16E5F">
      <w:pPr>
        <w:shd w:val="clear" w:color="auto" w:fill="FEFEFE"/>
        <w:spacing w:after="0" w:line="20" w:lineRule="atLeast"/>
        <w:jc w:val="both"/>
        <w:outlineLvl w:val="1"/>
      </w:pPr>
      <w:r>
        <w:t xml:space="preserve">Nel caso di enti in disavanzo, fermo restando quanto già evidenziato, qualora emerga un risultato di amministrazione positivo, l’applicazione al bilancio di previsione della quota vincolata, accantonata e destinata del medesimo è consentita, per un importo non superiore a quello di cui alla lettera A) del prospetto dimostrativo del risultato di amministrazione al 31 dicembre dell’esercizio precedente, al netto della quota minima obbligatoria accantonata per il FCDE e FAL, incrementato dell’importo del disavanzo da recuperare iscritto nel primo esercizio del bilancio di previsione (art. 1, comma 897). </w:t>
      </w:r>
    </w:p>
    <w:p w:rsidR="00B16E5F" w:rsidRDefault="00B16E5F" w:rsidP="00B16E5F">
      <w:pPr>
        <w:shd w:val="clear" w:color="auto" w:fill="FEFEFE"/>
        <w:spacing w:after="0" w:line="20" w:lineRule="atLeast"/>
        <w:jc w:val="both"/>
        <w:outlineLvl w:val="1"/>
      </w:pPr>
      <w:r>
        <w:t>Nel caso invece in cui l’importo del risultato contabile, ovvero formale, di amministrazione (lettera A del relativo prospetto dimostrativo) risulti negativo o inferiore alla quota minima obbligatoria accantonata nel medesimo per il FCDE e per il FAL, gli enti possono applicare al bilancio di previsione la quota vincolata, accantonata e destinata del predetto risultato per un importo non superiore a quello del disavanzo da recuperare iscritto nel primo esercizio del bilancio di previsione (art. 1, comma 898). In tutti i casi, le quote di avanzo imputate al bilancio con finalità di copertura devono trovare utilizzi conformi alle loro specifiche finalità, dovendosi, in caso contrario, ripristinare il vincolo o l’accantonamento. Sempre in tema di utilizzo dei resti di amministrazione si richiama l’attenzione degli enti sulla circostanza che il non infrequente ricorso all’utilizzo dell’avanzo di amministrazione libero in sede di assestamento o di salvaguardia, per finanziare l’equilibrio della situazione corrente dell’esercizio, pur essendo ordinariamente previsto dalla legge, art. 187, comma 2 TUEL, va valutato non solo per i profili di regolarità contabile formale, ma anche per quelli sostanziali. Infatti, l’ente, con tale variazione al bilanciamento tra risorse disponibili e spese relative, evidenzia, di fatto, una sostanziale condizione di disavanzo della situazione corrente per squilibrio tra le entrate correnti ricorrenti e le spese correnti e per rimborso di prestiti, aventi la stessa natura: le prime, previste come accertabili ed esigibili ma che risultano insufficienti a fare fronte alla spesa corrente e per rimborso del debito da impegnare e rendere liquidata o liquidabile, nello stesso esercizio.</w:t>
      </w:r>
    </w:p>
    <w:p w:rsidR="00B16E5F" w:rsidRDefault="00B16E5F" w:rsidP="00B16E5F">
      <w:pPr>
        <w:shd w:val="clear" w:color="auto" w:fill="FEFEFE"/>
        <w:spacing w:after="0" w:line="20" w:lineRule="atLeast"/>
        <w:jc w:val="both"/>
        <w:outlineLvl w:val="1"/>
      </w:pPr>
      <w:r>
        <w:lastRenderedPageBreak/>
        <w:t xml:space="preserve">Sul piano sostanziale occorre sottolineare che il principio contabile applicato della contabilità finanziaria ricollega la violazione dell’art. 81, quarto comma, della Costituzione alla realizzazione del pareggio di bilancio in sede preventiva, attraverso l’utilizzo dell’avanzo di amministrazione non accertato e verificato a seguito della procedura di approvazione del bilancio consuntivo dell’esercizio precedente (sentenza n. 70/2012 della Corte costituzionale). </w:t>
      </w:r>
    </w:p>
    <w:p w:rsidR="00B16E5F" w:rsidRDefault="00B16E5F" w:rsidP="00B16E5F">
      <w:pPr>
        <w:shd w:val="clear" w:color="auto" w:fill="FEFEFE"/>
        <w:spacing w:after="0" w:line="20" w:lineRule="atLeast"/>
        <w:jc w:val="both"/>
        <w:outlineLvl w:val="1"/>
      </w:pPr>
      <w:r>
        <w:t xml:space="preserve">Tale accertamento è fondamentale al fine di stabilire la coerenza di tale risultato di sintesi con i profili giuridici inerenti alle partite creditorie e debitorie dell’ente. </w:t>
      </w:r>
    </w:p>
    <w:p w:rsidR="00B16E5F" w:rsidRDefault="00B16E5F" w:rsidP="00B16E5F">
      <w:pPr>
        <w:shd w:val="clear" w:color="auto" w:fill="FEFEFE"/>
        <w:spacing w:after="0" w:line="20" w:lineRule="atLeast"/>
        <w:jc w:val="both"/>
        <w:outlineLvl w:val="1"/>
      </w:pPr>
      <w:r>
        <w:t xml:space="preserve">2.3. La corretta programmazione delle risorse: il FPV. </w:t>
      </w:r>
    </w:p>
    <w:p w:rsidR="00B16E5F" w:rsidRDefault="00B16E5F" w:rsidP="00B16E5F">
      <w:pPr>
        <w:shd w:val="clear" w:color="auto" w:fill="FEFEFE"/>
        <w:spacing w:after="0" w:line="20" w:lineRule="atLeast"/>
        <w:jc w:val="both"/>
        <w:outlineLvl w:val="1"/>
      </w:pPr>
      <w:r>
        <w:t xml:space="preserve">L’art. 1, commi 909-911, della legge n. 145/2018, innova la disciplina normativa in tema di formazione del FPV in considerazione delle modifiche apportate al codice degli appalti (decreto legislativo n. 50 del 2016) che hanno, peraltro, imposto un adeguamento del principio contabile applicato n. 4/2. </w:t>
      </w:r>
    </w:p>
    <w:p w:rsidR="00B16E5F" w:rsidRDefault="00B16E5F" w:rsidP="00B16E5F">
      <w:pPr>
        <w:shd w:val="clear" w:color="auto" w:fill="FEFEFE"/>
        <w:spacing w:after="0" w:line="20" w:lineRule="atLeast"/>
        <w:jc w:val="both"/>
        <w:outlineLvl w:val="1"/>
      </w:pPr>
      <w:r>
        <w:t>In tal senso il comma 909 dispone che le economie riguardanti le spese di investimento per i lavori pubblici concorrono alla determinazione del Fondo pluriennale vincolato secondo le modalità definite con decreto del Ministero dell’economia e delle finanze; decreto adottato il 1° marzo 2019.</w:t>
      </w:r>
    </w:p>
    <w:p w:rsidR="00B16E5F" w:rsidRDefault="00B16E5F" w:rsidP="00B16E5F">
      <w:pPr>
        <w:shd w:val="clear" w:color="auto" w:fill="FEFEFE"/>
        <w:spacing w:after="0" w:line="20" w:lineRule="atLeast"/>
        <w:jc w:val="both"/>
        <w:outlineLvl w:val="1"/>
      </w:pPr>
      <w:r>
        <w:t xml:space="preserve">Le modifiche apportate dal predetto provvedimento anticipano i tempi di costituzione del FPV a quello dell’affidamento della progettazione successiva al livello minimo, consentendo la prenotazione dell’intero stanziamento di spesa iscritto in bilancio dopo l’inserimento dell’intervento nel programma triennale delle opere pubbliche. </w:t>
      </w:r>
    </w:p>
    <w:p w:rsidR="00B16E5F" w:rsidRDefault="00B16E5F" w:rsidP="00B16E5F">
      <w:pPr>
        <w:shd w:val="clear" w:color="auto" w:fill="FEFEFE"/>
        <w:spacing w:after="0" w:line="20" w:lineRule="atLeast"/>
        <w:jc w:val="both"/>
        <w:outlineLvl w:val="1"/>
      </w:pPr>
      <w:r>
        <w:t xml:space="preserve">È quanto mai opportuno alla luce di queste novità ricordare che il Fondo funziona ed assolve al suo ruolo di contenitore dinamico dell’acquisizione ed impiego di risorse nella misura in cui realmente è correlato allo sviluppo del programma di spesa. </w:t>
      </w:r>
    </w:p>
    <w:p w:rsidR="00B16E5F" w:rsidRDefault="00B16E5F" w:rsidP="00B16E5F">
      <w:pPr>
        <w:shd w:val="clear" w:color="auto" w:fill="FEFEFE"/>
        <w:spacing w:after="0" w:line="20" w:lineRule="atLeast"/>
        <w:jc w:val="both"/>
        <w:outlineLvl w:val="1"/>
      </w:pPr>
      <w:r>
        <w:t xml:space="preserve">Misuratore di efficacia di questo istituto è il suo effettivo utilizzo. </w:t>
      </w:r>
    </w:p>
    <w:p w:rsidR="00B16E5F" w:rsidRDefault="00B16E5F" w:rsidP="00B16E5F">
      <w:pPr>
        <w:shd w:val="clear" w:color="auto" w:fill="FEFEFE"/>
        <w:spacing w:after="0" w:line="20" w:lineRule="atLeast"/>
        <w:jc w:val="both"/>
        <w:outlineLvl w:val="1"/>
      </w:pPr>
      <w:r>
        <w:t xml:space="preserve">Le modifiche apportate al principio contabile applicato impongono attenzione proprio su detto profilo, portando in primo piano la necessità di un costante monitoraggio dello sviluppo dei programmi di spesa per giustificare le ragioni della sua conservazione e per garantire il corretto utilizzo del FPV. </w:t>
      </w:r>
    </w:p>
    <w:p w:rsidR="00B16E5F" w:rsidRDefault="00B16E5F" w:rsidP="00B16E5F">
      <w:pPr>
        <w:shd w:val="clear" w:color="auto" w:fill="FEFEFE"/>
        <w:spacing w:after="0" w:line="20" w:lineRule="atLeast"/>
        <w:jc w:val="both"/>
        <w:outlineLvl w:val="1"/>
      </w:pPr>
      <w:r>
        <w:t xml:space="preserve">È evidente, infatti, che più si dilata lo spazio temporale tra acquisizione delle risorse e utilizzo delle stesse, più cresce l’esigenza di monitoraggio. </w:t>
      </w:r>
    </w:p>
    <w:p w:rsidR="00B16E5F" w:rsidRDefault="00B16E5F" w:rsidP="00B16E5F">
      <w:pPr>
        <w:shd w:val="clear" w:color="auto" w:fill="FEFEFE"/>
        <w:spacing w:after="0" w:line="20" w:lineRule="atLeast"/>
        <w:jc w:val="both"/>
        <w:outlineLvl w:val="1"/>
      </w:pPr>
      <w:r>
        <w:t xml:space="preserve">Questo spazio è teoricamente individuato nella declinazione delle fasi che attraversano l’arco temporale che va dall’inserimento dell’opera nel programma triennale fino alla esecuzione della stessa. Risulta, dunque, necessario che detto arco temporale venga mantenuto in limiti fisiologici affinché il complessivo sviluppo della filiera procedimentale non sbiadisca la natura tipica del FPV quale strumento di rappresentazione della programmazione e previsione delle spese pubbliche territoriali che possa evidenziare con trasparenza e attendibilità il procedimento di impiego delle risorse acquisite dall’ente. Detta esigenza risulta garantita se e nella misura in cui il tempo che trascorre identifica sempre il tempo dell’adempimento della prestazione contenuto dell’obbligazione in via di perfezionamento. </w:t>
      </w:r>
    </w:p>
    <w:p w:rsidR="00B16E5F" w:rsidRDefault="00B16E5F" w:rsidP="00B16E5F">
      <w:pPr>
        <w:shd w:val="clear" w:color="auto" w:fill="FEFEFE"/>
        <w:spacing w:after="0" w:line="20" w:lineRule="atLeast"/>
        <w:jc w:val="both"/>
        <w:outlineLvl w:val="1"/>
      </w:pPr>
      <w:r>
        <w:t xml:space="preserve">Secondo la disciplina del riformato principio contabile la legittima conservazione delle risorse accantonate nel fondo a copertura di spese di investimento non impegnate, presuppone sempre e comunque due condizioni e cioè l’intero accertamento delle relative entrate e l’inserimento dell’intervento nel programma triennale, con l’eccezione dei lavori pubblici di importo tra 40 e 100mila euro. </w:t>
      </w:r>
    </w:p>
    <w:p w:rsidR="00B16E5F" w:rsidRDefault="00B16E5F" w:rsidP="00B16E5F">
      <w:pPr>
        <w:shd w:val="clear" w:color="auto" w:fill="FEFEFE"/>
        <w:spacing w:after="0" w:line="20" w:lineRule="atLeast"/>
        <w:jc w:val="both"/>
        <w:outlineLvl w:val="1"/>
      </w:pPr>
      <w:r>
        <w:t xml:space="preserve">A queste condizioni indispensabili e contestualmente verificate si aggiungono talune qualificate situazioni alternative di seguito indicate quali l’impegno parziale del quadro economico sulla base di precise obbligazioni giuridicamente perfezionate ovvero l’attivazione delle procedure di affidamento dei livelli di progettazione successivi al minimo e l’attivazione delle procedure di affidamento dell’intervento da realizzare avviate dopo la validazione del progetto da porsi a base della gara stessa. </w:t>
      </w:r>
    </w:p>
    <w:p w:rsidR="00B16E5F" w:rsidRDefault="00B16E5F" w:rsidP="00B16E5F">
      <w:pPr>
        <w:shd w:val="clear" w:color="auto" w:fill="FEFEFE"/>
        <w:spacing w:after="0" w:line="20" w:lineRule="atLeast"/>
        <w:jc w:val="both"/>
        <w:outlineLvl w:val="1"/>
      </w:pPr>
      <w:r>
        <w:t xml:space="preserve">Il fondo è, inoltre, conservato anche in caso di contenziosi: a tal riguardo, seppure non altrimenti precisato, deve segnalarsi come detta circostanza non possa operare come cristallizzazione del fondo all’insorgere di un contenzioso e del conseguente blocco della filiera procedimentale: ciò, infatti, non solo contraddirebbe la logica della rigorosa continuità delle fasi che il principio impone per conservare la prenotazione dell’intero stanziamento a fondo, ma neppure sarebbe immaginabile che l’insorgenza del contenzioso e la sua persistenza a chiusura dell’esercizio debba costituire un automatismo di confluenza delle risorse nell’avanzo di amministrazione. </w:t>
      </w:r>
    </w:p>
    <w:p w:rsidR="00B16E5F" w:rsidRDefault="00B16E5F" w:rsidP="00B16E5F">
      <w:pPr>
        <w:shd w:val="clear" w:color="auto" w:fill="FEFEFE"/>
        <w:spacing w:after="0" w:line="20" w:lineRule="atLeast"/>
        <w:jc w:val="both"/>
        <w:outlineLvl w:val="1"/>
      </w:pPr>
      <w:r>
        <w:t xml:space="preserve">Le regole della sana amministrazione in queste situazioni impongono un intervento dell’Amministrazione sulla più corretta rappresentazione delle scelte allocative e delle sue dinamiche che si deve basare su una </w:t>
      </w:r>
      <w:r>
        <w:lastRenderedPageBreak/>
        <w:t>valutazione di merito. Sul versante, invece, della sequela delle fasi realizzative puntualmente declinate nel principio, successive alla predisposizione del livello minimo di progettazione, la funzione del fondo sarà veridica nella misura in cui il responsabile del procedimento farà valere termini e condizioni delle fasi gestionali.</w:t>
      </w:r>
    </w:p>
    <w:p w:rsidR="00B16E5F" w:rsidRDefault="00B16E5F" w:rsidP="00B16E5F">
      <w:pPr>
        <w:shd w:val="clear" w:color="auto" w:fill="FEFEFE"/>
        <w:spacing w:after="0" w:line="20" w:lineRule="atLeast"/>
        <w:jc w:val="both"/>
        <w:outlineLvl w:val="1"/>
      </w:pPr>
      <w:r>
        <w:t xml:space="preserve"> Ed è nella carenza di questo supporto organizzativo che potrebbe incagliarsi il corretto utilizzo del FPV. Appare evidente quindi che un incremento della consistenza e dell’utilizzo di questo strumento quale ci si attende dall’applicazione dalle nuove disposizioni del principio contabile applicato, fa ritenere essenziali l’utilizzo dei meccanismi sollecitatori, valorizzando, innanzitutto, quelli tradizionalmente affidati alle pattuizioni contrattuali, ma non va trascurata anche un’ottimizzazione dell’organizzazione dei servizi preposti alla  gestione degli appalti, ora vieppiù necessaria per il consistente incremento di contributi e stanziamenti di risorse finalizzate a particolari interventi nel settore dell’edilizia scolastica, del risanamento ambientale, della sicurezza delle periferie e per gli investimenti in generale. </w:t>
      </w:r>
    </w:p>
    <w:p w:rsidR="00B16E5F" w:rsidRDefault="00B16E5F" w:rsidP="00B16E5F">
      <w:pPr>
        <w:shd w:val="clear" w:color="auto" w:fill="FEFEFE"/>
        <w:spacing w:after="0" w:line="20" w:lineRule="atLeast"/>
        <w:jc w:val="both"/>
        <w:outlineLvl w:val="1"/>
      </w:pPr>
      <w:r>
        <w:t xml:space="preserve">2.4. Flessibilità di bilancio. </w:t>
      </w:r>
    </w:p>
    <w:p w:rsidR="00B16E5F" w:rsidRDefault="00B16E5F" w:rsidP="00B16E5F">
      <w:pPr>
        <w:shd w:val="clear" w:color="auto" w:fill="FEFEFE"/>
        <w:spacing w:after="0" w:line="20" w:lineRule="atLeast"/>
        <w:jc w:val="both"/>
        <w:outlineLvl w:val="1"/>
      </w:pPr>
      <w:r>
        <w:t xml:space="preserve">Le misure di flessibilità sono caratterizzate, sotto il profilo formale, da una valenza derogatoria a regole di principio che governano la struttura della programmazione e l’utilizzo di meccanismi di gestione, mentre, sotto il profilo sostanziale, dalla finalità di superare, in via temporanea, specifiche rigidità a vantaggio di un’esigenza di fluidità della gestione necessaria in situazioni contingenti. </w:t>
      </w:r>
    </w:p>
    <w:p w:rsidR="00B16E5F" w:rsidRDefault="00B16E5F" w:rsidP="00B16E5F">
      <w:pPr>
        <w:shd w:val="clear" w:color="auto" w:fill="FEFEFE"/>
        <w:spacing w:after="0" w:line="20" w:lineRule="atLeast"/>
        <w:jc w:val="both"/>
        <w:outlineLvl w:val="1"/>
      </w:pPr>
      <w:r>
        <w:t xml:space="preserve">Tale funzione derogatoria, senz’altro compatibile in termini di disciplina sistematica, impone, tuttavia, in fase di costruzione del programma finanziario attente valutazioni sia sulla reale sussistenza delle condizioni per farvi ricorso, sia sui riflessi delle condizioni di equilibrio attuali e prospettiche. In tale senso va richiamata l’attenzione degli organi di revisione. </w:t>
      </w:r>
    </w:p>
    <w:p w:rsidR="00B16E5F" w:rsidRDefault="00B16E5F" w:rsidP="00B16E5F">
      <w:pPr>
        <w:shd w:val="clear" w:color="auto" w:fill="FEFEFE"/>
        <w:spacing w:after="0" w:line="20" w:lineRule="atLeast"/>
        <w:jc w:val="both"/>
        <w:outlineLvl w:val="1"/>
      </w:pPr>
      <w:r>
        <w:t xml:space="preserve">2.4.1. Il finanziamento delle quote capitali del debito in ammortamento con utilizzo di proventi da alienazioni patrimoniali </w:t>
      </w:r>
    </w:p>
    <w:p w:rsidR="00B16E5F" w:rsidRDefault="00B16E5F" w:rsidP="00B16E5F">
      <w:pPr>
        <w:shd w:val="clear" w:color="auto" w:fill="FEFEFE"/>
        <w:spacing w:after="0" w:line="20" w:lineRule="atLeast"/>
        <w:jc w:val="both"/>
        <w:outlineLvl w:val="1"/>
      </w:pPr>
      <w:r>
        <w:t xml:space="preserve">Tra le misure rientranti in questa tipologia va annoverata quella introdotta dal quarto comma dell’art. 11 -bis del decreto-legge 14 dicembre 2018, n. 135, recante «Disposizioni urgenti in materia di sostegno e semplificazione per le imprese e per la pubblica amministrazione» convertito dalla legge 11 febbraio 2019, n. 12, che interviene sulla norma di cui all’art. 1, comma 866, della legge n. 2015/2017 (legge di bilancio 2018): si prevede così per gli enti locali la possibilità di utilizzo dei proventi da alienazioni patrimoniali, anche derivanti da azioni o piani di razionalizzazione, per finanziare le quote capitali dei mutui o dei prestiti obbligazionari in ammortamento nell’anno o in anticipo rispetto all’originario piano di ammortamento (8) . Su un piano di considerazione generale tale misura di flessibilità si discosta dalla «statuto» disciplinare delle regole dell’indebitamento laddove consente la finanziabilità degli oneri per quote capitali dei mutui o dei prestiti obbligazionari in ammortamento nell’anno con i proventi derivanti dalle alienazioni patrimoniali. </w:t>
      </w:r>
    </w:p>
    <w:p w:rsidR="00B16E5F" w:rsidRDefault="00B16E5F" w:rsidP="00B16E5F">
      <w:pPr>
        <w:shd w:val="clear" w:color="auto" w:fill="FEFEFE"/>
        <w:spacing w:after="0" w:line="20" w:lineRule="atLeast"/>
        <w:jc w:val="both"/>
        <w:outlineLvl w:val="1"/>
      </w:pPr>
      <w:r>
        <w:t xml:space="preserve">Si tratta, infatti, di una deroga ai principi ed ai criteri gestionali che presiedono alle politiche dell’indebitamento in base alle quali ogni operazione di incremento dello stock di debito presuppone la preventiva valutazione dell’impatto che tale debito ha sulla finanza dell’ente in termini di «sostenibilità finanziaria». In ciò sta anche il fondamento della circostanza che tali decisioni devono passare al vaglio della preventiva autorizzazione del Consiglio, proprio per gli effetti che il ricorso al debito ha sugli equilibri presenti e futuri dell’ente. In tal senso risulta di piana lettura il principio contenuto nell’art. 10 della legge n. 243/2012 in base al quale le operazioni di indebitamento sono effettuate solo contestualmente all’adozione di piani di ammortamento di durata non superiore alla vita utile dell’investimento, nei quali sono evidenziate l’incidenza delle obbligazioni assunte sui singoli esercizi finanziari futuri, nonché le modalità di copertura degli oneri corrispondenti, valorizzando, così, il concetto di sostenibilità del debito e di equilibrio intergenerazionale. </w:t>
      </w:r>
    </w:p>
    <w:p w:rsidR="00B16E5F" w:rsidRDefault="00B16E5F" w:rsidP="00B16E5F">
      <w:pPr>
        <w:shd w:val="clear" w:color="auto" w:fill="FEFEFE"/>
        <w:spacing w:after="0" w:line="20" w:lineRule="atLeast"/>
        <w:jc w:val="both"/>
        <w:outlineLvl w:val="1"/>
      </w:pPr>
      <w:r>
        <w:t xml:space="preserve">L’utilizzo di questa facoltà - la quale si deve fondare sulla necessità che in un dato esercizio debbano prevalere esigenze di crescita su quelle di equilibrio finanziario - è subordinata alla verifica delle condizioni poste dalla legge che riguardano la valutazione della rilevanza dell’indebitamento misurata in relazione alla consistenza dello stato patrimoniale del bilancio consolidato (e precisamente nel rapporto tra il totale delle immobilizzazioni e i debiti di finanziamento che deve risultare superiore a due) . In proposito va considerato che l’utilizzo dei proventi da alienazioni patrimoniali determina, in definitiva un indebolimento della consistenza patrimoniale, talché lo stesso risulta attivabile se quest’ultima è già incisa da una presenza di rilevante indebitamento destinato alle immobilizzazioni patrimoniali. La seconda condizione richiede che non si registrino incrementi di spesa corrente ricorrente in sede di bilancio di previsione (9). </w:t>
      </w:r>
    </w:p>
    <w:p w:rsidR="00B16E5F" w:rsidRDefault="00B16E5F" w:rsidP="00B16E5F">
      <w:pPr>
        <w:shd w:val="clear" w:color="auto" w:fill="FEFEFE"/>
        <w:spacing w:after="0" w:line="20" w:lineRule="atLeast"/>
        <w:jc w:val="both"/>
        <w:outlineLvl w:val="1"/>
      </w:pPr>
      <w:r>
        <w:lastRenderedPageBreak/>
        <w:t xml:space="preserve">A questo riguardo la nota integrativa al bilancio di previsione (punto 9.11 – allegato 4.1 al decreto legislativo n. 118/2011 – principio della programmazione) prevede l’analisi dell’articolazione e la relazione tra le entrate e le spese ricorrenti e quelle non ricorrenti, confermando l’elenco di cui all’allegato 7 (punto 9.11.3 – allegato 4.1). In ultimo anche l’allegato 12.2 al decreto legislativo n. 118/2011 (allegato al Piano esecutivo di gestione degli enti locali, entrate per titoli, tipologie e categorie) contiene (8) La norma è posta a regime e non più limitata temporalmente al periodo 2018 - 2020. (9) </w:t>
      </w:r>
    </w:p>
    <w:p w:rsidR="00B16E5F" w:rsidRDefault="00B16E5F" w:rsidP="00B16E5F">
      <w:pPr>
        <w:shd w:val="clear" w:color="auto" w:fill="FEFEFE"/>
        <w:spacing w:after="0" w:line="20" w:lineRule="atLeast"/>
        <w:jc w:val="both"/>
        <w:outlineLvl w:val="1"/>
      </w:pPr>
      <w:r>
        <w:t xml:space="preserve">Come definita dall’allegato 7 al bilancio di previsione. </w:t>
      </w:r>
      <w:proofErr w:type="gramStart"/>
      <w:r>
        <w:t>l’indicazione</w:t>
      </w:r>
      <w:proofErr w:type="gramEnd"/>
      <w:r>
        <w:t xml:space="preserve"> delle entrate non ricorrenti. </w:t>
      </w:r>
    </w:p>
    <w:p w:rsidR="00B16E5F" w:rsidRDefault="00B16E5F" w:rsidP="00B16E5F">
      <w:pPr>
        <w:shd w:val="clear" w:color="auto" w:fill="FEFEFE"/>
        <w:spacing w:after="0" w:line="20" w:lineRule="atLeast"/>
        <w:jc w:val="both"/>
        <w:outlineLvl w:val="1"/>
      </w:pPr>
      <w:r>
        <w:t xml:space="preserve">Appare evidente che la corretta valutazione della ricorrenza delle entrate e delle spese di natura corrente assume una particolare rilevanza nella determinazione dell’equilibrio finanziario del bilancio e della gestione, ragion per cui, nella ponderazione delle condizioni legittimanti l’uso della facoltà in questione, questa specifica condizione assume particolare rilevanza. Di rilievo appare anche l’altro requisito richiesto dalla legge, e cioè la regolarità degli accantonamenti effettuati al fondo crediti di dubbia esigibilità che va intesa, soprattutto, in senso sostanziale in modo da tenere indenne l’ente dal rischio di utilizzare risorse finanziarie di cui non dispone in termini monetari reali: la condizione principale che deve essere soddisfatta è, pertanto, che le «correlate» risorse siano congruenti ed anche effettivamente disponibili. </w:t>
      </w:r>
    </w:p>
    <w:p w:rsidR="00B16E5F" w:rsidRDefault="00B16E5F" w:rsidP="00B16E5F">
      <w:pPr>
        <w:shd w:val="clear" w:color="auto" w:fill="FEFEFE"/>
        <w:spacing w:after="0" w:line="20" w:lineRule="atLeast"/>
        <w:jc w:val="both"/>
        <w:outlineLvl w:val="1"/>
      </w:pPr>
      <w:r>
        <w:t xml:space="preserve">2.4.2. Le Anticipazioni di liquidità. </w:t>
      </w:r>
    </w:p>
    <w:p w:rsidR="00B16E5F" w:rsidRDefault="00B16E5F" w:rsidP="00B16E5F">
      <w:pPr>
        <w:shd w:val="clear" w:color="auto" w:fill="FEFEFE"/>
        <w:spacing w:after="0" w:line="20" w:lineRule="atLeast"/>
        <w:jc w:val="both"/>
        <w:outlineLvl w:val="1"/>
      </w:pPr>
      <w:r>
        <w:t xml:space="preserve">La legge di bilancio 2019 prevede ai commi 849 e segg. che, al fine di garantire il rispetto dei tempi di pagamento (art. 4 del decreto legislativo 9 ottobre 2002, n. 231) le banche, gli intermediari finanziari, la Cassa depositi e prestiti Spa e le istituzioni finanziarie dell’Unione europea possono concedere ai comuni, alle province, alle città metropolitane, alle regioni e alle province autonome, anche per conto dei rispettivi enti del Servizio sanitario nazionale, anticipazioni di liquidità (10) da destinare al pagamento di debiti, certi, liquidi ed esigibili, maturati alla data del 31 dicembre 2018, relativi a somministrazioni, forniture, appalti e a obbligazioni per prestazioni professionali. </w:t>
      </w:r>
    </w:p>
    <w:p w:rsidR="00B16E5F" w:rsidRDefault="00B16E5F" w:rsidP="00B16E5F">
      <w:pPr>
        <w:shd w:val="clear" w:color="auto" w:fill="FEFEFE"/>
        <w:spacing w:after="0" w:line="20" w:lineRule="atLeast"/>
        <w:jc w:val="both"/>
        <w:outlineLvl w:val="1"/>
      </w:pPr>
      <w:r>
        <w:t xml:space="preserve">Nel caso di debiti fuori bilancio l’utilizzo dell’anticipazione di liquidità è subordinato al riconoscimento della legittimità del debito stesso e al perfezionamento della relativa copertura finanziaria (art. 194 TUEL). </w:t>
      </w:r>
    </w:p>
    <w:p w:rsidR="00B16E5F" w:rsidRDefault="00B16E5F" w:rsidP="00B16E5F">
      <w:pPr>
        <w:shd w:val="clear" w:color="auto" w:fill="FEFEFE"/>
        <w:spacing w:after="0" w:line="20" w:lineRule="atLeast"/>
        <w:jc w:val="both"/>
        <w:outlineLvl w:val="1"/>
      </w:pPr>
      <w:r>
        <w:t xml:space="preserve">Le somme anticipate devono essere rimborsate entro il 31 dicembre. </w:t>
      </w:r>
    </w:p>
    <w:p w:rsidR="00B16E5F" w:rsidRDefault="00B16E5F" w:rsidP="00B16E5F">
      <w:pPr>
        <w:shd w:val="clear" w:color="auto" w:fill="FEFEFE"/>
        <w:spacing w:after="0" w:line="20" w:lineRule="atLeast"/>
        <w:jc w:val="both"/>
        <w:outlineLvl w:val="1"/>
      </w:pPr>
      <w:r>
        <w:t xml:space="preserve">La finalità che motiva il ricorso alle anticipazioni, e cioè il ripristino della normale gestione della liquidità, rende indispensabile una puntuale valutazione circa la sussistenza dei presupposti e delle condizioni che le consentono. In particolare non deve mancare un prudente apprezzamento sulla determinazione della misura dell’anticipazione che non necessariamente deve arrivare alla massima concedibile: infatti occorre tener conto, soprattutto, della brevità del termine entro il quale operare il rimborso per cui un incaglio nelle riscossioni preventivate che, teoricamente, dovrebbero essere nella disponibilità corrente dell’ente richiedente, potrebbe pregiudicare ulteriormente quei problemi di liquidità che le anticipazioni intendono risolvere e pesare, ovviamente, anche sul risultato di amministrazione dell’esercizio. </w:t>
      </w:r>
    </w:p>
    <w:p w:rsidR="00B16E5F" w:rsidRDefault="00B16E5F" w:rsidP="00B16E5F">
      <w:pPr>
        <w:shd w:val="clear" w:color="auto" w:fill="FEFEFE"/>
        <w:spacing w:after="0" w:line="20" w:lineRule="atLeast"/>
        <w:jc w:val="both"/>
        <w:outlineLvl w:val="1"/>
      </w:pPr>
      <w:r>
        <w:t xml:space="preserve">Nell’uso delle anticipazioni particolare diligenza va posta nella verifica dell’effettivo e tempestivo pagamento dei debiti individuati secondo le formalità della legge onde evitare impropri effetti sui bilanci. L’argomento delle anticipazioni qui trattato con specifico riferimento alle anticipazioni «annuali» di cui si è appena detto, sollecita un richiamo di attenzione sul più generale fenomeno delle anticipazioni con obbligo di restituzione pluriennale cui il legislatore ha fatto più volte ricorso e per diverse fattispecie negli ultimi esercizi. In proposito ed in via di estrema sintesi va ricordato l’inquadramento di principio operato dalla Corte costituzionale con sentenza n. 181 del 2015 in base al quale «… le anticipazioni di liquidità altro non costituiscono che anticipazioni di cassa di più lunga durata temporale rispetto a quelle ordinarie. </w:t>
      </w:r>
    </w:p>
    <w:p w:rsidR="00B16E5F" w:rsidRDefault="00B16E5F" w:rsidP="00B16E5F">
      <w:pPr>
        <w:shd w:val="clear" w:color="auto" w:fill="FEFEFE"/>
        <w:spacing w:after="0" w:line="20" w:lineRule="atLeast"/>
        <w:jc w:val="both"/>
        <w:outlineLvl w:val="1"/>
      </w:pPr>
      <w:r>
        <w:t xml:space="preserve">La loro ratio , quale si ricava dalla genesi del decreto-legge (decreto-legge n. 35 del 2013) e dai suoi lavori preparatori, è quella di riallineare nel tempo la cassa degli enti strutturalmente deficitari con la competenza, attraverso un’utilizzazione limitata al pagamento delle passività pregresse unita a contestuali risparmi nei bilanci futuri, proporzionati alle quote di debito inerenti alla restituzione della anticipazione stessa così da rientrare dai disavanzi gradualmente ed in modo temporalmente e finanziariamente proporzionato alla restituzione dell’anticipazione.…». E su tali principi si fonda la giurisprudenza di questa Corte (Sez. autonomie, delibere numeri 33/2015, 28/2017) che ha sottolineato come con tale operazione straordinaria si consente agli enti territoriali di ricostituire immediatamente le risorse di cassa necessarie ad onorare, indistintamente, debiti pregressi correnti e in conto capitale per i quali avrebbero dovuto essere già previste in bilancio le idonee coperture finanziarie. Il debito verso gli originari creditori si converte in un debito pluriennale verso la Cassa depositi e prestiti, equivalente sul piano economico, ma maggiormente sostenibile, </w:t>
      </w:r>
      <w:r>
        <w:lastRenderedPageBreak/>
        <w:t xml:space="preserve">in quanto la restituzione delle somme anticipate viene diluita nel tempo in modo da riallineare progressivamente la cassa con la competenza. </w:t>
      </w:r>
    </w:p>
    <w:p w:rsidR="00B16E5F" w:rsidRDefault="00B16E5F" w:rsidP="00B16E5F">
      <w:pPr>
        <w:shd w:val="clear" w:color="auto" w:fill="FEFEFE"/>
        <w:spacing w:after="0" w:line="20" w:lineRule="atLeast"/>
        <w:jc w:val="both"/>
        <w:outlineLvl w:val="1"/>
      </w:pPr>
      <w:r>
        <w:t xml:space="preserve">Onde evitare esiti espansivi della capacità di spesa, è necessario che gli effetti dell’anticipazione sul bilancio di competenza vengano integralmente «sterilizzati» per il tempo necessario alla completa restituzione delle (10) La legge di bilancio prevede i limiti entro i quali può essere attivata l’anticipazione e cioè entro i tre dodicesimi delle entrate dei primi tre titoli accertate nell’anno 2017 per gli enti locali somme riscosse, provvedendo ad iscrivere nel titolo di spesa riguardante il rimborso dei prestiti una posta rettificativa, avente natura meramente finanziaria, corrispondente all’importo della coeva anticipazione riscossa in entrata. La materia della corretta contabilizzazione delle anticipazioni e delle connesse registrazioni troverà definitiva sistemazione nelle adottande modifiche del principio contabile applicato della contabilità finanziaria. </w:t>
      </w:r>
    </w:p>
    <w:p w:rsidR="00B16E5F" w:rsidRDefault="00B16E5F" w:rsidP="00B16E5F">
      <w:pPr>
        <w:shd w:val="clear" w:color="auto" w:fill="FEFEFE"/>
        <w:spacing w:after="0" w:line="20" w:lineRule="atLeast"/>
        <w:jc w:val="both"/>
        <w:outlineLvl w:val="1"/>
      </w:pPr>
      <w:r>
        <w:t xml:space="preserve">Queste prevedono la registrazione tra le accensioni di prestiti anche delle anticipazioni di liquidità diverse dalle quelle di cui al paragrafo 3.26 (anticipazioni di tesoreria), operando una netta distinzione, ai fini della relativa contabilizzazione, tra le anticipazioni che devono essere chiuse entro l’anno e quelle, invece, a rimborso pluriennale: per queste ultime l’evidenza contabile della natura di «anticipazione di liquidità che non comporta risorse aggiuntive» è costituita dall’iscrizione di un fondo anticipazione di liquidità nel titolo quarto della spesa di importo pari alle anticipazioni di liquidità incassate nell’esercizio e non restituite, non impegnabile e pagabile, destinato a confluire nel risultato di amministrazione, come quota accantonata. Meccanismo, questo della creazione del fondo con corrispondente accantonamento che costituisce strumento di sterilizzazione degli effetti espansivi della spesa e non deve costituire forma surrettizia di copertura di spese. </w:t>
      </w:r>
    </w:p>
    <w:p w:rsidR="00B16E5F" w:rsidRDefault="00B16E5F" w:rsidP="00B16E5F">
      <w:pPr>
        <w:shd w:val="clear" w:color="auto" w:fill="FEFEFE"/>
        <w:spacing w:after="0" w:line="20" w:lineRule="atLeast"/>
        <w:jc w:val="both"/>
        <w:outlineLvl w:val="1"/>
      </w:pPr>
      <w:r>
        <w:t xml:space="preserve">Si richiama fin d’ora il puntuale rispetto di tali principi non senza aver anche puntualizzato che nell’ottica della sana gestione finanziaria nel sistema di controllo interno la programmazione e la gestione di cassa devono assumere la rilevanza necessaria per evitare la formazione di squilibri strutturali tra i flussi di entrata e di uscita con ricadute negative sugli equilibri complessivi e durevoli della gestione da assicurare invece nel tempo. L’osservanza del principio della competenza finanziaria rafforzata deve consentire agli enti di avvicinare il momento di competenza con quello di cassa ed evitare sfasature temporali che possono rappresentare anche il segnale di un’applicazione non attendibile e congrua di tale principio contabile. </w:t>
      </w:r>
    </w:p>
    <w:p w:rsidR="00B16E5F" w:rsidRDefault="00B16E5F" w:rsidP="00B16E5F">
      <w:pPr>
        <w:shd w:val="clear" w:color="auto" w:fill="FEFEFE"/>
        <w:spacing w:after="0" w:line="20" w:lineRule="atLeast"/>
        <w:jc w:val="both"/>
        <w:outlineLvl w:val="1"/>
      </w:pPr>
      <w:r>
        <w:t xml:space="preserve">2.5. Lo stralcio dei crediti fino a 1000 euro automaticamente annullati per legge e la definizione agevolata dei ruoli e delle ingiunzioni di pagamento. </w:t>
      </w:r>
    </w:p>
    <w:p w:rsidR="00B16E5F" w:rsidRDefault="00B16E5F" w:rsidP="00B16E5F">
      <w:pPr>
        <w:shd w:val="clear" w:color="auto" w:fill="FEFEFE"/>
        <w:spacing w:after="0" w:line="20" w:lineRule="atLeast"/>
        <w:jc w:val="both"/>
        <w:outlineLvl w:val="1"/>
      </w:pPr>
      <w:r>
        <w:t xml:space="preserve">Gli effetti sulla gestione. </w:t>
      </w:r>
    </w:p>
    <w:p w:rsidR="00B16E5F" w:rsidRDefault="00B16E5F" w:rsidP="00B16E5F">
      <w:pPr>
        <w:shd w:val="clear" w:color="auto" w:fill="FEFEFE"/>
        <w:spacing w:after="0" w:line="20" w:lineRule="atLeast"/>
        <w:jc w:val="both"/>
        <w:outlineLvl w:val="1"/>
      </w:pPr>
      <w:r>
        <w:t>Il «decreto fiscale» 2018 (11) ed il «decreto crescita» 2019 (12) hanno introdotto, anche per il settore degli enti locali, misure agevolative per la definizione dei debiti tributari quali:</w:t>
      </w:r>
    </w:p>
    <w:p w:rsidR="00B16E5F" w:rsidRDefault="00B16E5F" w:rsidP="00B16E5F">
      <w:pPr>
        <w:shd w:val="clear" w:color="auto" w:fill="FEFEFE"/>
        <w:spacing w:after="0" w:line="20" w:lineRule="atLeast"/>
        <w:jc w:val="both"/>
        <w:outlineLvl w:val="1"/>
      </w:pPr>
      <w:r>
        <w:t xml:space="preserve">a) l’annullamento automatico dei crediti fino a mille euro; </w:t>
      </w:r>
    </w:p>
    <w:p w:rsidR="00B16E5F" w:rsidRDefault="00B16E5F" w:rsidP="00B16E5F">
      <w:pPr>
        <w:shd w:val="clear" w:color="auto" w:fill="FEFEFE"/>
        <w:spacing w:after="0" w:line="20" w:lineRule="atLeast"/>
        <w:jc w:val="both"/>
        <w:outlineLvl w:val="1"/>
      </w:pPr>
      <w:r>
        <w:t xml:space="preserve">b) la definizione agevolata dei ruoli in riscossione coattiva, con proroga dei termini per l’istanza al 30 luglio 2019; </w:t>
      </w:r>
    </w:p>
    <w:p w:rsidR="00B16E5F" w:rsidRDefault="00B16E5F" w:rsidP="00B16E5F">
      <w:pPr>
        <w:shd w:val="clear" w:color="auto" w:fill="FEFEFE"/>
        <w:spacing w:after="0" w:line="20" w:lineRule="atLeast"/>
        <w:jc w:val="both"/>
        <w:outlineLvl w:val="1"/>
      </w:pPr>
      <w:r>
        <w:t xml:space="preserve">c) la definizione agevolata delle ingiunzioni fiscali da regolamentare da parte degli enti locali. </w:t>
      </w:r>
    </w:p>
    <w:p w:rsidR="00B16E5F" w:rsidRDefault="00B16E5F" w:rsidP="00B16E5F">
      <w:pPr>
        <w:shd w:val="clear" w:color="auto" w:fill="FEFEFE"/>
        <w:spacing w:after="0" w:line="20" w:lineRule="atLeast"/>
        <w:jc w:val="both"/>
        <w:outlineLvl w:val="1"/>
      </w:pPr>
      <w:r>
        <w:t xml:space="preserve">Trattasi di misure i cui effetti possono avere impatto, seppur in misura contenuta, sulla gestione di competenza 2019, ed in forma più consistente sugli esercizi futuri ai quali per il principio della continuità degli esercizi (secondo la giurisprudenza costituzionale, da ultimo sentenza n. 18/2019) si trasmettono gli effetti delle gestioni pregresse. Si segnala, altresì, lo stralcio delle «minicartelle», previsto dall’art. 4 del decreto-legge n. 119/2018 (13), che dispone l’annullamento automatico dei debiti fino a mille euro (comprensivi di capitale, interessi per ritardata iscrizione a ruolo e sanzioni) risultanti dai singoli carichi affidati agli agenti della riscossione dal 1° gennaio 2000 al 31 dicembre 2010, ancorché riferiti alle cartelle per le quali è già intervenuta la richiesta di definizione agevolata. In ordine agli effetti di tale disposizione sulle entrate degli enti locali interviene il decreto-legge 14 dicembre 2018, n. 135, recante disposizioni urgenti in materia di sostegno e semplificazione per le imprese e per la pubblica amministrazione che con l’art. 11 -bis , comma 6 disciplina il recupero dell’eventuale disavanzo derivante dallo stralcio dei crediti prevedendo la possibilità per Comuni, Province e Città metropolitane di ripartirlo in un numero massimo di cinque annualità in quote costanti. </w:t>
      </w:r>
    </w:p>
    <w:p w:rsidR="00B16E5F" w:rsidRDefault="00B16E5F" w:rsidP="00B16E5F">
      <w:pPr>
        <w:shd w:val="clear" w:color="auto" w:fill="FEFEFE"/>
        <w:spacing w:after="0" w:line="20" w:lineRule="atLeast"/>
        <w:jc w:val="both"/>
        <w:outlineLvl w:val="1"/>
      </w:pPr>
      <w:r>
        <w:t xml:space="preserve">L’importo del disavanzo ripianabile in 5 anni non può essere superiore alla sommatoria dei residui attivi cancellati per effetto dell’operazione di stralcio, al netto dell’accantonamento al fondo crediti di dubbia esigibilità nel risultato di amministrazione. </w:t>
      </w:r>
    </w:p>
    <w:p w:rsidR="00B16E5F" w:rsidRDefault="00B16E5F" w:rsidP="00B16E5F">
      <w:pPr>
        <w:shd w:val="clear" w:color="auto" w:fill="FEFEFE"/>
        <w:spacing w:after="0" w:line="20" w:lineRule="atLeast"/>
        <w:jc w:val="both"/>
        <w:outlineLvl w:val="1"/>
      </w:pPr>
      <w:r>
        <w:lastRenderedPageBreak/>
        <w:t xml:space="preserve">L’art. 16 -quater del «decreto crescita» proroga al rendiconto 2019 il termine entro cui operare lo stralcio dei crediti inferiori a mille euro. </w:t>
      </w:r>
    </w:p>
    <w:p w:rsidR="00B16E5F" w:rsidRDefault="00B16E5F" w:rsidP="00B16E5F">
      <w:pPr>
        <w:shd w:val="clear" w:color="auto" w:fill="FEFEFE"/>
        <w:spacing w:after="0" w:line="20" w:lineRule="atLeast"/>
        <w:jc w:val="both"/>
        <w:outlineLvl w:val="1"/>
      </w:pPr>
      <w:r>
        <w:t xml:space="preserve">Pertanto, l’eventuale ripiano del disavanzo derivante da tale stralcio decorrerà dal rendiconto 2019 e non più dal rendiconto 2018. La norma specifica, però, che gli eventuali effetti negativi (11) Decreto legislativo n. 119/2018. (12) Decreto-legge n. 34/2019 convertito in legge n. 58/2019. (13) Decreto-legge n. 119 del 23 ottobre 2018, recante disposizioni urgenti in materia fiscale e finanziaria, convertito con modificazioni dalla legge 17 dicembre 2018, n. 136. </w:t>
      </w:r>
      <w:proofErr w:type="gramStart"/>
      <w:r>
        <w:t>derivanti</w:t>
      </w:r>
      <w:proofErr w:type="gramEnd"/>
      <w:r>
        <w:t xml:space="preserve"> dalla cancellazione devono essere tenuti in debita considerazione già nel corso della gestione 2019, vincolando, a tal fine, le eventuali risorse disponibili alla data della comunicazione dell’Agenzia, previsione, questa, della quale deve essere tenuto conto in sede di verifica degli equilibri. </w:t>
      </w:r>
    </w:p>
    <w:p w:rsidR="00B16E5F" w:rsidRDefault="00B16E5F" w:rsidP="00B16E5F">
      <w:pPr>
        <w:shd w:val="clear" w:color="auto" w:fill="FEFEFE"/>
        <w:spacing w:after="0" w:line="20" w:lineRule="atLeast"/>
        <w:jc w:val="both"/>
        <w:outlineLvl w:val="1"/>
      </w:pPr>
      <w:r>
        <w:t>Su tale cautela va richiamata la massima attenzione degli organi di revisione, non potendo, peraltro, sottacersi come il mantenimento in bilancio di crediti così risalenti (2000-2010) di per sé costituisca una irregolarità atteso il chiaro disposto del principio contabile applicato della contabilità finanziaria (punto 9.1) a mente del quale, trascorsi tre anni dalla scadenza di un credito di dubbia e difficile esazione non riscosso, il responsabile del servizio competente alla gestione dell’entrata valuta l’opportunità di operare lo stralcio di tale credito dal conto del bilancio, riducendo di pari importo il fondo crediti di dubbia esigibilità accantonato nel risultato di amministrazione e assumendo le conseguenti misure ai fini della contabilità economico patrimoniale. Analogo monitoraggio si impone rispetto agli effetti conseguenti all’applicazione dell’art. 3 del decreto-legge n. 119/2018 circa la definizione agevolata dei carichi affidati agli agenti della riscossione (cd. «</w:t>
      </w:r>
      <w:proofErr w:type="gramStart"/>
      <w:r>
        <w:t>rottamazione</w:t>
      </w:r>
      <w:proofErr w:type="gramEnd"/>
      <w:r>
        <w:t xml:space="preserve"> ter» delle cartelle esattoriali) nel periodo compreso tra il 1° gennaio 2000 ed il 31 dicembre 2017. </w:t>
      </w:r>
    </w:p>
    <w:p w:rsidR="00B16E5F" w:rsidRDefault="00B16E5F" w:rsidP="00B16E5F">
      <w:pPr>
        <w:shd w:val="clear" w:color="auto" w:fill="FEFEFE"/>
        <w:spacing w:after="0" w:line="20" w:lineRule="atLeast"/>
        <w:jc w:val="both"/>
        <w:outlineLvl w:val="1"/>
      </w:pPr>
      <w:r>
        <w:t xml:space="preserve">La nuova «rottamazione», il cui termine per aderirvi è stato prorogato al 30 luglio 2019, segue quella prevista dal decreto-legge n. 193 del 2016 (in relazione ai carichi riferiti al periodo 2000-2016) e dal decreto-legge n. 148 del 2017 (per i carichi affidati fino al 30 settembre 2017). Così come per la definizione agevolata delle ingiunzioni di pagamento prevista dall’art. 15 del decreto n. 34/2019, i cui termini e modalità sono rimessi all’autonomia regolamentare degli enti da esercitarsi entro il 30 luglio 2019, devono essere apprezzate e stimate le conseguenze sui bilanci delle nuove disposizioni, in particolare, degli effetti combinati delle stesse. </w:t>
      </w:r>
    </w:p>
    <w:p w:rsidR="00B16E5F" w:rsidRDefault="00B16E5F" w:rsidP="00B16E5F">
      <w:pPr>
        <w:shd w:val="clear" w:color="auto" w:fill="FEFEFE"/>
        <w:spacing w:after="0" w:line="20" w:lineRule="atLeast"/>
        <w:jc w:val="both"/>
        <w:outlineLvl w:val="1"/>
      </w:pPr>
      <w:r>
        <w:t xml:space="preserve">Da un lato, infatti, vi è la riduzione del FCDE, non solo nel risultato, ma anche nel bilancio e nei suoi equilibri, dall’altro, la minore consistenza dei residui attivi e, quindi, degli effetti sul risultato di amministrazione, a cominciare da quello che risulterà a conclusione del corrente esercizio. 3. </w:t>
      </w:r>
    </w:p>
    <w:p w:rsidR="00B16E5F" w:rsidRDefault="00B16E5F" w:rsidP="00B16E5F">
      <w:pPr>
        <w:shd w:val="clear" w:color="auto" w:fill="FEFEFE"/>
        <w:spacing w:after="0" w:line="20" w:lineRule="atLeast"/>
        <w:jc w:val="both"/>
        <w:outlineLvl w:val="1"/>
      </w:pPr>
      <w:r>
        <w:t xml:space="preserve">La disciplina in tema di tempestività dei pagamenti da parte delle Pubbliche amministrazioni. La legge 30 dicembre 2018, n. 145 ha introdotto una serie di misure di incentivo e penalità nei confronti degli enti pubblici allo scopo di assicurare il rispetto dei tempi di pagamento dei debiti commerciali, problematica particolarmente avvertita per gli enti locali. </w:t>
      </w:r>
    </w:p>
    <w:p w:rsidR="00B16E5F" w:rsidRDefault="00B16E5F" w:rsidP="00B16E5F">
      <w:pPr>
        <w:shd w:val="clear" w:color="auto" w:fill="FEFEFE"/>
        <w:spacing w:after="0" w:line="20" w:lineRule="atLeast"/>
        <w:jc w:val="both"/>
        <w:outlineLvl w:val="1"/>
      </w:pPr>
      <w:r>
        <w:t xml:space="preserve">Dette norme si pongono nel quadro di un articolato sistema normativo venutosi a delineare nel tempo, finalizzato a garantire, nei rapporti tra pubblica amministrazione e imprese, il tempestivo adempimento delle obbligazioni pecuniarie, evitando la formazione di ingenti masse debitorie scadute e non onorate nonché l’aggravio, per i bilanci degli enti, di interessi e spese legali soprattutto quando ricorrono i presupposti che impongono il pagamento dei, particolarmente onerosi, interessi moratori. In siffatto scenario si collocano le misure recate dal decreto-legge 8 aprile 2013, n. 35 (convertito, con modificazioni, dalla legge 6 giugno 2013, n. 64) che ha consentito, in special modo agli enti territoriali, di far ricorso ad un’anticipazione di liquidità per il pagamento di debiti pregressi, liquidi ed esigibili correlati all’acquisto di beni e servizi, rispetto ai quali le coperture originariamente previste nei bilanci non avevano trovato effettiva realizzazione. </w:t>
      </w:r>
    </w:p>
    <w:p w:rsidR="00B16E5F" w:rsidRDefault="00B16E5F" w:rsidP="00B16E5F">
      <w:pPr>
        <w:shd w:val="clear" w:color="auto" w:fill="FEFEFE"/>
        <w:spacing w:after="0" w:line="20" w:lineRule="atLeast"/>
        <w:jc w:val="both"/>
        <w:outlineLvl w:val="1"/>
      </w:pPr>
      <w:r>
        <w:t xml:space="preserve">Funzionale alle predicate esigenze di fluidità dei pagamenti è anche il meccanismo di monitoraggio dei pagamenti delle fatture da parte delle Pubbliche Amministrazioni tramite la Piattaforma elettronica per i crediti commerciali (PCC) predisposta dal Ministero dell’economia e delle finanze - Dipartimento della Ragioneria generale dello Stato, rafforzato con la successiva legislazione per effetto dei particolari obblighi di comunicazione (art. 7 -bis , comma 4, del decreto-legge n. 35/2013, introdotto dall’art. 27 del decreto-legge n. 66/2014) assistiti da rilevanti sanzioni in caso di scorretta attuazione delle procedure di cui ai commi 4 e 5, art. 7 - bis , decreto-legge n. 35/2013, facendo valere le responsabilità dirigenziali e disciplinari. In tempi più recenti altre misure hanno inciso sul piano della responsabilizzazione delle Amministrazioni (e, per quanto qui maggiormente rileva, degli enti locali) nell’accertamento del grado di tempestività dei pagamenti. In questo senso l’art. 33 del decreto legislativo 14 marzo 2013, n. 33 ha fissato specifici obblighi di trasparenza </w:t>
      </w:r>
      <w:r>
        <w:lastRenderedPageBreak/>
        <w:t xml:space="preserve">in tema di tempi di pagamento delle pubblica amministrazione, imponendo agli enti l’obbligo di pubblicare, con cadenza annuale e trimestrale, un indicatore dei propri </w:t>
      </w:r>
      <w:proofErr w:type="gramStart"/>
      <w:r>
        <w:t>tempi  medi</w:t>
      </w:r>
      <w:proofErr w:type="gramEnd"/>
      <w:r>
        <w:t xml:space="preserve"> di pagamento relativi agli acquisti di beni, servizi/prestazioni professionali e forniture, nonché l’ammontare complessivo dei debiti e il numero delle imprese creditrici. </w:t>
      </w:r>
    </w:p>
    <w:p w:rsidR="00B16E5F" w:rsidRDefault="00B16E5F" w:rsidP="00B16E5F">
      <w:pPr>
        <w:shd w:val="clear" w:color="auto" w:fill="FEFEFE"/>
        <w:spacing w:after="0" w:line="20" w:lineRule="atLeast"/>
        <w:jc w:val="both"/>
        <w:outlineLvl w:val="1"/>
      </w:pPr>
      <w:r>
        <w:t>Nella medesima prospettiva l’art. 41, comma 1, del decreto-legge n. 66/2014 ha introdotto l’obbligo di allegare alla relazione sul rendiconto un prospetto - sottoscritto dal rappresentante legale e dal responsabile del servizio finanziario - attestante l’importo complessivo dei pagamenti per transazioni commerciali effettuati dopo la scadenza dei termini previsti dal decreto legislativo n. 231/2002, nonché l’indicatore annuale di tempestività dei pagamenti di cui all’art. 33 del decreto legislativo n. 33/2013 sopra richiamato: in caso di superamento degli anzidetti termini, la relazione deve indicare le misure organizzative adottate o previste per consentire la tempestiva effettuazione dei pagamenti.</w:t>
      </w:r>
    </w:p>
    <w:p w:rsidR="00B16E5F" w:rsidRDefault="00B16E5F" w:rsidP="00B16E5F">
      <w:pPr>
        <w:shd w:val="clear" w:color="auto" w:fill="FEFEFE"/>
        <w:spacing w:after="0" w:line="20" w:lineRule="atLeast"/>
        <w:jc w:val="both"/>
        <w:outlineLvl w:val="1"/>
      </w:pPr>
      <w:r>
        <w:t xml:space="preserve"> 3.1. Le nuove regole introdotte dalla legge di bilancio per il 2019. </w:t>
      </w:r>
    </w:p>
    <w:p w:rsidR="00B16E5F" w:rsidRDefault="00B16E5F" w:rsidP="00B16E5F">
      <w:pPr>
        <w:shd w:val="clear" w:color="auto" w:fill="FEFEFE"/>
        <w:spacing w:after="0" w:line="20" w:lineRule="atLeast"/>
        <w:jc w:val="both"/>
        <w:outlineLvl w:val="1"/>
      </w:pPr>
      <w:r>
        <w:t xml:space="preserve">Su tale assetto normativo interviene la legge di bilancio dello Stato per il 2019 tramite un complesso sistema di premi e sanzioni per gli enti interessati, subordinati al rispetto delle regole in tema di tempestività dei pagamenti e alla capacità dell’ente di abbattere la misura del proprio debito commerciale pregresso. Rilevano, anzitutto, le previsioni di cui all’ art. 1, commi 1015, 1016 e 1017, della legge n. 145/2018 in virtù delle quali, nel corso del 2019, è consentito agli enti locali di variare il bilancio di previsione 2019-2021 per ridurre il Fondo crediti di dubbia esigibilità stanziato per l’esercizio 2019 nella missione «Fondi e Accantonamenti» ad un valore pari all’80% dell’accantonamento quantificato nel pertinente allegato al bilancio. </w:t>
      </w:r>
    </w:p>
    <w:p w:rsidR="00B16E5F" w:rsidRDefault="00B16E5F" w:rsidP="00B16E5F">
      <w:pPr>
        <w:shd w:val="clear" w:color="auto" w:fill="FEFEFE"/>
        <w:spacing w:after="0" w:line="20" w:lineRule="atLeast"/>
        <w:jc w:val="both"/>
        <w:outlineLvl w:val="1"/>
      </w:pPr>
      <w:r>
        <w:t xml:space="preserve">Occorre però che vengano osservate specifiche condizioni, cioè: dimostrazione dell’indice annuale di tempestività dei pagamenti, riferito all’anno 2018, rispettoso dei termini previsti dall’art. 4 del decreto legislativo n. 231/2002, fatture ricevute e scadute nell’esercizio 2018 saldate per un importo complessivo superiore al 75% del totale ricevuto, nonché consistenza dello stock di debito commerciale residuo, rilevato alla fine del 2018, inferiore di almeno il 10% rispetto a quello del 2017, nullo o costituito esclusivamente da debiti oggetto di contenzioso o in contestazione. </w:t>
      </w:r>
    </w:p>
    <w:p w:rsidR="00B16E5F" w:rsidRDefault="00B16E5F" w:rsidP="00B16E5F">
      <w:pPr>
        <w:shd w:val="clear" w:color="auto" w:fill="FEFEFE"/>
        <w:spacing w:after="0" w:line="20" w:lineRule="atLeast"/>
        <w:jc w:val="both"/>
        <w:outlineLvl w:val="1"/>
      </w:pPr>
      <w:r>
        <w:t xml:space="preserve">Tale facoltà di abbattimento dell’accantonamento al FCDE, con conseguente ampliamento della capacità di spesa, può essere esercitata anche dagli enti che, pur non soddisfacendo i suddetti criteri, rispettino le seguenti condizioni: che l’indice di tempestività dei pagamenti, calcolato al 30 giugno 2019 e debitamente pubblicato, rispetti i termini di cui all’art. 4 del decreto legislativo n. 231/2002 e le fatture ricevute nel semestre gennaio-giugno 2019 risultino pagate per un importo di almeno il 75% del totale ricevuto e che lo stock di debito commerciale residuo al 30 giugno 2019 si sia ridotto del 5% rispetto a quello calcolato al 31 dicembre 2018, oppure sia nullo o costituito solo da debiti oggetto di contenzioso o contestazione. Detti benefici non si applicano agli enti che, con riferimento agli esercizi 2017 e 2018, non hanno pubblicato nel proprio sito internet, entro i termini di legge, gli indicatori concernenti i tempi di pagamento ed il debito commerciale residuo ex art. 33 decreto legislativo n. 33/2013, e che, con riferimento ai mesi precedenti all’avvio del sistema SIOPE+ di cui all’art. 14, commi 8 -bis e 8 -ter , della legge 31 dicembre 2009, n. 196, non hanno trasmesso alla Piattaforma elettronica dei crediti commerciali le comunicazioni relative al pagamento delle fatture. I commi 859 e seguenti della legge n. 145/2018 introducono, a decorrere dal 2020, misure più severe a garanzia dell’effettività dei pagamenti nel rispetto della tempistica fissata a livello europeo, e ciò tramite norme qualificate come «principi fondamentali di coordinamento della finanza pubblica» ai sensi degli articoli 117, terzo comma, e 119, secondo comma, della Costituzione. </w:t>
      </w:r>
    </w:p>
    <w:p w:rsidR="00B16E5F" w:rsidRDefault="00B16E5F" w:rsidP="00B16E5F">
      <w:pPr>
        <w:shd w:val="clear" w:color="auto" w:fill="FEFEFE"/>
        <w:spacing w:after="0" w:line="20" w:lineRule="atLeast"/>
        <w:jc w:val="both"/>
        <w:outlineLvl w:val="1"/>
      </w:pPr>
      <w:r>
        <w:t>Viene imposta la creazione di uno specifico Fondo di garanzia dei debiti commerciali quale nuovo accantonamento atto a limitare la capacità di spesa degli enti locali non in regola con i pagamenti, con lo scopo di assicurare che la capacità di spesa non ecceda l’effettiva disponibilità di cassa.</w:t>
      </w:r>
    </w:p>
    <w:p w:rsidR="00B16E5F" w:rsidRDefault="00B16E5F" w:rsidP="00B16E5F">
      <w:pPr>
        <w:shd w:val="clear" w:color="auto" w:fill="FEFEFE"/>
        <w:spacing w:after="0" w:line="20" w:lineRule="atLeast"/>
        <w:jc w:val="both"/>
        <w:outlineLvl w:val="1"/>
      </w:pPr>
      <w:r>
        <w:t xml:space="preserve"> Difatti, sempre a decorrere dal 2020, una volta elaborato l’indicatore di tempestività dei pagamenti riferito all’esercizio precedente,gli enti locali, entro il 31 gennaio, debbono procedere, con delibera di giunta, a stanziare nel proprio bilancio un accantonamento, tra i fondi della missione 20, per un importo determinato in misura percentuale degli stanziamenti del bilancio corrente per la spesa di acquisto di beni e servizi, via via crescentein base alla maggiore consistenza dell’entità del ritardo rispetto al termine di pagamento imposto dalla normativa vigente; tale obbligo riguarda anche gli enti che non dimostrino la riduzione dellostockdi debito. </w:t>
      </w:r>
    </w:p>
    <w:p w:rsidR="00B16E5F" w:rsidRDefault="00B16E5F" w:rsidP="00B16E5F">
      <w:pPr>
        <w:shd w:val="clear" w:color="auto" w:fill="FEFEFE"/>
        <w:spacing w:after="0" w:line="20" w:lineRule="atLeast"/>
        <w:jc w:val="both"/>
        <w:outlineLvl w:val="1"/>
      </w:pPr>
      <w:r>
        <w:lastRenderedPageBreak/>
        <w:t xml:space="preserve">Ai fini dell’operatività delle nuove regole di accantonamento l’ente si considera non in regola con i pagamenti se il debito commerciale residuo, di cui all’art. 33 del decreto legislativo n. 33/2013, rilevato alla fine dell’esercizio precedente non si sia ridotto almeno del 10% rispetto a quello del secondo esercizio precedente, salvo che detto debito commerciale residuo scaduto non sia di ammontare non superiore al 5% del totale delle fatture scadute ricevute nel medesimo esercizio (art. 38 -bis «decreto crescita» che ha modificato l’art. 1, comma 859, lettera a) , della legge di bilancio 2019). Altra situazione contemplata dalla norma che impone l’accantonamento è rappresentata dal ritardo annuale dei pagamenti, calcolato sulle fatture ricevute e scadute nell’anno precedente. </w:t>
      </w:r>
    </w:p>
    <w:p w:rsidR="00B16E5F" w:rsidRDefault="00B16E5F" w:rsidP="00B16E5F">
      <w:pPr>
        <w:shd w:val="clear" w:color="auto" w:fill="FEFEFE"/>
        <w:spacing w:after="0" w:line="20" w:lineRule="atLeast"/>
        <w:jc w:val="both"/>
        <w:outlineLvl w:val="1"/>
      </w:pPr>
      <w:r>
        <w:t xml:space="preserve">Per evitare di incorrere nel nuovo obbligo di accantonamento di ulteriori risorse di parte corrente a fini prudenziali, gli enti territoriali debbono, pertanto, non solo rispettare i tempi di pagamento, ma anche ridurre lostockdi debito commerciale: in base al comma 859 il rispetto dei tempi di pagamento in assenza della riduzione dell’ammontare complessivo del debito residuo comporta, infatti, l’obbligo di accantonamento nella misura massima del 5%. </w:t>
      </w:r>
    </w:p>
    <w:p w:rsidR="00B16E5F" w:rsidRDefault="00B16E5F" w:rsidP="00B16E5F">
      <w:pPr>
        <w:shd w:val="clear" w:color="auto" w:fill="FEFEFE"/>
        <w:spacing w:after="0" w:line="20" w:lineRule="atLeast"/>
        <w:jc w:val="both"/>
        <w:outlineLvl w:val="1"/>
      </w:pPr>
      <w:r>
        <w:t xml:space="preserve">L’accantonamento al Fondo di garanzia debiti commerciali deve essere adeguato nel corso dell’esercizio finanziario laddove siano intervenute variazioni di bilancio relative agli stanziamenti della spesa per acquisto di beni e servizi; inoltre esso non riguarda gli stanziamenti di spesa finanziati da entrate con specifico vincolo di destinazione. </w:t>
      </w:r>
    </w:p>
    <w:p w:rsidR="00B16E5F" w:rsidRDefault="00B16E5F" w:rsidP="00B16E5F">
      <w:pPr>
        <w:shd w:val="clear" w:color="auto" w:fill="FEFEFE"/>
        <w:spacing w:after="0" w:line="20" w:lineRule="atLeast"/>
        <w:jc w:val="both"/>
        <w:outlineLvl w:val="1"/>
      </w:pPr>
      <w:r>
        <w:t xml:space="preserve">Sul Fondo non è possibile assumere impegni di spesa né disporre pagamenti; esso, in sede di consuntivo confluisce nella quota libera dell’avanzo di amministrazione. Secondo il comma 857, per gli enti che non hanno richiesto l’anticipazione di liquidità pur avendo debiti scaduti al 31 dicembre 2018 o che, pur avendola richiesta, non hanno pagato i debiti entro 15 giorni dall’erogazione delle risorse, «nell’anno 2020 gli obblighi di accantonamento ai commi 862, 864 e 865 sono raddoppiati». La norma prevede meccanismi sanzionatori anche a fronte del mancato rispetto dei predetti obblighi di trasparenza. </w:t>
      </w:r>
    </w:p>
    <w:p w:rsidR="00B16E5F" w:rsidRDefault="00B16E5F" w:rsidP="00B16E5F">
      <w:pPr>
        <w:shd w:val="clear" w:color="auto" w:fill="FEFEFE"/>
        <w:spacing w:after="0" w:line="20" w:lineRule="atLeast"/>
        <w:jc w:val="both"/>
        <w:outlineLvl w:val="1"/>
      </w:pPr>
      <w:r>
        <w:t xml:space="preserve">È da tenere infine presente che le medesime misure previste per gli enti non in regola con gli obblighi di tempestività di pagamento e di riduzione del debito, dal 2020 si applicano anche agli enti territoriali che «non hanno pubblicato l’ammontare complessivo dei debiti di cui all’art. 33 del decreto legislativo 14 marzo 2013, n. 33, e che non hanno trasmesso alla piattaforma elettronica le comunicazioni di cui al comma 867 e le informazioni relative all’avvenuto pagamento delle fatture» ( cfr. comma 868). </w:t>
      </w:r>
    </w:p>
    <w:p w:rsidR="00B16E5F" w:rsidRDefault="00B16E5F" w:rsidP="00B16E5F">
      <w:pPr>
        <w:shd w:val="clear" w:color="auto" w:fill="FEFEFE"/>
        <w:spacing w:after="0" w:line="20" w:lineRule="atLeast"/>
        <w:jc w:val="both"/>
        <w:outlineLvl w:val="1"/>
      </w:pPr>
      <w:r>
        <w:t>3.2. Le verifiche in materia di tempestività dei pagamenti rimesse all’organo di revisione dell’ente locale</w:t>
      </w:r>
    </w:p>
    <w:p w:rsidR="00B16E5F" w:rsidRDefault="00B16E5F" w:rsidP="00B16E5F">
      <w:pPr>
        <w:shd w:val="clear" w:color="auto" w:fill="FEFEFE"/>
        <w:spacing w:after="0" w:line="20" w:lineRule="atLeast"/>
        <w:jc w:val="both"/>
        <w:outlineLvl w:val="1"/>
      </w:pPr>
      <w:r>
        <w:t xml:space="preserve">Dal quadro normativo sopra tracciato emerge il ruolo centrale degli organi di revisione degli enti locali nel presidio sull’effettivo rispetto delle regole relative al pagamento dei debiti commerciali nel quadro, più ampio, delle misure funzionali a garantire la corretta gestione della cassa e l’attendibilità delle relative previsioni. Compete, anzitutto, ai revisori verificare l’avvenuta adozione, da parte dell’ente locale, di misure organizzative per garantire il tempestivo pagamento delle somme dovute per somministrazioni, forniture ed appalti, e ciò sia sotto il profilo della corretta gestione dei capitoli di spesa, che dell’allineamento dei pagamenti con gli stanziamenti di cassa, fornendo appositi chiarimenti in caso di riscontro negativo. Parimenti, l’organo di revisione economico-finanziaria è chiamato a vigilare sul rispetto dell’obbligo previsto dall’art. 183, comma 8 del TUEL secondo cui, al fine di evitare ritardi nei pagamenti e la formazione di debiti pregressi, il responsabile della spesa il quale adotta provvedimenti che comportano impegni di spesa ha l’obbligo di accertare preventivamente la compatibilità del programma dei conseguenti pagamenti con i relativi stanziamenti di cassa e con i vincoli di finanza pubblica, sotto pena di responsabilità disciplinare ed amministrativa. L’organo di controllo di regolarità amministrativa e contabile verifica, altresì, che, in caso di superamento dei predetti termini, siano state rappresentate dall’ente le misure organizzative adottate o previste per rientrare nei termini di pagamento previsti dalla legge, dandone atto nella propria relazione. Ancora, l’organo di revisione è tenuto ad indicare, tanto nei predetti questionari quanto nella propria relazione sul rendiconto di gestione, se l’ente, viste anche le rilevanti sanzioni previste dall’art. 7 -bis , comma 8, del decreto-legge n. 35/2013, abbia dato attuazione alle procedure di cui ai commi 4 e 5 della stessa norma relative alla comunicazione dei dati riferiti a fatture (o richieste equivalenti di pagamento) alla «Piattaforma certificazione crediti», esprimendosi sulle motivazioni addotte dall’ente in caso di non corretta attuazione del disposto normativo. </w:t>
      </w:r>
    </w:p>
    <w:p w:rsidR="00B16E5F" w:rsidRDefault="00B16E5F" w:rsidP="00B16E5F">
      <w:pPr>
        <w:shd w:val="clear" w:color="auto" w:fill="FEFEFE"/>
        <w:spacing w:after="0" w:line="20" w:lineRule="atLeast"/>
        <w:jc w:val="both"/>
        <w:outlineLvl w:val="1"/>
      </w:pPr>
      <w:r>
        <w:t xml:space="preserve">Alla luce di quanto sopra, nel rinnovato quadro normativo sopra delineato, l’organo di revisione è chiamato a verificare l’attuazione, da parte dell’ente, delle misure sui pagamenti previste dalla legge n. 145/2018, quali quelle relative alla circostanza che l’ente abbia provveduto correttamente a quantificare il debito </w:t>
      </w:r>
      <w:r>
        <w:lastRenderedPageBreak/>
        <w:t xml:space="preserve">commerciale scaduto al 31 dicembre 2018, ai sensi e per gli effetti del predetto comma 859, oggetto di pubblicazione ex art. 33 del decreto legislativo n. 33/2013. Le numerose funzioni intestate all’organo di revisione dall’art. 239 TUEL in tema di vigilanza sulla regolarità contabile, finanziaria ed economica dell’ente locale rendono giustificata una complessiva opera di verifica dell’adeguatezza della gestione di cassa a rendere effettiva l’osservanza dei predetti adempimenti. In questo senso emerge l’esigenza di un’attenta vigilanza circa la completa implementazione e l’aggiornamento, da parte degli uffici di ragioneria, della «Piattaforma certificazione crediti» per la rinnovata centralità assunta, tra l’altro, nel calcolo dei ritardi di pagamento e nel ricorso alle nuove anticipazioni di liquidità. S’impone poi, per gli enti che non hanno ancora effettuato il passaggio al succitato sistema SIOPE+, un’attività di verifica in ordine alla trasmissione alla Piattaforma elettronica dei crediti commerciali delle comunicazioni relative al pagamento delle fatture dal momento che, per quelli che vi abbiano aderito, i dati dei pagamenti effettuati dalle amministrazioni pubbliche tramite SIOPE+ sono automaticamente acquisiti dal sistema PCC. </w:t>
      </w:r>
    </w:p>
    <w:p w:rsidR="00B16E5F" w:rsidRDefault="00B16E5F" w:rsidP="00B16E5F">
      <w:pPr>
        <w:shd w:val="clear" w:color="auto" w:fill="FEFEFE"/>
        <w:spacing w:after="0" w:line="20" w:lineRule="atLeast"/>
        <w:jc w:val="both"/>
        <w:outlineLvl w:val="1"/>
      </w:pPr>
      <w:r>
        <w:t>Un ruolo di vigilanza da parte dell’organo di revisione è, infine, auspicabile anche sul piano dei riflessi, sui tempi di esecuzione dei pagamenti, scaturenti dall’adeguamento delle convenzioni di tesoreria ai principi recati dalla direttiva europea PSD2, recepita, nel nostro ordinamento, con il decreto legislativo 15 dicembre 2017, n. 218 (14</w:t>
      </w:r>
      <w:proofErr w:type="gramStart"/>
      <w:r>
        <w:t>) .</w:t>
      </w:r>
      <w:proofErr w:type="gramEnd"/>
      <w:r>
        <w:t xml:space="preserve"> </w:t>
      </w:r>
    </w:p>
    <w:p w:rsidR="00B16E5F" w:rsidRDefault="00B16E5F" w:rsidP="00B16E5F">
      <w:pPr>
        <w:shd w:val="clear" w:color="auto" w:fill="FEFEFE"/>
        <w:spacing w:after="0" w:line="20" w:lineRule="atLeast"/>
        <w:jc w:val="both"/>
        <w:outlineLvl w:val="1"/>
      </w:pPr>
      <w:r>
        <w:t>4. Struttura del questionario.</w:t>
      </w:r>
    </w:p>
    <w:p w:rsidR="00B16E5F" w:rsidRDefault="00B16E5F" w:rsidP="00B16E5F">
      <w:pPr>
        <w:shd w:val="clear" w:color="auto" w:fill="FEFEFE"/>
        <w:spacing w:after="0" w:line="20" w:lineRule="atLeast"/>
        <w:jc w:val="both"/>
        <w:outlineLvl w:val="1"/>
      </w:pPr>
      <w:r>
        <w:t xml:space="preserve"> Il questionario, come di consueto, si compone di due parti di cui: una, denominata «quesiti», dedicata alle informazioni di carattere essenzialmente testuale, compilabile mediante fogli di lavoro, ed una denominata «quadri contabili», dedicata all’acquisizione di dati numerici, sviluppata per consentire la successiva gestione ed elaborazione degli stessi da parte del sistema informativo. La prima parte risulta articolata in tre sezioni precedute da una serie di domande preliminari finalizzate a realizzare una prima ricognizione dei principali adempimenti di carattere contabile e finanziario, nonché da una parte dedicata alle «notizie generali dell’ente» atta a permettere di inquadrare con immediatezza la situazione dell’ente da esaminare. Nelle risposte ai quesiti occorrerà fare riferimento al bilancio approvato dal Consiglio dell’ente salvo dove è espressamente richiesto il dato da variazione di bilancio o da assestamento. La Sezione prima – dedicata agli «Equilibri e saldo di finanza pubblica nel bilancio di previsione 2019-2021» – contiene domande dirette a verificare che l’impostazione del bilancio di previsione sia tale da garantire il rispetto degli equilibri, quali declinati dall’art. 162 del TUEL, nonché del saldo di competenza d’esercizio non negativo ai sensi art. 1, comma 821, della legge n. 145/2018. </w:t>
      </w:r>
    </w:p>
    <w:p w:rsidR="00B16E5F" w:rsidRDefault="00B16E5F" w:rsidP="00B16E5F">
      <w:pPr>
        <w:shd w:val="clear" w:color="auto" w:fill="FEFEFE"/>
        <w:spacing w:after="0" w:line="20" w:lineRule="atLeast"/>
        <w:jc w:val="both"/>
        <w:outlineLvl w:val="1"/>
      </w:pPr>
      <w:r>
        <w:t xml:space="preserve">La Sezione si completa con domande correlate a profili di carattere eminentemente contabile, con particolari approfondimenti sull’alimentazione e sulla corretta rappresentazione del Fondo pluriennale vincolato, sull’evoluzione del Fondo crediti di dubbia esigibilità, sull’avanzo di amministrazione e sul suo utilizzo, sulla costituzione di accantonamenti e fondi a titolo prudenziale. </w:t>
      </w:r>
    </w:p>
    <w:p w:rsidR="00B16E5F" w:rsidRDefault="00B16E5F" w:rsidP="00B16E5F">
      <w:pPr>
        <w:shd w:val="clear" w:color="auto" w:fill="FEFEFE"/>
        <w:spacing w:after="0" w:line="20" w:lineRule="atLeast"/>
        <w:jc w:val="both"/>
        <w:outlineLvl w:val="1"/>
      </w:pPr>
      <w:r>
        <w:t xml:space="preserve">Ad essa fanno riferimento i quadri contabili inseriti nelle Sezioni IV.1, IV,2 e IV.3, del questionario. </w:t>
      </w:r>
    </w:p>
    <w:p w:rsidR="00B16E5F" w:rsidRDefault="00B16E5F" w:rsidP="00B16E5F">
      <w:pPr>
        <w:shd w:val="clear" w:color="auto" w:fill="FEFEFE"/>
        <w:spacing w:after="0" w:line="20" w:lineRule="atLeast"/>
        <w:jc w:val="both"/>
        <w:outlineLvl w:val="1"/>
      </w:pPr>
      <w:r>
        <w:t>La Sezione seconda – dedicata all</w:t>
      </w:r>
      <w:proofErr w:type="gramStart"/>
      <w:r>
        <w:t>’«</w:t>
      </w:r>
      <w:proofErr w:type="gramEnd"/>
      <w:r>
        <w:t xml:space="preserve">Indebitamento e strumenti di finanza derivata» – è intesa a ricostruire lo stock del debito e ad analizzarne la composizione, con particolare attenzione al rispetto dei vincoli di indebitamento. </w:t>
      </w:r>
    </w:p>
    <w:p w:rsidR="00B16E5F" w:rsidRDefault="00B16E5F" w:rsidP="00B16E5F">
      <w:pPr>
        <w:shd w:val="clear" w:color="auto" w:fill="FEFEFE"/>
        <w:spacing w:after="0" w:line="20" w:lineRule="atLeast"/>
        <w:jc w:val="both"/>
        <w:outlineLvl w:val="1"/>
      </w:pPr>
      <w:r>
        <w:t xml:space="preserve">Ad essa fanno riferimento i quadri contabili inseriti nella Sezione IV.4, del questionario. Particolarmente semplificata la Sezione terza – dedicata alle «Previsioni di cassa e patrimonio» a cui non si collegano quadri contabili nella seconda parte del questionario. Anche per il periodo 2019-2021, il questionario si correda di una appendice dedicata agli enti colpiti dai recenti sismi, di cui si occupa il paragrafo 7 al quale si fa esplicito rinvio. Così ricostruiti gli aspetti salienti di ciascuna Sezione in cui è articolato il questionario, emerge evidente come lo stesso rappresenti una (14) I primi aspetti applicativi sono stati chiariti dal Ministero dell’economia e delle finanze con la circolare n. 22 del 15 giugno 2018. </w:t>
      </w:r>
      <w:proofErr w:type="gramStart"/>
      <w:r>
        <w:t>base</w:t>
      </w:r>
      <w:proofErr w:type="gramEnd"/>
      <w:r>
        <w:t xml:space="preserve"> informativa essenziale i cui contenuti potranno essere implementati dalle Sezioni regionali di controllo in relazione a specifiche esigenze conoscitive. </w:t>
      </w:r>
    </w:p>
    <w:p w:rsidR="00B16E5F" w:rsidRDefault="00B16E5F" w:rsidP="00B16E5F">
      <w:pPr>
        <w:shd w:val="clear" w:color="auto" w:fill="FEFEFE"/>
        <w:spacing w:after="0" w:line="20" w:lineRule="atLeast"/>
        <w:jc w:val="both"/>
        <w:outlineLvl w:val="1"/>
      </w:pPr>
      <w:r>
        <w:t xml:space="preserve">5. Appendice. </w:t>
      </w:r>
    </w:p>
    <w:p w:rsidR="00B16E5F" w:rsidRDefault="00B16E5F" w:rsidP="00B16E5F">
      <w:pPr>
        <w:shd w:val="clear" w:color="auto" w:fill="FEFEFE"/>
        <w:spacing w:after="0" w:line="20" w:lineRule="atLeast"/>
        <w:jc w:val="both"/>
        <w:outlineLvl w:val="1"/>
      </w:pPr>
      <w:r>
        <w:t xml:space="preserve">In continuità con la precedente impostazione </w:t>
      </w:r>
      <w:proofErr w:type="gramStart"/>
      <w:r>
        <w:t>( cfr.</w:t>
      </w:r>
      <w:proofErr w:type="gramEnd"/>
      <w:r>
        <w:t xml:space="preserve"> deliberazione 8/2018/SEZAUT/INPR), il quadro informativo offerto dal questionario generale è completato da una appendice dedicata agli enti interessati dagli eventi sismici del 2016 e 2017 e ricompresi nel c.d. cratere. A tal riguardo deve, peraltro, segnalarsi che lo stato di emergenza dichiarato dalla delibera del Consiglio dei ministri del 25 agosto 2016 e la gestione straordinaria finalizzata alla ricostruzione sono stati prorogati, rispettivamente, al 31 dicembre 2019 ed al 31 dicembre 2020 (art. 1, commi 988, lettera b</w:t>
      </w:r>
      <w:proofErr w:type="gramStart"/>
      <w:r>
        <w:t>) ,</w:t>
      </w:r>
      <w:proofErr w:type="gramEnd"/>
      <w:r>
        <w:t xml:space="preserve"> e 990 della legge di bilancio 2019). Per detti enti con decreto </w:t>
      </w:r>
      <w:r>
        <w:lastRenderedPageBreak/>
        <w:t>ministeriale Interno 28 marzo 2019 è stato, inoltre, previsto uno specifico regime in relazione al bilancio di previsione 2019/2021 la cui approvazione è stata differita al 30 giugno 2019. Nel complesso l’appendice riproduce, attualizzandoli in ragione delle modifiche normative medio tempore intervenute, i contenuti di quella annessa al questionario sul bilancio di previsione 2018/2020. Nondimeno sono stati inseriti alcuni quesiti volti ad attenzionare i meccanismi di reimputazione delle spese – tanto correnti quanto di investimento – e le modalità di regolazione contabile delle stesse anche con riferimento al Fondo pluriennale vincolato: ciò in vista delle verifiche circa il mantenimento di una corretta finalizzazione delle risorse correlate. Trova conferma il focus sulle spese di personale che continuano a rivestire particolare interesse alla luce della novella recata dal decreto-legge n. 32/2019 che, per un verso, proroga il regime derogatorio previsto sino al 31 dicembre 2018 dall’art. 50 -bis decreto-legge n. 189/2016 successive modificazioni ed integrazioni e, per altro, introduce nuove facoltà assunzionali in favore degli enti ricompresi nel cratere. Si richiama, a tal riguardo, la previsione di cui all’art. 22 del citato decreto che, in particolare, al comma 2 modifica l’art. 50 -bis del decretolegge n. 189/2016, consentendo ai comuni di assumere anche con contratti a tempo parziale il personale da impiegare negli uffici per la ricostruzione (lettera a</w:t>
      </w:r>
      <w:proofErr w:type="gramStart"/>
      <w:r>
        <w:t>) .</w:t>
      </w:r>
      <w:proofErr w:type="gramEnd"/>
      <w:r>
        <w:t xml:space="preserve"> Analogamente le successive lettere b) e c) del citato art. 22, novellano i commi 3 -bis e 3 -quinquies dell’art. 50 -bis del decreto-legge n. 189/2016 integrando la precedente disciplina che prevede la possibilità per i comuni di procedere alla stipula di contratti di lavoro autonomo di collaborazione coordinata e continuativa per lo svolgimento di determinate attività per una durata non superiore al 31 dicembre 2019, senza più limiti sul rinnovo dei contratti (lett. b) e sul numero di quelli da stipulare (lettera c) . 6. Modalità operative. Il questionario sul Bilancio di previsione 2019-2021 è un file in formato excel che sarà possibile scaricare dal sistema Con. Te. Una volta compilato, il questionario potrà essere inviato alla Corte dei conti tramite le specifiche funzioni disponibili nell’area «Questionario». </w:t>
      </w:r>
    </w:p>
    <w:p w:rsidR="00B16E5F" w:rsidRDefault="00B16E5F" w:rsidP="00B16E5F">
      <w:pPr>
        <w:shd w:val="clear" w:color="auto" w:fill="FEFEFE"/>
        <w:spacing w:after="0" w:line="20" w:lineRule="atLeast"/>
        <w:jc w:val="both"/>
        <w:outlineLvl w:val="1"/>
      </w:pPr>
      <w:r>
        <w:t xml:space="preserve">Per procedere alla compilazione della relazione-questionario occorre collegarsi al sito della Corte dei conti, area Servizi on line, selezionare il link «Controllo e Referto» e, successivamente, selezionare il sistema FITNET per poi accedere al sistema Con. Te. Per gli utenti sprovvisti di credenziali di accesso sarà necessario eseguire prima la registrazione sul Portale «SOLE». </w:t>
      </w:r>
    </w:p>
    <w:p w:rsidR="00B16E5F" w:rsidRDefault="00B16E5F" w:rsidP="00B16E5F">
      <w:pPr>
        <w:shd w:val="clear" w:color="auto" w:fill="FEFEFE"/>
        <w:spacing w:after="0" w:line="20" w:lineRule="atLeast"/>
        <w:jc w:val="both"/>
        <w:outlineLvl w:val="1"/>
      </w:pPr>
      <w:r>
        <w:t xml:space="preserve">Quindi, dopo avere effettuato la registrazione per il profilo di pertinenza e ottenute, via e-mail, user-id e password, sarà possibile accedere a Con. Te. All’interno del sistema Con. Te. </w:t>
      </w:r>
      <w:proofErr w:type="gramStart"/>
      <w:r>
        <w:t>saranno</w:t>
      </w:r>
      <w:proofErr w:type="gramEnd"/>
      <w:r>
        <w:t xml:space="preserve"> fornite le indicazioni necessarie per ottenere supporto ed assistenza tecnica sull’utilizzo dei sistemi. Corre, infine, l’obbligo di evidenziare che, per esigenze legate allo sviluppo del software, la relazione-questionario disponibile on line potrà mostrare talune differenze di carattere meramente formale rispetto alla versione pubblicata nella Gazzetta </w:t>
      </w:r>
      <w:proofErr w:type="gramStart"/>
      <w:r>
        <w:t>Ufficiale .</w:t>
      </w:r>
      <w:proofErr w:type="gramEnd"/>
      <w:r>
        <w:t xml:space="preserve"> </w:t>
      </w:r>
    </w:p>
    <w:p w:rsidR="00B16E5F" w:rsidRDefault="00B16E5F" w:rsidP="00B16E5F">
      <w:pPr>
        <w:shd w:val="clear" w:color="auto" w:fill="FEFEFE"/>
        <w:spacing w:after="0" w:line="20" w:lineRule="atLeast"/>
        <w:jc w:val="both"/>
        <w:outlineLvl w:val="1"/>
      </w:pPr>
      <w:r>
        <w:t xml:space="preserve">La Sezione delle autonomie comunicherà la data dalla quale sarà resa disponibile agli utenti la versione on line. </w:t>
      </w:r>
    </w:p>
    <w:p w:rsidR="00B16E5F" w:rsidRDefault="00B16E5F" w:rsidP="00B16E5F">
      <w:pPr>
        <w:shd w:val="clear" w:color="auto" w:fill="FEFEFE"/>
        <w:spacing w:after="0" w:line="20" w:lineRule="atLeast"/>
        <w:jc w:val="both"/>
        <w:outlineLvl w:val="1"/>
      </w:pPr>
    </w:p>
    <w:p w:rsidR="00B16E5F" w:rsidRDefault="00B16E5F" w:rsidP="00B16E5F">
      <w:pPr>
        <w:shd w:val="clear" w:color="auto" w:fill="FEFEFE"/>
        <w:spacing w:after="0" w:line="20" w:lineRule="atLeast"/>
        <w:jc w:val="both"/>
        <w:outlineLvl w:val="1"/>
      </w:pPr>
      <w:r>
        <w:t>LINEE GUIDA PER LE RELAZIONI DEI REVISORI DEI CONTI DEI COMUNI, DELLE CITTÀ METROPOLITANE E DELLE PROVINCE SUI BILANCI DI PREVISIONE 2019-2021 PER L'ATTUAZIONE DELL’ ART. 1, COMMI 166 E SEGUENTI, L. 23 DICEMBRE 2005, N. 266.</w:t>
      </w:r>
    </w:p>
    <w:p w:rsidR="00B16E5F" w:rsidRDefault="00B16E5F" w:rsidP="00B16E5F">
      <w:pPr>
        <w:shd w:val="clear" w:color="auto" w:fill="FEFEFE"/>
        <w:spacing w:after="0" w:line="20" w:lineRule="atLeast"/>
        <w:jc w:val="both"/>
        <w:outlineLvl w:val="1"/>
      </w:pPr>
      <w:proofErr w:type="gramStart"/>
      <w:r>
        <w:t>Indice  generale</w:t>
      </w:r>
      <w:proofErr w:type="gramEnd"/>
    </w:p>
    <w:p w:rsidR="00B16E5F" w:rsidRDefault="00B16E5F" w:rsidP="00B16E5F">
      <w:pPr>
        <w:shd w:val="clear" w:color="auto" w:fill="FEFEFE"/>
        <w:spacing w:after="0" w:line="20" w:lineRule="atLeast"/>
        <w:jc w:val="both"/>
        <w:outlineLvl w:val="1"/>
      </w:pPr>
      <w:r>
        <w:t xml:space="preserve">Informazioni anagrafiche </w:t>
      </w:r>
    </w:p>
    <w:p w:rsidR="00B16E5F" w:rsidRDefault="00B16E5F" w:rsidP="00B16E5F">
      <w:pPr>
        <w:shd w:val="clear" w:color="auto" w:fill="FEFEFE"/>
        <w:spacing w:after="0" w:line="20" w:lineRule="atLeast"/>
        <w:jc w:val="both"/>
        <w:outlineLvl w:val="1"/>
      </w:pPr>
      <w:r>
        <w:t xml:space="preserve">Notizie generali sull'Ente </w:t>
      </w:r>
    </w:p>
    <w:p w:rsidR="00B16E5F" w:rsidRDefault="00B16E5F" w:rsidP="00B16E5F">
      <w:pPr>
        <w:shd w:val="clear" w:color="auto" w:fill="FEFEFE"/>
        <w:spacing w:after="0" w:line="20" w:lineRule="atLeast"/>
        <w:jc w:val="both"/>
        <w:outlineLvl w:val="1"/>
      </w:pPr>
      <w:r>
        <w:t xml:space="preserve">Domande preliminari </w:t>
      </w:r>
    </w:p>
    <w:p w:rsidR="00B16E5F" w:rsidRDefault="00B16E5F" w:rsidP="00B16E5F">
      <w:pPr>
        <w:shd w:val="clear" w:color="auto" w:fill="FEFEFE"/>
        <w:spacing w:after="0" w:line="20" w:lineRule="atLeast"/>
        <w:jc w:val="both"/>
        <w:outlineLvl w:val="1"/>
      </w:pPr>
      <w:r>
        <w:t xml:space="preserve">Sezione I Equilibri finanziari </w:t>
      </w:r>
    </w:p>
    <w:p w:rsidR="00B16E5F" w:rsidRDefault="00B16E5F" w:rsidP="00B16E5F">
      <w:pPr>
        <w:shd w:val="clear" w:color="auto" w:fill="FEFEFE"/>
        <w:spacing w:after="0" w:line="20" w:lineRule="atLeast"/>
        <w:jc w:val="both"/>
        <w:outlineLvl w:val="1"/>
      </w:pPr>
      <w:r>
        <w:t xml:space="preserve">Sezione II Indebitamento </w:t>
      </w:r>
    </w:p>
    <w:p w:rsidR="00B16E5F" w:rsidRDefault="00B16E5F" w:rsidP="00B16E5F">
      <w:pPr>
        <w:shd w:val="clear" w:color="auto" w:fill="FEFEFE"/>
        <w:spacing w:after="0" w:line="20" w:lineRule="atLeast"/>
        <w:jc w:val="both"/>
        <w:outlineLvl w:val="1"/>
      </w:pPr>
      <w:r>
        <w:t xml:space="preserve">Sezione III Previsioni di cassa e Patrimonio </w:t>
      </w:r>
    </w:p>
    <w:p w:rsidR="00B16E5F" w:rsidRDefault="00B16E5F" w:rsidP="00B16E5F">
      <w:pPr>
        <w:shd w:val="clear" w:color="auto" w:fill="FEFEFE"/>
        <w:spacing w:after="0" w:line="20" w:lineRule="atLeast"/>
        <w:jc w:val="both"/>
        <w:outlineLvl w:val="1"/>
      </w:pPr>
      <w:r>
        <w:t xml:space="preserve">Sezione IV Quadri Contabili </w:t>
      </w:r>
    </w:p>
    <w:p w:rsidR="00B16E5F" w:rsidRDefault="00B16E5F" w:rsidP="00B16E5F">
      <w:pPr>
        <w:shd w:val="clear" w:color="auto" w:fill="FEFEFE"/>
        <w:spacing w:after="0" w:line="20" w:lineRule="atLeast"/>
        <w:jc w:val="both"/>
        <w:outlineLvl w:val="1"/>
      </w:pPr>
      <w:r>
        <w:t xml:space="preserve">Sezione IV.1 Equilibri finanziari e FPV </w:t>
      </w:r>
    </w:p>
    <w:p w:rsidR="00B16E5F" w:rsidRDefault="00B16E5F" w:rsidP="00B16E5F">
      <w:pPr>
        <w:shd w:val="clear" w:color="auto" w:fill="FEFEFE"/>
        <w:spacing w:after="0" w:line="20" w:lineRule="atLeast"/>
        <w:jc w:val="both"/>
        <w:outlineLvl w:val="1"/>
      </w:pPr>
      <w:r>
        <w:t xml:space="preserve">Sezione IV.2 Equilibri finanziari e Accantonamenti </w:t>
      </w:r>
    </w:p>
    <w:p w:rsidR="00B16E5F" w:rsidRDefault="00B16E5F" w:rsidP="00B16E5F">
      <w:pPr>
        <w:shd w:val="clear" w:color="auto" w:fill="FEFEFE"/>
        <w:spacing w:after="0" w:line="20" w:lineRule="atLeast"/>
        <w:jc w:val="both"/>
        <w:outlineLvl w:val="1"/>
      </w:pPr>
      <w:r>
        <w:t xml:space="preserve">Sezione IV.3 Equilibri finanziari e Disavanzo </w:t>
      </w:r>
    </w:p>
    <w:p w:rsidR="00B16E5F" w:rsidRDefault="00B16E5F" w:rsidP="00B16E5F">
      <w:pPr>
        <w:shd w:val="clear" w:color="auto" w:fill="FEFEFE"/>
        <w:spacing w:after="0" w:line="20" w:lineRule="atLeast"/>
        <w:jc w:val="both"/>
        <w:outlineLvl w:val="1"/>
      </w:pPr>
      <w:r>
        <w:t xml:space="preserve">IV.4 Indebitamento Appendice </w:t>
      </w:r>
    </w:p>
    <w:p w:rsidR="00B16E5F" w:rsidRDefault="00B16E5F" w:rsidP="00B16E5F">
      <w:pPr>
        <w:shd w:val="clear" w:color="auto" w:fill="FEFEFE"/>
        <w:spacing w:after="0" w:line="20" w:lineRule="atLeast"/>
        <w:jc w:val="both"/>
        <w:outlineLvl w:val="1"/>
      </w:pPr>
      <w:r>
        <w:t>- Enti colpiti dal sisma</w:t>
      </w:r>
    </w:p>
    <w:p w:rsidR="00B16E5F" w:rsidRDefault="00B16E5F" w:rsidP="00B16E5F">
      <w:pPr>
        <w:shd w:val="clear" w:color="auto" w:fill="FEFEFE"/>
        <w:spacing w:after="0" w:line="20" w:lineRule="atLeast"/>
        <w:jc w:val="both"/>
        <w:outlineLvl w:val="1"/>
      </w:pPr>
    </w:p>
    <w:p w:rsidR="00E70487" w:rsidRDefault="005A1266" w:rsidP="00E70487">
      <w:pPr>
        <w:shd w:val="clear" w:color="auto" w:fill="FEFEFE"/>
        <w:spacing w:after="0" w:line="20" w:lineRule="atLeast"/>
        <w:jc w:val="both"/>
        <w:outlineLvl w:val="1"/>
      </w:pPr>
      <w:r w:rsidRPr="003E33D2">
        <w:rPr>
          <w:b/>
        </w:rPr>
        <w:lastRenderedPageBreak/>
        <w:t xml:space="preserve">DELIBERA 22 luglio </w:t>
      </w:r>
      <w:proofErr w:type="gramStart"/>
      <w:r w:rsidRPr="003E33D2">
        <w:rPr>
          <w:b/>
        </w:rPr>
        <w:t>2019</w:t>
      </w:r>
      <w:r>
        <w:rPr>
          <w:b/>
        </w:rPr>
        <w:t xml:space="preserve">, </w:t>
      </w:r>
      <w:r>
        <w:t xml:space="preserve"> Metodologie</w:t>
      </w:r>
      <w:proofErr w:type="gramEnd"/>
      <w:r>
        <w:t xml:space="preserve"> per l’attuazione dell’articolo 6, comma 3, del decreto-legge 10 ottobre 2012, n. 174, convertito, con modificazioni, dall’articolo 1, comma 1, della legge 7 dicembre 2012, n. 213. (Delibera n. 20/SEZAUT/2019/INPR).</w:t>
      </w:r>
      <w:r w:rsidR="00E70487">
        <w:t xml:space="preserve"> (GU n. 196 del 22.8.19)</w:t>
      </w:r>
    </w:p>
    <w:p w:rsidR="005A1266" w:rsidRDefault="005A1266" w:rsidP="005A1266">
      <w:pPr>
        <w:shd w:val="clear" w:color="auto" w:fill="FEFEFE"/>
        <w:spacing w:after="0" w:line="20" w:lineRule="atLeast"/>
        <w:jc w:val="both"/>
        <w:outlineLvl w:val="1"/>
      </w:pPr>
      <w:r>
        <w:t>LA CORTE DEI CONTI SEZIONE DELLE AUTONOMIE</w:t>
      </w:r>
    </w:p>
    <w:p w:rsidR="005A1266" w:rsidRDefault="005A1266" w:rsidP="005A1266">
      <w:pPr>
        <w:shd w:val="clear" w:color="auto" w:fill="FEFEFE"/>
        <w:spacing w:after="0" w:line="20" w:lineRule="atLeast"/>
        <w:jc w:val="both"/>
        <w:outlineLvl w:val="1"/>
      </w:pPr>
      <w:r>
        <w:t xml:space="preserve"> Nell’adunanza del 22 luglio 2019; </w:t>
      </w:r>
    </w:p>
    <w:p w:rsidR="005A1266" w:rsidRDefault="005A1266" w:rsidP="005A1266">
      <w:pPr>
        <w:shd w:val="clear" w:color="auto" w:fill="FEFEFE"/>
        <w:spacing w:after="0" w:line="20" w:lineRule="atLeast"/>
        <w:jc w:val="both"/>
        <w:outlineLvl w:val="1"/>
      </w:pPr>
      <w:r>
        <w:t xml:space="preserve">Visto l’art. 100, comma 2, della Costituzione; </w:t>
      </w:r>
    </w:p>
    <w:p w:rsidR="005A1266" w:rsidRDefault="005A1266" w:rsidP="005A1266">
      <w:pPr>
        <w:shd w:val="clear" w:color="auto" w:fill="FEFEFE"/>
        <w:spacing w:after="0" w:line="20" w:lineRule="atLeast"/>
        <w:jc w:val="both"/>
        <w:outlineLvl w:val="1"/>
      </w:pPr>
      <w:r>
        <w:t xml:space="preserve">Vista la legge costituzionale 18 ottobre 2001, n. 3; </w:t>
      </w:r>
    </w:p>
    <w:p w:rsidR="005A1266" w:rsidRDefault="005A1266" w:rsidP="005A1266">
      <w:pPr>
        <w:shd w:val="clear" w:color="auto" w:fill="FEFEFE"/>
        <w:spacing w:after="0" w:line="20" w:lineRule="atLeast"/>
        <w:jc w:val="both"/>
        <w:outlineLvl w:val="1"/>
      </w:pPr>
      <w:r>
        <w:t xml:space="preserve">Visto il testo unico delle leggi sulla Corte dei conti, approvato con regio decreto 12 luglio 1934, n. 1214 e successive modificazioni; </w:t>
      </w:r>
    </w:p>
    <w:p w:rsidR="005A1266" w:rsidRDefault="005A1266" w:rsidP="005A1266">
      <w:pPr>
        <w:shd w:val="clear" w:color="auto" w:fill="FEFEFE"/>
        <w:spacing w:after="0" w:line="20" w:lineRule="atLeast"/>
        <w:jc w:val="both"/>
        <w:outlineLvl w:val="1"/>
      </w:pPr>
      <w:r>
        <w:t xml:space="preserve">Vista la legge 14 gennaio 1994, n. 20, recante disposizioni in materia di giurisdizione e controllo della Corte dei conti; </w:t>
      </w:r>
    </w:p>
    <w:p w:rsidR="005A1266" w:rsidRDefault="005A1266" w:rsidP="005A1266">
      <w:pPr>
        <w:shd w:val="clear" w:color="auto" w:fill="FEFEFE"/>
        <w:spacing w:after="0" w:line="20" w:lineRule="atLeast"/>
        <w:jc w:val="both"/>
        <w:outlineLvl w:val="1"/>
      </w:pPr>
      <w:r>
        <w:t xml:space="preserve">Vista la legge 5 giugno 2003, n. 131, recante disposizioni per l’adeguamento dell’ordinamento della Repubblica alla legge costituzionale 18 ottobre 2001, n. 3, ed in particolare l’art. 7, commi 7 e 8; </w:t>
      </w:r>
    </w:p>
    <w:p w:rsidR="005A1266" w:rsidRDefault="005A1266" w:rsidP="005A1266">
      <w:pPr>
        <w:shd w:val="clear" w:color="auto" w:fill="FEFEFE"/>
        <w:spacing w:after="0" w:line="20" w:lineRule="atLeast"/>
        <w:jc w:val="both"/>
        <w:outlineLvl w:val="1"/>
      </w:pPr>
      <w:r>
        <w:t xml:space="preserve">Visto il decreto-legge 10 ottobre 2012, n. 174, convertito dalla legge 7 dicembre 2012, n. 213 e successive modificazioni, recante «Disposizioni in materia di gestione finanziaria e di funzionamento degli enti territoriali e locali, nonché ulteriori disposizioni in favore delle aree colpite dal sisma del maggio 2012»; Visto, in particolare, l’art. 6, comma 3, del decretolegge n. 174/2012, in forza del quale «la Sezione delle autonomie della Corte dei conti, sentite le regioni e le province autonome, definisce le metodologie necessarie per lo svolgimento dei controlli per la verifica dell’attuazione delle misure dirette alla razionalizzazione della spesa pubblica degli enti territoriali»; </w:t>
      </w:r>
    </w:p>
    <w:p w:rsidR="005A1266" w:rsidRDefault="005A1266" w:rsidP="005A1266">
      <w:pPr>
        <w:shd w:val="clear" w:color="auto" w:fill="FEFEFE"/>
        <w:spacing w:after="0" w:line="20" w:lineRule="atLeast"/>
        <w:jc w:val="both"/>
        <w:outlineLvl w:val="1"/>
      </w:pPr>
      <w:r>
        <w:t xml:space="preserve">Vista la deliberazione della Sezione delle autonomie n. 3/SEZAUT/2019/INPR, depositata il 4 febbraio 2019, con la quale è stato approvato il programma delle attività di controllo per l’anno 2019; </w:t>
      </w:r>
    </w:p>
    <w:p w:rsidR="005A1266" w:rsidRDefault="005A1266" w:rsidP="005A1266">
      <w:pPr>
        <w:shd w:val="clear" w:color="auto" w:fill="FEFEFE"/>
        <w:spacing w:after="0" w:line="20" w:lineRule="atLeast"/>
        <w:jc w:val="both"/>
        <w:outlineLvl w:val="1"/>
      </w:pPr>
      <w:r>
        <w:t xml:space="preserve">Visto il regolamento per l’organizzazione delle funzioni di controllo della Corte dei conti approvato dalle Sezioni riunite con la deliberazione n. 14 del 16 giugno 2000 e successive modificazioni; </w:t>
      </w:r>
    </w:p>
    <w:p w:rsidR="005A1266" w:rsidRDefault="005A1266" w:rsidP="005A1266">
      <w:pPr>
        <w:shd w:val="clear" w:color="auto" w:fill="FEFEFE"/>
        <w:spacing w:after="0" w:line="20" w:lineRule="atLeast"/>
        <w:jc w:val="both"/>
        <w:outlineLvl w:val="1"/>
      </w:pPr>
      <w:r>
        <w:t xml:space="preserve">Vista la richiesta formulata si sensi dell’art. 30, comma 3, della legge 30 ottobre 2014, n. 161 dal Presidente della Sezione delle autonomie e la successiva nota in data 20 giugno 2019 con la quale il Ministro dell’economia e delle finanze ha consentito l’accesso alla banca dati OpenCivitas curata dalla SOSE (Soluzioni per il sistema economico Spa); </w:t>
      </w:r>
    </w:p>
    <w:p w:rsidR="005A1266" w:rsidRDefault="005A1266" w:rsidP="005A1266">
      <w:pPr>
        <w:shd w:val="clear" w:color="auto" w:fill="FEFEFE"/>
        <w:spacing w:after="0" w:line="20" w:lineRule="atLeast"/>
        <w:jc w:val="both"/>
        <w:outlineLvl w:val="1"/>
      </w:pPr>
      <w:r>
        <w:t xml:space="preserve">Sentita la Conferenza delle regioni e delle province autonome che, con nota prot n. 4417/C2-FIN in data 18 luglio 2019, ha condiviso il contenuto delle metodologie per la revisione della spesa degli enti territoriali elaborate da questa Sezione delle autonomie; </w:t>
      </w:r>
    </w:p>
    <w:p w:rsidR="005A1266" w:rsidRDefault="005A1266" w:rsidP="005A1266">
      <w:pPr>
        <w:shd w:val="clear" w:color="auto" w:fill="FEFEFE"/>
        <w:spacing w:after="0" w:line="20" w:lineRule="atLeast"/>
        <w:jc w:val="both"/>
        <w:outlineLvl w:val="1"/>
      </w:pPr>
      <w:r>
        <w:t xml:space="preserve">Vista la nota del Presidente della Corte dei conti n. 472 del 16 luglio 2019 di convocazione dell’odierna adunanza della Sezione delle autonomie; </w:t>
      </w:r>
    </w:p>
    <w:p w:rsidR="005A1266" w:rsidRDefault="005A1266" w:rsidP="005A1266">
      <w:pPr>
        <w:shd w:val="clear" w:color="auto" w:fill="FEFEFE"/>
        <w:spacing w:after="0" w:line="20" w:lineRule="atLeast"/>
        <w:jc w:val="both"/>
        <w:outlineLvl w:val="1"/>
      </w:pPr>
      <w:r>
        <w:t xml:space="preserve">Uditi i relatori, Consiglieri Carmela Iamele e Valeria Franchi; </w:t>
      </w:r>
    </w:p>
    <w:p w:rsidR="005A1266" w:rsidRDefault="005A1266" w:rsidP="005A1266">
      <w:pPr>
        <w:shd w:val="clear" w:color="auto" w:fill="FEFEFE"/>
        <w:spacing w:after="0" w:line="20" w:lineRule="atLeast"/>
        <w:jc w:val="both"/>
        <w:outlineLvl w:val="1"/>
      </w:pPr>
      <w:r>
        <w:t xml:space="preserve">Delibera: </w:t>
      </w:r>
    </w:p>
    <w:p w:rsidR="005A1266" w:rsidRDefault="005A1266" w:rsidP="005A1266">
      <w:pPr>
        <w:shd w:val="clear" w:color="auto" w:fill="FEFEFE"/>
        <w:spacing w:after="0" w:line="20" w:lineRule="atLeast"/>
        <w:jc w:val="both"/>
        <w:outlineLvl w:val="1"/>
      </w:pPr>
      <w:proofErr w:type="gramStart"/>
      <w:r>
        <w:t>di</w:t>
      </w:r>
      <w:proofErr w:type="gramEnd"/>
      <w:r>
        <w:t xml:space="preserve"> approvare gli uniti documenti, che formano parte integrante della presente deliberazione, riguardanti le «Metodologie per l’attuazione dell’art. 6, comma 3, del decreto-legge 10 ottobre 2012, n. 174 convertito con modificazioni dall’art. 1, comma 1, della legge 7 dicembre 2012, n. 213» ed il relativo questionario. La presente deliberazione sarà pubblicata nella Gazzetta Ufficiale della Repubblica italiana.</w:t>
      </w:r>
    </w:p>
    <w:p w:rsidR="005A1266" w:rsidRDefault="005A1266" w:rsidP="005A1266">
      <w:pPr>
        <w:shd w:val="clear" w:color="auto" w:fill="FEFEFE"/>
        <w:spacing w:after="0" w:line="20" w:lineRule="atLeast"/>
        <w:jc w:val="both"/>
        <w:outlineLvl w:val="1"/>
      </w:pPr>
      <w:r>
        <w:t xml:space="preserve"> Così deliberato in Roma nell’adunanza del 22 luglio 2019. </w:t>
      </w:r>
    </w:p>
    <w:p w:rsidR="005A1266" w:rsidRDefault="005A1266" w:rsidP="005A1266">
      <w:pPr>
        <w:shd w:val="clear" w:color="auto" w:fill="FEFEFE"/>
        <w:spacing w:after="0" w:line="20" w:lineRule="atLeast"/>
        <w:jc w:val="both"/>
        <w:outlineLvl w:val="1"/>
      </w:pPr>
      <w:r>
        <w:t xml:space="preserve">Il Presidente: BUSCEMA I relatori: IAMELE - FRANCHI Depositata in segreteria il 24 luglio 2019 Il dirigente: PROZZO </w:t>
      </w:r>
    </w:p>
    <w:p w:rsidR="005A1266" w:rsidRDefault="005A1266" w:rsidP="005A1266">
      <w:pPr>
        <w:shd w:val="clear" w:color="auto" w:fill="FEFEFE"/>
        <w:spacing w:after="0" w:line="20" w:lineRule="atLeast"/>
        <w:jc w:val="both"/>
        <w:outlineLvl w:val="1"/>
      </w:pPr>
    </w:p>
    <w:p w:rsidR="005A1266" w:rsidRDefault="005A1266" w:rsidP="005A1266">
      <w:pPr>
        <w:shd w:val="clear" w:color="auto" w:fill="FEFEFE"/>
        <w:spacing w:after="0" w:line="20" w:lineRule="atLeast"/>
        <w:jc w:val="both"/>
        <w:outlineLvl w:val="1"/>
      </w:pPr>
      <w:r>
        <w:t xml:space="preserve">METODOLOGIE PER L’ATTUAZIONE DELL’ART. 6, COMMA 3, DEL DECRETO-LEGGE 10 OTTOBRE 2012, N. 174 CONVERTITO CON MODIFICAZIONI DALL’ART. 1, COMMA 1, DELLA LEGGE 7 DICEMBRE 2012, N. 213. Premessa. </w:t>
      </w:r>
    </w:p>
    <w:p w:rsidR="005A1266" w:rsidRDefault="005A1266" w:rsidP="005A1266">
      <w:pPr>
        <w:shd w:val="clear" w:color="auto" w:fill="FEFEFE"/>
        <w:spacing w:after="0" w:line="20" w:lineRule="atLeast"/>
        <w:jc w:val="both"/>
        <w:outlineLvl w:val="1"/>
      </w:pPr>
      <w:r>
        <w:t xml:space="preserve">L’Organizzazione per la cooperazione e lo sviluppo economico definisce (1) la revisione della spesa (in seguito, RS) come un vero e proprio processo di valutazione della performance delle politiche pubbliche, contraddistinto dalla individuazione ex ante , da parte delle singole amministrazioni, di specifici piani di riduzione della spesa, da perseguirsi attraverso una sua ristrutturazione ad obiettivi immutati (revisione funzionale) ovvero mediante una riparametrazione degli stessi (revisione strategica). </w:t>
      </w:r>
    </w:p>
    <w:p w:rsidR="005A1266" w:rsidRDefault="005A1266" w:rsidP="005A1266">
      <w:pPr>
        <w:shd w:val="clear" w:color="auto" w:fill="FEFEFE"/>
        <w:spacing w:after="0" w:line="20" w:lineRule="atLeast"/>
        <w:jc w:val="both"/>
        <w:outlineLvl w:val="1"/>
      </w:pPr>
      <w:r>
        <w:t xml:space="preserve">Sulla base di tali concetti, sembrano lontani da tale accezione di RS tutti quegli interventi normativi, quelle manovre di taglio della spesa pubblica che non comportano una riconsiderazione dei processi e dei prodotti </w:t>
      </w:r>
      <w:r>
        <w:lastRenderedPageBreak/>
        <w:t xml:space="preserve">offerti dalla pubblica amministrazione o, in altri termini, che prescindono da qualsiasi valutazione dei programmi di spesa e della loro efficacia. Anche la Sezione delle autonomie, nella deliberazione n. 20/FRG del 2014 (2) , ha differenziato la RS «ideale» da quella «storica»: la prima ha l’obiettivo principale di individuare misure di risparmio selettivo e di contrasto agli sprechi, fondate su una valutazione di sistema della spesa pubblica, che ne individui sia le priorità che i meccanismi di controllo, mentre la seconda si è tradotta in varie norme, quali, ad esempio, il decreto-legge 7 maggio 2012, n. 52, convertito dalla legge 6 luglio 2012, n. 94 (c.d. Spending Review n. 1), il decreto-legge 6 luglio 2012, n. 95, convertito dalla legge 7 agosto 2012, n. 135 (c.d. Spending Review n. 2) ed il decreto-legge 24 aprile 2014, n. 66, convertito dalla legge 23 giugno 2014, n. 89. (1) Cfr. il documento OECD, Spending Review, GOV/PGC/SBO 82013) 6, 28 maggio 2013. (2) Relazione al Parlamento sugli andamenti della finanza territoriale per gli anni 2011-2012-2013. </w:t>
      </w:r>
    </w:p>
    <w:p w:rsidR="005A1266" w:rsidRDefault="005A1266" w:rsidP="005A1266">
      <w:pPr>
        <w:shd w:val="clear" w:color="auto" w:fill="FEFEFE"/>
        <w:spacing w:after="0" w:line="20" w:lineRule="atLeast"/>
        <w:jc w:val="both"/>
        <w:outlineLvl w:val="1"/>
      </w:pPr>
      <w:r>
        <w:t xml:space="preserve">In coerenza con tale quadro concettuale, anche altre articolazioni della Corte hanno dedicato a tale ultima tipologia di RS grande attenzione, affrontando vari suoi profili (3). </w:t>
      </w:r>
    </w:p>
    <w:p w:rsidR="005A1266" w:rsidRDefault="005A1266" w:rsidP="005A1266">
      <w:pPr>
        <w:shd w:val="clear" w:color="auto" w:fill="FEFEFE"/>
        <w:spacing w:after="0" w:line="20" w:lineRule="atLeast"/>
        <w:jc w:val="both"/>
        <w:outlineLvl w:val="1"/>
      </w:pPr>
      <w:r>
        <w:t xml:space="preserve">1. L’attuale quadro normativo. </w:t>
      </w:r>
    </w:p>
    <w:p w:rsidR="005A1266" w:rsidRDefault="005A1266" w:rsidP="005A1266">
      <w:pPr>
        <w:shd w:val="clear" w:color="auto" w:fill="FEFEFE"/>
        <w:spacing w:after="0" w:line="20" w:lineRule="atLeast"/>
        <w:jc w:val="both"/>
        <w:outlineLvl w:val="1"/>
      </w:pPr>
      <w:r>
        <w:t xml:space="preserve">L’art. 6, comma 3, del decreto-legge 10 ottobre 2012, n. 174 dispone che «la Sezione delle autonomie della Corte dei conti … definisce le metodologie necessarie per lo svolgimento dei controlli per la verifica dell’attuazione delle misure dirette alla razionalizzazione della spesa pubblica degli enti territoriali. </w:t>
      </w:r>
    </w:p>
    <w:p w:rsidR="005A1266" w:rsidRDefault="005A1266" w:rsidP="005A1266">
      <w:pPr>
        <w:shd w:val="clear" w:color="auto" w:fill="FEFEFE"/>
        <w:spacing w:after="0" w:line="20" w:lineRule="atLeast"/>
        <w:jc w:val="both"/>
        <w:outlineLvl w:val="1"/>
      </w:pPr>
      <w:r>
        <w:t>Le Sezioni regionali effettuano i controlli in base alle metodologie suddette e, in presenza di criticità della gestione, assegnano alle amministrazioni interessate un termine, non superiore a trenta giorni, per l’adozione delle necessarie misure, dirette a rimuovere le criticità gestionali evidenziate e vigilano sull’attuazione delle misure correttive adottate. La Sezione delle autonomie riferisce al Parlamento in base agli esiti dei controlli effettuati».</w:t>
      </w:r>
    </w:p>
    <w:p w:rsidR="005A1266" w:rsidRDefault="005A1266" w:rsidP="005A1266">
      <w:pPr>
        <w:shd w:val="clear" w:color="auto" w:fill="FEFEFE"/>
        <w:spacing w:after="0" w:line="20" w:lineRule="atLeast"/>
        <w:jc w:val="both"/>
        <w:outlineLvl w:val="1"/>
      </w:pPr>
      <w:r>
        <w:t xml:space="preserve">La norma è stata scrutinata favorevolmente dalla Corte costituzionale che, con la sentenza n. 39 del 2014, ha fornito sulle stesse rilevanti coordinate ermeneutiche soprattutto sotto il profilo della natura di tali verifiche. </w:t>
      </w:r>
    </w:p>
    <w:p w:rsidR="005A1266" w:rsidRDefault="005A1266" w:rsidP="005A1266">
      <w:pPr>
        <w:shd w:val="clear" w:color="auto" w:fill="FEFEFE"/>
        <w:spacing w:after="0" w:line="20" w:lineRule="atLeast"/>
        <w:jc w:val="both"/>
        <w:outlineLvl w:val="1"/>
      </w:pPr>
      <w:r>
        <w:t>È stato innanzitutto escluso che tali norme siano lesive delle autonomie territoriali «in quanto non determinano misure repressive e sanzionatorie sugli enti controllati, rimettendo alle amministrazioni controllate l’adozione delle misure correttive in esito alle eventuali situazioni critiche della gestione rilevate dalle sezioni regionali della Corte dei conti.»</w:t>
      </w:r>
    </w:p>
    <w:p w:rsidR="005A1266" w:rsidRDefault="005A1266" w:rsidP="005A1266">
      <w:pPr>
        <w:shd w:val="clear" w:color="auto" w:fill="FEFEFE"/>
        <w:spacing w:after="0" w:line="20" w:lineRule="atLeast"/>
        <w:jc w:val="both"/>
        <w:outlineLvl w:val="1"/>
      </w:pPr>
      <w:r>
        <w:t xml:space="preserve"> D’altra parte, tale disciplina, «in quanto strumentale a più tipi di attività di controllo, rimane nell’alveo dei controlli di natura collaborativa e di quelli di legittimità-regolarità istituiti per assicurare il rispetto dei vincoli derivanti dal diritto dell’Unione europea, in quanto limitati all’applicazione di metodologie di controllo della spesa pubblica degli enti territoriali funzionali ad assicurare, in vista della tutela dell’unità economica della Repubblica e del coordinamento della “finanza pubblica allargata” ..., la sana gestione finanziaria del complesso degli enti territoriali, nonché il rispetto ... degli obiettivi di Governo dei conti pubblici concordati in sede europea». </w:t>
      </w:r>
    </w:p>
    <w:p w:rsidR="005A1266" w:rsidRDefault="005A1266" w:rsidP="005A1266">
      <w:pPr>
        <w:shd w:val="clear" w:color="auto" w:fill="FEFEFE"/>
        <w:spacing w:after="0" w:line="20" w:lineRule="atLeast"/>
        <w:jc w:val="both"/>
        <w:outlineLvl w:val="1"/>
      </w:pPr>
      <w:r>
        <w:t xml:space="preserve">Ciò premesso, occorre considerare che gli interventi in tema di risparmio di spese sono stati avviati, invero, fin dal 2011, quando la crisi economica imponeva il ricorso a politiche di bilancio di tipo restrittivo. Nell’attuale quadro normativo, le specifiche norme di legge che si sono succedute - dal decreto-legge 6 luglio 2012, n. 95 convertito dalla legge 7 agosto 2012, n. 135 (c.d. Spending review n. 2) fino alle più recenti disposizioni (legge 30 dicembre 2018, n. 145 - legge di bilancio 2019 sul conseguimento del risultato di competenza non negativo, determinato ai sensi del decreto legislativo n. 118/2018) - perseguono, da un lato, l’obiettivo del superamento del criterio della spesa storica e, dall’altro, spingono la discrezionalità degli enti ad indirizzarsi verso una riallocazione selettiva delle risorse, promuovendone un impiego efficiente. Con riferimento al primo obiettivo, un ruolo importante è svolto dai fabbisogni </w:t>
      </w:r>
      <w:proofErr w:type="gramStart"/>
      <w:r>
        <w:t>standard ,</w:t>
      </w:r>
      <w:proofErr w:type="gramEnd"/>
      <w:r>
        <w:t xml:space="preserve"> introdotti dall’art. 2, lettera f, della legge n. 42/2009, che fungono da criterio di ripartizione del fondo di solidarietà comunale, secondo una misura che, nelle leggi di stabilità succedutesi dal 2015 al 2018, è stata fissata, rispettivamente, nel 20%, 30%, 40% e 55% al fine di determinarne i trasferimenti perequativi (4) . I fabbisogni standard di (3) Cfr., da ultimo, sul ruolo della RS nell’ambito delle politiche di bilancio Corte dei conti, Sezioni riunite in sede di controllo, Rapporto di coordinamento della finanza pubblica 2018, 12 luglio 2018, pagg. 159 e segg. </w:t>
      </w:r>
    </w:p>
    <w:p w:rsidR="005A1266" w:rsidRDefault="005A1266" w:rsidP="005A1266">
      <w:pPr>
        <w:shd w:val="clear" w:color="auto" w:fill="FEFEFE"/>
        <w:spacing w:after="0" w:line="20" w:lineRule="atLeast"/>
        <w:jc w:val="both"/>
        <w:outlineLvl w:val="1"/>
      </w:pPr>
      <w:r>
        <w:t xml:space="preserve">La Sezione centrale di controllo sulla gestione, con deliberazione n. 23/G/2014, ha approvato la relazione su «Gli interventi di riduzione degli assetti organizzativi e delle dotazioni organiche delle amministrazioni dello Stato» relativa a 16 ministeri. </w:t>
      </w:r>
    </w:p>
    <w:p w:rsidR="005A1266" w:rsidRDefault="005A1266" w:rsidP="005A1266">
      <w:pPr>
        <w:shd w:val="clear" w:color="auto" w:fill="FEFEFE"/>
        <w:spacing w:after="0" w:line="20" w:lineRule="atLeast"/>
        <w:jc w:val="both"/>
        <w:outlineLvl w:val="1"/>
      </w:pPr>
      <w:r>
        <w:lastRenderedPageBreak/>
        <w:t xml:space="preserve">Numerose Sezioni di controllo, pur fuori dallo schema di cui all’art. 6 decretolegge n. 174/2012, hanno fornito il loro contributo con approfondite indagini in materia di Rs. Cfr. Sezione di controllo per la Regione Siciliana, deliberazioni n. 417/2013, in materia di partecipate della Regione siciliana, e n. 402/2013, recante una specifica indagine sulle partecipate delle province e dei comuni capoluogo della regione; Sezione regionale di controllo per il Lazio, in tema di sanità, Relazione di accompagnamento alla decisione di parifica per l’esercizio finanziario 2013-vol. II, par. 7.2. (4) Come nella ripartizione illustrata in precedenza le risorse sono assegnate agli enti in base a quote percentuali che s’incrementano di anno in anno: 20% nel 2015, 30% nel 2016, 40% nel 2017, 55% nel 2018, e così via. </w:t>
      </w:r>
      <w:proofErr w:type="gramStart"/>
      <w:r>
        <w:t>ciascun</w:t>
      </w:r>
      <w:proofErr w:type="gramEnd"/>
      <w:r>
        <w:t xml:space="preserve"> ente, elaborati da un’apposita Commissione centrale incardinata presso il Ministero dell’economia e delle finanze (art. 1, comma 29, della legge di stabilità 2016) e annualmente rideterminati con uno specifico decreto, sono stati trasfusi in appositi decreto del Presidente del Consiglio dei ministri, che definiscono di anno in anno l’entità di ciascuna assegnazione di risorse ai singoli comuni (art. 1, comma 32, legge di stabilità 2016). Sin dalla loro definizione normativa, i fabbisogni standard hanno svolto un ruolo significativo in tema di RS, perché declinano le esigenze finanziarie dell’ente locale, assicurando la giusta misura tra costi e prestazioni. Essi non rappresentano, però, solo un criterio per l’attribuzione delle risorse, tanto è vero che il comma 2 dell’art. 2 citato definisce i costi e i fabbisogni standard come indicatori che, «valorizzando l’efficienza e l’efficacia», consentono di comparare e valutare l’azione pubblica.</w:t>
      </w:r>
    </w:p>
    <w:p w:rsidR="005A1266" w:rsidRDefault="005A1266" w:rsidP="005A1266">
      <w:pPr>
        <w:shd w:val="clear" w:color="auto" w:fill="FEFEFE"/>
        <w:spacing w:after="0" w:line="20" w:lineRule="atLeast"/>
        <w:jc w:val="both"/>
        <w:outlineLvl w:val="1"/>
      </w:pPr>
      <w:r>
        <w:t xml:space="preserve">In sintesi, a partire dal 2010, dalla fase dei tagli lineari alle risorse ancora quantificate in base alla spesa storica, si passa, poi, nel 2015 a prevedere l’allocazione di una quota crescente dei trasferimenti ai comuni a copertura delle funzioni/servizi fondamentali, enunciate in base alla differenza tra fabbisogni standard e capacità fiscale. Non va sottaciuta, infine, la circostanza che, dopo un periodo che ha registrato un certo calo di attenzione nei confronti delle problematiche connesse alla RS, entrambe le risoluzioni parlamentari con le quali è stato approvato il Documento di economia e finanza 2019 hanno impegnato il Governo «ad adottare un piano di razionalizzazione, riqualificazione e di revisione della spesa pubblica ed in particolare delle amministrazioni pubbliche, di cui all’art. 1, comma 2, della legge 31 dicembre 2009, n. 196, degli enti pubblici, nonché delle società controllate direttamente o indirettamente da amministrazioni pubbliche che non emettono strumenti finanziari in mercati regolamentati.» Il presente documento, pertanto, intende fornire in materia, seppur sotto il profilo limitato agli enti territoriali, il contributo neutrale ed indipendente di questa Corte. </w:t>
      </w:r>
    </w:p>
    <w:p w:rsidR="005A1266" w:rsidRDefault="005A1266" w:rsidP="005A1266">
      <w:pPr>
        <w:shd w:val="clear" w:color="auto" w:fill="FEFEFE"/>
        <w:spacing w:after="0" w:line="20" w:lineRule="atLeast"/>
        <w:jc w:val="both"/>
        <w:outlineLvl w:val="1"/>
      </w:pPr>
      <w:r>
        <w:t xml:space="preserve">2. Gli strumenti per le verifiche sulla razionalizzazione della spesa. </w:t>
      </w:r>
    </w:p>
    <w:p w:rsidR="005A1266" w:rsidRDefault="005A1266" w:rsidP="005A1266">
      <w:pPr>
        <w:shd w:val="clear" w:color="auto" w:fill="FEFEFE"/>
        <w:spacing w:after="0" w:line="20" w:lineRule="atLeast"/>
        <w:jc w:val="both"/>
        <w:outlineLvl w:val="1"/>
      </w:pPr>
      <w:r>
        <w:t xml:space="preserve">Definito il quadro normativo, occorre precisare che le linee-guida emanate da questa Sezione, sebbene siano finalizzate, in via primaria, ad uniformare le attività di verifica svolte dalle Sezioni regionali, hanno, altresì, lo scopo di sostenere il continuo processo di cambiamento del management degli enti territoriali. Per tale ragione le metodologie necessarie ad effettuare i controlli volti alla verifica dell’attuazione delle misure dirette alla razionalizzazione della spesa pubblica, utilizzando gli indicatori della banca dati Opencivitas. </w:t>
      </w:r>
      <w:proofErr w:type="gramStart"/>
      <w:r>
        <w:t>rappresentano</w:t>
      </w:r>
      <w:proofErr w:type="gramEnd"/>
      <w:r>
        <w:t xml:space="preserve"> uno strumento di ausilio nella gestione delle risorse pubbliche locali che deve incidere positivamente nel sistema di governance in cui l’ente è inserito. In particolare, l’applicazione di tali metodologie deve condurre gli amministratori verso una nuova cultura gestionale adattata al relativo contesto amministrato, abbandonando definitivamente la mera adesione ad uno schema standardizzato di formalismo comportamentale burocratico imposto dall’esterno. In considerazione delle notizie che forniscono sul piano sistematico ai decisori pubblici, occorre, pertanto, utilizzare gli indicatori e i questionari, oltre che sotto il profilo dell’osservanza formale di un obbligo, anche per ottimizzare i risultati del processo decisionale, nella consapevolezza che il management trasforma le informazioni nella selezione delle politiche pubbliche locali. Le indicazioni fornite da Opencivitas e sistematizzate nei questionari elaborati da questa Sezione rappresentano uno schema avanzato per comporre ad unità fattori interni ed esterni all’ente locale e per l’implementazione dei sistemi di programmazione, di controllo, di valutazione e di rendicontazione. L’analisi degli indicatori Opencivitas e delle risultanze delle verifiche eseguite dalle Sezioni regionali di controllo deve promuovere relazioni dialogiche interne all’ente locale consentendo il confronto tra l’Organo politico e la struttura amministrativa sulle scelte operate, sulle attività svolte, sul livello dei servizi resi e, alla luce delle criticità riscontrate, sulle iniziative da intraprendere per superare anche eventuali criticità gestionali. Questa Corte ha più volte sottolineato l’importanza della programmazione nel suo aspetto dinamico e pluralistico in un’ottica di maggiore efficienza ed efficacia dell’azione amministrativa. Il nuovo modo di intendere la programmazione, la gestione e la rendicontazione delle spese pubbliche valorizza la </w:t>
      </w:r>
      <w:r>
        <w:lastRenderedPageBreak/>
        <w:t>variabile temporale nell’impiego delle risorse acquisite (Sez. autonomie, deliberazione n. 4/2015), ponendo l’attenzione sulla sostenibilità della gestione necessaria ad assicurare gli equilibri finanziari del bilancio</w:t>
      </w:r>
    </w:p>
    <w:p w:rsidR="005A1266" w:rsidRDefault="005A1266" w:rsidP="005A1266">
      <w:pPr>
        <w:shd w:val="clear" w:color="auto" w:fill="FEFEFE"/>
        <w:spacing w:after="0" w:line="20" w:lineRule="atLeast"/>
        <w:jc w:val="both"/>
        <w:outlineLvl w:val="1"/>
      </w:pPr>
      <w:r>
        <w:t xml:space="preserve">Tale aspetto è stato più volte ribadito anche dalla giurisprudenza costituzionale che ha indicato concretamente, quale metodo di gestione volto ad assicurare il permanere degli equilibri di bilancio, il rispetto dei principi contabili mediante un coinvolgimento di tutti i responsabili affinché le amministrazioni pubbliche territoriali possano dotarsi di strumenti di programmazione e di rendicontazione che siano fedelmente rappresentativi della loro situazione economico-finanziaria e pienamente rispettosi dei canoni della sana gestione finanziaria e contabile tutelati dal novellato art. 97 della Costituzione. L’ente locale, quale sistema organico che organizza gli apparati amministrativi a cui sono intestate le prerogative gestionale per attuare le attività necessarie all’erogazione dei servizi, deve formulare le linee programmatiche tenendo conto anche delle risultanze del controllo di gestione. </w:t>
      </w:r>
    </w:p>
    <w:p w:rsidR="005A1266" w:rsidRDefault="005A1266" w:rsidP="005A1266">
      <w:pPr>
        <w:shd w:val="clear" w:color="auto" w:fill="FEFEFE"/>
        <w:spacing w:after="0" w:line="20" w:lineRule="atLeast"/>
        <w:jc w:val="both"/>
        <w:outlineLvl w:val="1"/>
      </w:pPr>
      <w:r>
        <w:t xml:space="preserve">Questo, infatti, comprende una serie di operazioni attraverso le quali i responsabili dei servizi verificano continuamente il perseguimento degli obiettivi, assegnati preventivamente, impiegando le risorse con criteri di economicità. Funzionalmente la RS collegata alla compilazione dei questionari deve essenzialmente rientrare, per affinità di materia e per la natura delle informazioni che utilizza, nella competenza del responsabile del controllo di gestione di ciascun ente locale. In tal senso, le note metodologiche di cui al decreto del Presidente del Consiglio dei ministri 23 luglio 2014 precisano che il «... controllo di gestione ha la finalità di assicurare il coordinamento dei processi di pianificazione, approvvigionamento, gestione contabile e controllo delle risorse economiche e finanziarie dell’Ente». La valenza della funzione di coordinamento risulta ancora più pregnante con riferimento alla particolare complessità di un ente locale dovuta al suo spiccato polimorfismo funzionale e organizzativo, ai frequenti mutamenti delle competenze attribuite ovvero delle risorse assegnate dalla legislazione nazionale e alle pressanti dinamiche dei contesti (direttamente) governati. </w:t>
      </w:r>
    </w:p>
    <w:p w:rsidR="005A1266" w:rsidRDefault="005A1266" w:rsidP="005A1266">
      <w:pPr>
        <w:shd w:val="clear" w:color="auto" w:fill="FEFEFE"/>
        <w:spacing w:after="0" w:line="20" w:lineRule="atLeast"/>
        <w:jc w:val="both"/>
        <w:outlineLvl w:val="1"/>
      </w:pPr>
      <w:r>
        <w:t>Il sistema informativo Opencivitas, combinato, a monte, con un sistema di controllo e, a valle, con una sana gestione finanziaria, può sostenere i processi di cambiamento culturale ed organizzativo indispensabili per adottare effettive misure di RS, pur mantenendo un adeguato livello di prestazione dei servizi resi alla comunità. In definitiva, anche secondo i già delineati indirizzi interpretativi della Corte costituzionale il complessivo quadro normativo orienta la verifica dell’attuazione delle misure di razionalizzazione della spesa degli enti locali, da una parte, verso il riscontro dell’ottemperanza alla normativa innanzi citata sul suo contenimento, e, dall’altra, verso la valutazione dell’adeguatezza tra le risorse impiegate ed i risultati conseguiti, come presupposto per la sostenibilità e gli equilibri dei bilanci. Da ciò consegue che, al tradizionale controllo di legittimità-regolarità contabile, occorre affiancare strumenti di verifica che consentano di svolgere un vero e proprio «controllo sulla gestione» dell’ente, avvalendosi di indicatori complessi in grado di cogliere i rapporti tra input -risorse finanziarie e output -livello dei servizi. Con riferimento agli indicatori citati, l’apposito Gruppo di lavoro istituito presso la Sezione delle autonomie ha ritenuto di individuarne una utile fonte nella banca dati Opencivitas (gestita dalla Sose s.p.a., partecipata del Ministero dell’economia e delle finanze) che - occorre sottolineare - rende pubblici ai cittadini e agli enti stessi, per ciascun comune delle Regioni a statuto ordinario, i c.d. «fabbisogni standard », calcolati come le risorse finanziare ottimali in grado di finanziarie le funzioni e i servizi fondamentali intestati agli enti. Tale calcolo richiede la raccolta di numerosi dati forniti dagli Enti stessi (5</w:t>
      </w:r>
      <w:proofErr w:type="gramStart"/>
      <w:r>
        <w:t>) ,</w:t>
      </w:r>
      <w:proofErr w:type="gramEnd"/>
      <w:r>
        <w:t xml:space="preserve"> oltre all’analisi delle caratteristiche territoriali e socio-demografiche dei territori, consentendo, tra l’altro, l’elaborazione di un indicatore riguardante i servizi resi, definito «livello quantitativo delle prestazioni», che approssima, in via conoscitiva, la funzione che sarà svolta dai livelli essenziali delle prestazioni (cc.dd. «LEP» ex art. 117, lettera m</w:t>
      </w:r>
      <w:proofErr w:type="gramStart"/>
      <w:r>
        <w:t>) ,</w:t>
      </w:r>
      <w:proofErr w:type="gramEnd"/>
      <w:r>
        <w:t xml:space="preserve"> della Costituzione), una volta che saranno individuati dal legislatore. Attualmente la banca dati Opencivitas, quindi, è in grado di fornire, con riferimento a ciascun comune e per alcuni servizi, un confronto tra spesa storica e fabbisogno </w:t>
      </w:r>
      <w:proofErr w:type="gramStart"/>
      <w:r>
        <w:t>standard ,</w:t>
      </w:r>
      <w:proofErr w:type="gramEnd"/>
      <w:r>
        <w:t xml:space="preserve"> da un lato, e tra livello effettivo delle prestazioni rese (a fronte della spesa storica sostenuta) e livello quantitativo delle prestazioni, dall’altro. In tal senso, Opencivitas non è solo un portale d’accesso alle informazioni degli enti locali, ma si profila anche come un’iniziativa che promuove la trasparenza e l’accessibilità alle informazioni sulla gestione delle risorse pubbliche. In pratica gli enti locali che intendono utilizzare il portale, possono analizzare i risultati gestionali conseguiti nelle funzioni fondamentali ed effettuare confronti di </w:t>
      </w:r>
      <w:proofErr w:type="gramStart"/>
      <w:r>
        <w:t>benchmark ,</w:t>
      </w:r>
      <w:proofErr w:type="gramEnd"/>
      <w:r>
        <w:t xml:space="preserve"> grazie ad alcuni parametri di giudizio rappresentati dagli indicatori (5) </w:t>
      </w:r>
    </w:p>
    <w:p w:rsidR="005A1266" w:rsidRDefault="005A1266" w:rsidP="005A1266">
      <w:pPr>
        <w:shd w:val="clear" w:color="auto" w:fill="FEFEFE"/>
        <w:spacing w:after="0" w:line="20" w:lineRule="atLeast"/>
        <w:jc w:val="both"/>
        <w:outlineLvl w:val="1"/>
      </w:pPr>
      <w:r>
        <w:t xml:space="preserve">Attraverso un questionario predisposto dalla Sose. </w:t>
      </w:r>
      <w:proofErr w:type="gramStart"/>
      <w:r>
        <w:t>idonei</w:t>
      </w:r>
      <w:proofErr w:type="gramEnd"/>
      <w:r>
        <w:t xml:space="preserve"> a testare l’efficienza e la qualità della spesa, in seno alle funzioni/ servizi fondamentali. </w:t>
      </w:r>
    </w:p>
    <w:p w:rsidR="005A1266" w:rsidRDefault="005A1266" w:rsidP="005A1266">
      <w:pPr>
        <w:shd w:val="clear" w:color="auto" w:fill="FEFEFE"/>
        <w:spacing w:after="0" w:line="20" w:lineRule="atLeast"/>
        <w:jc w:val="both"/>
        <w:outlineLvl w:val="1"/>
      </w:pPr>
      <w:r>
        <w:lastRenderedPageBreak/>
        <w:t xml:space="preserve">Grazie ad indicatori come l’efficacia, l’efficienza, la spesa pro capite e il peso del personale, gli enti locali sono messi in grado di conoscere il rapporto tra costi e risultati, nonché di misurare i vantaggi che nascono dal ricorso ai fabbisogni standard rispetto alla spesa storica. I valori assunti da questi due indicatori collocano graficamente ciascun comune in una matrice divisa in quattro settori che, attribuendo sostanzialmente un rating , individuano, rispettivamente, quattro classi di enti: quelli con spesa storica maggiore del fabbisogno e prestazioni inferiori allo standard (inefficienti); quelli con spesa storica inferiore al fabbisogno e prestazioni inferiori allo standard (inefficaci); quelli con spesa storica maggiore del fabbisogno e prestazioni superiori allo standard (che possiamo definire efficaci in deficit ); quelli con spesa storica inferiore al fabbisogno e prestazioni superiori allo standard (efficienti). La banca dati consente, inoltre, grazie ad una sezione apposita, di calibrare la valutazione effettuata sul singolo comune attraverso il confronto, anche interregionale, con altri enti aventi caratteristiche simili. Si tratta, in definitiva, di strumenti che, partendo dai profili finanziari, sono in grado di connettere questi, in via sintetica, con le capacità gestionali degli enti, prospettando all’operatore eventuali linee istruttorie per indagare le cause all’origine della mancata sostenibilità dei bilanci degli enti stessi. </w:t>
      </w:r>
    </w:p>
    <w:p w:rsidR="005A1266" w:rsidRDefault="005A1266" w:rsidP="005A1266">
      <w:pPr>
        <w:shd w:val="clear" w:color="auto" w:fill="FEFEFE"/>
        <w:spacing w:after="0" w:line="20" w:lineRule="atLeast"/>
        <w:jc w:val="both"/>
        <w:outlineLvl w:val="1"/>
      </w:pPr>
      <w:r>
        <w:t xml:space="preserve">Nella realtà odierna l’approccio metodologico consentito dai fabbisogni standard è considerato come una buona pratica sia con riguardo alla progettazione dei sistemi di finanziamento dei governi locali, ma anche, come fin qui prospettato, per la definizione di un controllo innovativo sulla gestione e sulla stabilità finanziaria degli enti stessi. </w:t>
      </w:r>
    </w:p>
    <w:p w:rsidR="005A1266" w:rsidRDefault="005A1266" w:rsidP="005A1266">
      <w:pPr>
        <w:shd w:val="clear" w:color="auto" w:fill="FEFEFE"/>
        <w:spacing w:after="0" w:line="20" w:lineRule="atLeast"/>
        <w:jc w:val="both"/>
        <w:outlineLvl w:val="1"/>
      </w:pPr>
      <w:r>
        <w:t>3. Le metodologie della Sezione delle autonomie ex art. 6, comma 3, del decreto-legge n. 174/2012:</w:t>
      </w:r>
    </w:p>
    <w:p w:rsidR="005A1266" w:rsidRDefault="005A1266" w:rsidP="005A1266">
      <w:pPr>
        <w:shd w:val="clear" w:color="auto" w:fill="FEFEFE"/>
        <w:spacing w:after="0" w:line="20" w:lineRule="atLeast"/>
        <w:jc w:val="both"/>
        <w:outlineLvl w:val="1"/>
      </w:pPr>
      <w:proofErr w:type="gramStart"/>
      <w:r>
        <w:t>il</w:t>
      </w:r>
      <w:proofErr w:type="gramEnd"/>
      <w:r>
        <w:t xml:space="preserve"> questionario normativo e le risultanze in termini di qualità della spesa nella banca dati Opencivitas . Come si è già anticipato, il contenuto della disposizione di cui all’art. 6, comma 3, del decreto-legge 10 ottobre 2012, n. 174 finisce per orientare l’elaborazione delle metodologie previste dalla norma impostandola sulla base di verifiche aventi, da una parte, per parametro le norme vigenti in tema di contenimento della spesa e di perseguimento degli equilibri di bilancio, secondo il criterio della salute finanziaria, e, sotto altro profilo, anche la valutazione degli indicatori gestionali di efficienza e qualità della spesa. L’ambito d’indagine, pertanto, viene articolato in due settori. </w:t>
      </w:r>
    </w:p>
    <w:p w:rsidR="005A1266" w:rsidRDefault="005A1266" w:rsidP="005A1266">
      <w:pPr>
        <w:shd w:val="clear" w:color="auto" w:fill="FEFEFE"/>
        <w:spacing w:after="0" w:line="20" w:lineRule="atLeast"/>
        <w:jc w:val="both"/>
        <w:outlineLvl w:val="1"/>
      </w:pPr>
      <w:r>
        <w:t xml:space="preserve">Il primo è volto alla verifica degli adempimenti normativi a fronte delle norme di contenimento della spesa, attraverso lo strumento consolidato del questionario normativo, nelle forme già adottate per i controlli di cui all’art. 1, comma 166, della legge 23 dicembre 2005, n. 266 (6). </w:t>
      </w:r>
    </w:p>
    <w:p w:rsidR="005A1266" w:rsidRDefault="005A1266" w:rsidP="005A1266">
      <w:pPr>
        <w:shd w:val="clear" w:color="auto" w:fill="FEFEFE"/>
        <w:spacing w:after="0" w:line="20" w:lineRule="atLeast"/>
        <w:jc w:val="both"/>
        <w:outlineLvl w:val="1"/>
      </w:pPr>
      <w:r>
        <w:t xml:space="preserve">Il secondo, invece, attraverso l’analisi dei dati disponibili sulla banca dati Opencivitas, è finalizzato alla valutazione dell’efficacia e della qualità della spesa, alla luce degli indicatori di spesa e gestionali descritti al paragrafo precedente, nonché delle analisi dei trend di spesa e del benchmarking tra enti. Più dettagliatamente, il questionario indirizza le verifiche in tre direzioni corrispondenti alla tre sezioni nel quale è suddiviso. </w:t>
      </w:r>
    </w:p>
    <w:p w:rsidR="005A1266" w:rsidRDefault="005A1266" w:rsidP="005A1266">
      <w:pPr>
        <w:shd w:val="clear" w:color="auto" w:fill="FEFEFE"/>
        <w:spacing w:after="0" w:line="20" w:lineRule="atLeast"/>
        <w:jc w:val="both"/>
        <w:outlineLvl w:val="1"/>
      </w:pPr>
      <w:r>
        <w:t xml:space="preserve">Nella prima sono contenuti i quesiti relativi agli adempimenti giuridici in tema di RS, cui gli enti sono tenuti a fornire puntuale risposta In particolare, le prime domande (sezione I da 1.1 a 1.24) sono state finalizzate ad evidenziare la razionalizzazione della spesa e il conseguimento dei risparmi, in quanto imputabili al ricorso ai soggetti aggregatori, con particolare riguardo ai casi di utilizzo delle convenzioni Consip, ovvero al Mepa o ad altri mercati elettronici. Le domande immediatamente successive (sezione II da 2.1 a 2.27) pongono l’attenzione sul rispetto della riduzione percentuale di talune tipologie di spesa, con fissazioni di limiti di importo e deroghe agli stessi che si rinvengono nelle relative norme (dal decreto-legge n. 78/2010 al decreto-legge n. 50/2017). La terza sezione (quesiti da 3.1 a 3.12) è, invece, volta a riscontrare l’implementazione di eventuali misure gestionali adottate dall’ente che può ricorrervi ogni qual volta versi in circostanze di criticità tali da porre a repentaglio la propria sana gestione. Fanno parte di questa sezione gli ultimi quesiti i quali afferiscono a scelte discrezionali che attestano il libero ricorso a interventi improntati al contenimento della spesa. (6) Al riguardo si evidenzia che precedentemente una sezione concernente il contenimento della spesa è stata espunta dai questionari dei controlli citati. Solo relativamente all’esercizio 2014, le relative linee guida sul rendiconto degli enti locali hanno previsto una sezione dedicata al contenimento delle spese, con 13 appositi quesiti. </w:t>
      </w:r>
    </w:p>
    <w:p w:rsidR="005A1266" w:rsidRDefault="005A1266" w:rsidP="005A1266">
      <w:pPr>
        <w:shd w:val="clear" w:color="auto" w:fill="FEFEFE"/>
        <w:spacing w:after="0" w:line="20" w:lineRule="atLeast"/>
        <w:jc w:val="both"/>
        <w:outlineLvl w:val="1"/>
      </w:pPr>
      <w:r>
        <w:t xml:space="preserve">L’ambito istruttorio relativo alla valutazione dell’efficacia e della efficienza della spesa si avvale, come riferito, delle rilevazioni e delle elaborazioni svolte dalla Sose e pubblicate sulla banca dati Opencivitas (accessibile a qualsiasi utente all’indirizzo </w:t>
      </w:r>
      <w:proofErr w:type="gramStart"/>
      <w:r>
        <w:t>https://www.opencivitas.it )</w:t>
      </w:r>
      <w:proofErr w:type="gramEnd"/>
      <w:r>
        <w:t xml:space="preserve"> con riferimento ai comuni, alle province e alle città metropolitane delle regioni a statuto ordinario. </w:t>
      </w:r>
    </w:p>
    <w:p w:rsidR="005A1266" w:rsidRDefault="005A1266" w:rsidP="005A1266">
      <w:pPr>
        <w:shd w:val="clear" w:color="auto" w:fill="FEFEFE"/>
        <w:spacing w:after="0" w:line="20" w:lineRule="atLeast"/>
        <w:jc w:val="both"/>
        <w:outlineLvl w:val="1"/>
      </w:pPr>
      <w:r>
        <w:lastRenderedPageBreak/>
        <w:t xml:space="preserve">Gli ultimi dati disponibili, ad oggi, sono relativi agli esercizi 2016. Al riguardo la società Sose intende migliorare la tempestività della pubblicazione dei risultati, i quali tuttavia, avendo come fonte i rendiconti degli enti e richiedendo successive complesse elaborazioni con elementi extracontabili, anche a regime presenteranno uno scarto temporale maggiore rispetto alla disponibilità dei dati di consuntivo. In particolare, la banca dati offre informazioni relative alla spesa relativa alle funzioni e ai servizi «amministrazione», «polizia locale», «istruzione», «viabilità e territorio», «rifiuti», «sociale», «asili nido», nonché alla spesa relativa al totale delle funzioni/servizi. Le elaborazioni consultabili su Opencivitas sono complessivamente quattro e sono denominate sinteticamente «Cerca», «Naviga», «Confronta» e «Analisi della </w:t>
      </w:r>
      <w:proofErr w:type="gramStart"/>
      <w:r>
        <w:t>performance »</w:t>
      </w:r>
      <w:proofErr w:type="gramEnd"/>
      <w:r>
        <w:t xml:space="preserve">. Benché tutte le informazioni contenute nella banca dati rivestano particolare interesse e offrano dati, notizie e spunti per una valutazione sulla qualità della spesa e, indirettamente, sulle capacità gestionali dell’ente, tuttavia si ritiene che, quali strumenti istruttori, siano particolarmente idonee agli scopi perseguiti, le consultazioni riferite alle pagine «Analisi della performance » e «Confronta», che possono pertanto trovare ingresso, quale parametro uniforme di controllo, all’interno delle presenti metodologie. L’illustrazione delle prime due pagine, sinteticamente indicate come «Cerca» e «Naviga», è invece contenuta nell’allegata nota metodologica che fornisce, oltre alle indicazioni per la compilazione e l’invio del questionario, anche ogni nozione utile alla consultazione del portale Opencivitas. </w:t>
      </w:r>
    </w:p>
    <w:p w:rsidR="005A1266" w:rsidRDefault="005A1266" w:rsidP="005A1266">
      <w:pPr>
        <w:shd w:val="clear" w:color="auto" w:fill="FEFEFE"/>
        <w:spacing w:after="0" w:line="20" w:lineRule="atLeast"/>
        <w:jc w:val="both"/>
        <w:outlineLvl w:val="1"/>
      </w:pPr>
      <w:r>
        <w:t xml:space="preserve">La pagina denominata «Confronta», consente di raffrontare, con riferimento al totale e alle singole funzioni, fino a quattro enti che possono essere scelti sulla base della dimensione demografica (il cui dato viene visualizzato), attraverso gli indicatori della «spesa storica», dei «fabbisogni standard », e della differenza, in valore assoluto e in percentuale, tra queste due grandezze, nonché del livello della spesa e dei servizi, resi attraverso graficamente con simboli (rispettivamente dell’euro e delle stelle) in una scala da 0 a 10. È possibile, per altro, tener conto, ai fini del confronto, di eventuali informazioni non disponibili per l’ente prescelto, ad esempio relative a «servizi non valutabili» o «servizi con spesa storica non valutabile». La scelta di consultazione denominata «Analisi della </w:t>
      </w:r>
      <w:proofErr w:type="gramStart"/>
      <w:r>
        <w:t>performance »</w:t>
      </w:r>
      <w:proofErr w:type="gramEnd"/>
      <w:r>
        <w:t xml:space="preserve"> colloca l’ente (7) (o gli enti) oggetto di valutazione in un grafico, le cui coordinate sono rappresentate dal livello della spesa e dal livello dei servizi erogati, suddiviso in quattro quadranti che corrispondo a quattro diverse situazioni possibili: </w:t>
      </w:r>
    </w:p>
    <w:p w:rsidR="005A1266" w:rsidRDefault="005A1266" w:rsidP="005A1266">
      <w:pPr>
        <w:shd w:val="clear" w:color="auto" w:fill="FEFEFE"/>
        <w:spacing w:after="0" w:line="20" w:lineRule="atLeast"/>
        <w:jc w:val="both"/>
        <w:outlineLvl w:val="1"/>
      </w:pPr>
      <w:r>
        <w:t xml:space="preserve">a) i comuni collocati nella parte del grafico in basso a destra che «sostengono una spesa storica superiore al fabbisogno standard ed erogano servizi in misura minore rispetto ai servizi mediamente offerti dai comuni della stessa fascia di popolazione» (che possiamo definire inefficienti); </w:t>
      </w:r>
    </w:p>
    <w:p w:rsidR="005A1266" w:rsidRDefault="005A1266" w:rsidP="005A1266">
      <w:pPr>
        <w:shd w:val="clear" w:color="auto" w:fill="FEFEFE"/>
        <w:spacing w:after="0" w:line="20" w:lineRule="atLeast"/>
        <w:jc w:val="both"/>
        <w:outlineLvl w:val="1"/>
      </w:pPr>
      <w:r>
        <w:t xml:space="preserve">b) in alto a sinistra si collocano i comuni che «una spesa storica inferiore al fabbisogno standard e un livello dei servizi erogato superiore rispetto alla media dei comuni della stessa fascia di popolazione» (che possiamo definire efficienti); </w:t>
      </w:r>
    </w:p>
    <w:p w:rsidR="005A1266" w:rsidRDefault="005A1266" w:rsidP="005A1266">
      <w:pPr>
        <w:shd w:val="clear" w:color="auto" w:fill="FEFEFE"/>
        <w:spacing w:after="0" w:line="20" w:lineRule="atLeast"/>
        <w:jc w:val="both"/>
        <w:outlineLvl w:val="1"/>
      </w:pPr>
      <w:r>
        <w:t xml:space="preserve">c) in basso a sinistra i comuni che «sostengono una spesa storica inferiore al fabbisogno standard ed erogano servizi in misura minore rispetto ai servizi mediamente offerti dai comuni della stessa fascia di popolazione» (che possiamo definire inefficaci); </w:t>
      </w:r>
    </w:p>
    <w:p w:rsidR="005A1266" w:rsidRDefault="005A1266" w:rsidP="005A1266">
      <w:pPr>
        <w:shd w:val="clear" w:color="auto" w:fill="FEFEFE"/>
        <w:spacing w:after="0" w:line="20" w:lineRule="atLeast"/>
        <w:jc w:val="both"/>
        <w:outlineLvl w:val="1"/>
      </w:pPr>
      <w:r>
        <w:t>d) in alto a destra, i comuni che «registrano una spesa storica superiore al fabbisogno standard e un livello dei servizi erogato superiore rispetto alla media dei comuni della stessa fascia di popolazione.» (</w:t>
      </w:r>
      <w:proofErr w:type="gramStart"/>
      <w:r>
        <w:t>che</w:t>
      </w:r>
      <w:proofErr w:type="gramEnd"/>
      <w:r>
        <w:t xml:space="preserve"> possiamo definire efficaci in deficit). Le coppie di situazioni a) - b) e c) - d) possono, dunque, definirsi sostanzialmente opposte. </w:t>
      </w:r>
    </w:p>
    <w:p w:rsidR="005A1266" w:rsidRDefault="005A1266" w:rsidP="005A1266">
      <w:pPr>
        <w:shd w:val="clear" w:color="auto" w:fill="FEFEFE"/>
        <w:spacing w:after="0" w:line="20" w:lineRule="atLeast"/>
        <w:jc w:val="both"/>
        <w:outlineLvl w:val="1"/>
      </w:pPr>
      <w:r>
        <w:t xml:space="preserve">Tale collocazione grafica, pertanto, visualizza chiaramente, come anticipato, una sorta di valutazione di rating attribuita a ciascun ente. In un contesto di rinnovata programmazione del controllo, le metodologie esaminate e preordinate all’esame di sana gestione, valorizzano la semplificazione e l’alleggerimento delle istruttorie, che sono poi criteri di indirizzo che la Sezione delle autonomie assume per prassi, ottimizzando l’utilizzo delle banche dati esistenti presso la stessa Corte o altre Amministrazioni. (7) </w:t>
      </w:r>
    </w:p>
    <w:p w:rsidR="005A1266" w:rsidRDefault="005A1266" w:rsidP="005A1266">
      <w:pPr>
        <w:shd w:val="clear" w:color="auto" w:fill="FEFEFE"/>
        <w:spacing w:after="0" w:line="20" w:lineRule="atLeast"/>
        <w:jc w:val="both"/>
        <w:outlineLvl w:val="1"/>
      </w:pPr>
      <w:r>
        <w:t>Nel sito si specifica che i comuni «sono visualizzati solo se valutabili in termini di spesa e di servizi erogati». 4. Le verifiche delle Sezioni regionali.</w:t>
      </w:r>
    </w:p>
    <w:p w:rsidR="005A1266" w:rsidRDefault="005A1266" w:rsidP="005A1266">
      <w:pPr>
        <w:shd w:val="clear" w:color="auto" w:fill="FEFEFE"/>
        <w:spacing w:after="0" w:line="20" w:lineRule="atLeast"/>
        <w:jc w:val="both"/>
        <w:outlineLvl w:val="1"/>
      </w:pPr>
      <w:r>
        <w:t xml:space="preserve">Il comma 3 dell’art. 6 del decreto-legge n. 174/2012 stabilisce che le «Sezioni regionali effettuano i controlli in base alle metodologie suddette anche tenendo conto degli esiti dell’attività ispettiva e, in presenza di criticità della gestione, assegnano alle amministrazioni interessate un termine, non superiore a trenta giorni, per l’adozione delle necessarie misure correttive dirette a rimuovere le criticità gestionali evidenziate e vigilano sull’attuazione delle misure correttive adottate». In un primo approccio sperimentale qualora non sia possibile procedere prendendo in considerazione tutti gli enti di competenza, le Sezioni regionali dovranno preliminarmente individuare gli enti da verificare. </w:t>
      </w:r>
    </w:p>
    <w:p w:rsidR="005A1266" w:rsidRDefault="005A1266" w:rsidP="005A1266">
      <w:pPr>
        <w:shd w:val="clear" w:color="auto" w:fill="FEFEFE"/>
        <w:spacing w:after="0" w:line="20" w:lineRule="atLeast"/>
        <w:jc w:val="both"/>
        <w:outlineLvl w:val="1"/>
      </w:pPr>
      <w:r>
        <w:lastRenderedPageBreak/>
        <w:t xml:space="preserve">A tal fine, tenuto conto che, soprattutto per la parte terza del questionario, rappresenteranno interfaccia delle Sezioni regionali di controllo i responsabili del controllo di gestione dei singoli enti, si suggerisce di selezionare gli stessi tenendo conto in questa fase iniziale di quelli con popolazione residente più numerosa nella regione che, essendo più strutturati dal punto di vista organizzativo, dovrebbero aver già maturato significative e consolidate esperienze in materia di controllo di gestione. Detto criterio di scelta potrà essere combinato con quello basato sullo «stato di salute finanziaria» dell’ente, quale emerge dai risultati dei riscontri di cui all’art. 1, commi 166 e seguenti, della legge 23 dicembre 2005, n. 266. In questa sede l’analisi coincide con l’individuazione delle criticità gestionali, o, per così dire, dei possibili «punti di pressione» economico-finanziari che finiscono per gravare sui saldi di bilancio. </w:t>
      </w:r>
    </w:p>
    <w:p w:rsidR="005A1266" w:rsidRDefault="005A1266" w:rsidP="005A1266">
      <w:pPr>
        <w:shd w:val="clear" w:color="auto" w:fill="FEFEFE"/>
        <w:spacing w:after="0" w:line="20" w:lineRule="atLeast"/>
        <w:jc w:val="both"/>
        <w:outlineLvl w:val="1"/>
      </w:pPr>
      <w:r>
        <w:t xml:space="preserve">Con riferimento agli enti così individuati, la Sezione regionale analizza, da un lato, le risultanze del questionario, e, dall’altro, le informazioni gestionali e di benchmarking desunte, rispettivamente, dalle pagine «Analisi della </w:t>
      </w:r>
      <w:proofErr w:type="gramStart"/>
      <w:r>
        <w:t>performance »</w:t>
      </w:r>
      <w:proofErr w:type="gramEnd"/>
      <w:r>
        <w:t xml:space="preserve"> e «Confronta» relative alle caratteristiche della spesa sostenuta e ai risultati conseguiti dall’ente, quali si desumono dalle informazioni presenti in Opencivitas. </w:t>
      </w:r>
    </w:p>
    <w:p w:rsidR="005A1266" w:rsidRDefault="005A1266" w:rsidP="005A1266">
      <w:pPr>
        <w:shd w:val="clear" w:color="auto" w:fill="FEFEFE"/>
        <w:spacing w:after="0" w:line="20" w:lineRule="atLeast"/>
        <w:jc w:val="both"/>
        <w:outlineLvl w:val="1"/>
      </w:pPr>
      <w:r>
        <w:t xml:space="preserve">I dati emersi dall’analisi gestionale, congiuntamente agli esiti della verifica sugli adempimenti normativi in tema di contenimento della spesa e alle risultanze dei controlli sulla salute finanziaria, consentiranno quindi di effettuare una valutazione istruttoria a tutto tondo sia sulla sana gestione, sia sulla effettiva sostenibilità finanziaria del bilancio e degli equilibri dell’ente esaminato. </w:t>
      </w:r>
    </w:p>
    <w:p w:rsidR="005A1266" w:rsidRDefault="005A1266" w:rsidP="005A1266">
      <w:pPr>
        <w:shd w:val="clear" w:color="auto" w:fill="FEFEFE"/>
        <w:spacing w:after="0" w:line="20" w:lineRule="atLeast"/>
        <w:jc w:val="both"/>
        <w:outlineLvl w:val="1"/>
      </w:pPr>
      <w:r>
        <w:t xml:space="preserve">Ne consegue, pertanto, la natura composita delle presenti metodologie che riflette la stessa natura differenziata dei controlli sulla razionalizzazione della spesa. </w:t>
      </w:r>
    </w:p>
    <w:p w:rsidR="005A1266" w:rsidRDefault="005A1266" w:rsidP="005A1266">
      <w:pPr>
        <w:shd w:val="clear" w:color="auto" w:fill="FEFEFE"/>
        <w:spacing w:after="0" w:line="20" w:lineRule="atLeast"/>
        <w:jc w:val="both"/>
        <w:outlineLvl w:val="1"/>
      </w:pPr>
      <w:r>
        <w:t xml:space="preserve">Tali controlli, infatti, uniscono alle verifiche di legittimità e regolarità contabile (concernenti gli adempimenti normativi indagati, in particolare, con la prima sezione del questionario) le valutazioni più specificamente incentrate sulla sana gestione le quali poi esitano in una vigilanza che, anche attraverso la comparazione, ha la precipua funzione di indurre l’ente in direzione dell’autocorrezione, sollecitando, peraltro, la selezione e l’adozione delle scelte di spesa più idonee ad assicurare, al contempo, l’efficacia, l’efficienza e l’economicità delle gestioni, a garanzia degli equilibri di bilancio e senza sacrificio delle prestazione rese. </w:t>
      </w:r>
    </w:p>
    <w:p w:rsidR="005A1266" w:rsidRDefault="005A1266" w:rsidP="005A1266">
      <w:pPr>
        <w:shd w:val="clear" w:color="auto" w:fill="FEFEFE"/>
        <w:spacing w:after="0" w:line="20" w:lineRule="atLeast"/>
        <w:jc w:val="both"/>
        <w:outlineLvl w:val="1"/>
      </w:pPr>
      <w:r>
        <w:t xml:space="preserve">Le Sezioni regionali, pertanto, all’esito di tale controllo (si raccomanda l’esatto utilizzo della codificazione delle delibere alla banca dati deliberazioni - VSGO - Verifiche e referti sulla revisione della spesa art. 6, comma 3, decreto-legge n. 174/2012), da un lato accertano le irregolarità contabili, dall’altro evidenziano le criticità gestionali, e, ai sensi del comma 3 dell’art. 6 citato, assegnando all’ente un termine non superiore a trenta giorni per l’adozione delle necessarie misure correttive dirette a rimuovere quanto rilevato dalla Sezione, e invitando l’ente a dar conto delle iniziative intraprese in modo da consentire all’organo di controllo esterno la vigilanza sull’attuazione delle stesse. </w:t>
      </w:r>
    </w:p>
    <w:p w:rsidR="005A1266" w:rsidRDefault="005A1266" w:rsidP="005A1266">
      <w:pPr>
        <w:shd w:val="clear" w:color="auto" w:fill="FEFEFE"/>
        <w:spacing w:after="0" w:line="20" w:lineRule="atLeast"/>
        <w:jc w:val="both"/>
        <w:outlineLvl w:val="1"/>
      </w:pPr>
      <w:r>
        <w:t xml:space="preserve">A chiusura di tale ciclo di verifiche, infine, la stessa disposizione in commento prevede un referto «monotematico» al Parlamento che deve essere predisposto dalla Sezione delle autonomie sulla base degli esiti dei controlli effettuati. A tal fine va rappresentata l’esigenza che il campione di enti da verificare da parte delle Sezioni regionali sia determinato statisticamente in modo significativo per consentire a questa Sezione di poter conseguenzialmente riferire al Parlamento con base informativa di qualità. </w:t>
      </w:r>
    </w:p>
    <w:p w:rsidR="005A1266" w:rsidRDefault="005A1266" w:rsidP="005A1266">
      <w:pPr>
        <w:shd w:val="clear" w:color="auto" w:fill="FEFEFE"/>
        <w:spacing w:after="0" w:line="20" w:lineRule="atLeast"/>
        <w:jc w:val="both"/>
        <w:outlineLvl w:val="1"/>
      </w:pPr>
      <w:r>
        <w:t xml:space="preserve">Da ultimo si segnala come le presenti metodologie, pur destinate alle Sezioni regionali delle Regioni a statuto ordinario, potranno essere di ausilio anche per le attività delle Sezioni regionali di controllo delle regioni a statuto speciale e delle province autonome che potranno utilizzarle nel rispetto dei regimi di autonomia differenziata ad esse applicabili. </w:t>
      </w:r>
    </w:p>
    <w:p w:rsidR="005A1266" w:rsidRDefault="005A1266" w:rsidP="005A1266">
      <w:pPr>
        <w:shd w:val="clear" w:color="auto" w:fill="FEFEFE"/>
        <w:spacing w:after="0" w:line="20" w:lineRule="atLeast"/>
        <w:jc w:val="both"/>
        <w:outlineLvl w:val="1"/>
      </w:pPr>
    </w:p>
    <w:p w:rsidR="005A1266" w:rsidRDefault="005A1266" w:rsidP="005A1266">
      <w:pPr>
        <w:shd w:val="clear" w:color="auto" w:fill="FEFEFE"/>
        <w:spacing w:after="0" w:line="20" w:lineRule="atLeast"/>
        <w:jc w:val="both"/>
        <w:outlineLvl w:val="1"/>
      </w:pPr>
      <w:r>
        <w:t xml:space="preserve">METODOLOGIE PER L’ATTUAZIONE DELL’ART. 6, COMMA 3, D.L. 10 OTTOBRE 2012, N. 174 CONVERTITO CON MODIFICAZIONI DALL’ART. 1, COMMA 1 DELLA LEGGE 7 DICEMBRE 2012, N. 213. </w:t>
      </w:r>
    </w:p>
    <w:p w:rsidR="005A1266" w:rsidRDefault="005A1266" w:rsidP="005A1266">
      <w:pPr>
        <w:shd w:val="clear" w:color="auto" w:fill="FEFEFE"/>
        <w:spacing w:after="0" w:line="20" w:lineRule="atLeast"/>
        <w:jc w:val="both"/>
        <w:outlineLvl w:val="1"/>
      </w:pPr>
      <w:r>
        <w:t>QUESTIONARIO</w:t>
      </w:r>
    </w:p>
    <w:p w:rsidR="005A1266" w:rsidRDefault="005A1266" w:rsidP="00B16E5F">
      <w:pPr>
        <w:shd w:val="clear" w:color="auto" w:fill="FEFEFE"/>
        <w:spacing w:after="0" w:line="20" w:lineRule="atLeast"/>
        <w:jc w:val="both"/>
        <w:outlineLvl w:val="1"/>
      </w:pPr>
    </w:p>
    <w:p w:rsidR="00E70487" w:rsidRDefault="0044448E" w:rsidP="00E70487">
      <w:pPr>
        <w:shd w:val="clear" w:color="auto" w:fill="FEFEFE"/>
        <w:spacing w:after="0" w:line="20" w:lineRule="atLeast"/>
        <w:jc w:val="both"/>
        <w:outlineLvl w:val="1"/>
      </w:pPr>
      <w:r w:rsidRPr="00AC7F14">
        <w:rPr>
          <w:b/>
        </w:rPr>
        <w:t>DELIBERA 22 luglio 2019</w:t>
      </w:r>
      <w:r>
        <w:rPr>
          <w:b/>
        </w:rPr>
        <w:t>,</w:t>
      </w:r>
      <w:r w:rsidRPr="00AC7F14">
        <w:rPr>
          <w:b/>
        </w:rPr>
        <w:t xml:space="preserve"> </w:t>
      </w:r>
      <w:r>
        <w:t>Linee guida per le relazioni annuali del sindaco dei comuni con popolazione superiore ai 15.000 abitanti, del sindaco delle città metropolitane e del presidente delle province sul funzionamento del sistema integrato dei controlli interni nell’esercizio 2018, ai sensi dell’articolo 148 del decreto legislativo 18 agosto 2000, n. 267 (TUEL). (Delibera n. 22/SEZAUT/2019/INPR).</w:t>
      </w:r>
      <w:r w:rsidR="00E70487">
        <w:t xml:space="preserve"> (GU n. 196 del 22.8.19)</w:t>
      </w:r>
    </w:p>
    <w:p w:rsidR="0044448E" w:rsidRDefault="0044448E" w:rsidP="0044448E">
      <w:pPr>
        <w:shd w:val="clear" w:color="auto" w:fill="FEFEFE"/>
        <w:spacing w:after="0" w:line="20" w:lineRule="atLeast"/>
        <w:jc w:val="both"/>
        <w:outlineLvl w:val="1"/>
      </w:pPr>
      <w:r>
        <w:t>LA CORTE DEI CONTI SEZIONE DELLE AUTONOMIE</w:t>
      </w:r>
    </w:p>
    <w:p w:rsidR="0044448E" w:rsidRDefault="0044448E" w:rsidP="0044448E">
      <w:pPr>
        <w:shd w:val="clear" w:color="auto" w:fill="FEFEFE"/>
        <w:spacing w:after="0" w:line="20" w:lineRule="atLeast"/>
        <w:jc w:val="both"/>
        <w:outlineLvl w:val="1"/>
      </w:pPr>
      <w:r>
        <w:t xml:space="preserve"> Nell’adunanza del 22 luglio 2019; </w:t>
      </w:r>
    </w:p>
    <w:p w:rsidR="0044448E" w:rsidRDefault="0044448E" w:rsidP="0044448E">
      <w:pPr>
        <w:shd w:val="clear" w:color="auto" w:fill="FEFEFE"/>
        <w:spacing w:after="0" w:line="20" w:lineRule="atLeast"/>
        <w:jc w:val="both"/>
        <w:outlineLvl w:val="1"/>
      </w:pPr>
      <w:r>
        <w:lastRenderedPageBreak/>
        <w:t xml:space="preserve">Visto il testo unico delle leggi sulla Corte dei conti, approvato con regio decreto 12 luglio 1934, n. 1214 e successive modificazioni; </w:t>
      </w:r>
    </w:p>
    <w:p w:rsidR="0044448E" w:rsidRDefault="0044448E" w:rsidP="0044448E">
      <w:pPr>
        <w:shd w:val="clear" w:color="auto" w:fill="FEFEFE"/>
        <w:spacing w:after="0" w:line="20" w:lineRule="atLeast"/>
        <w:jc w:val="both"/>
        <w:outlineLvl w:val="1"/>
      </w:pPr>
      <w:r>
        <w:t xml:space="preserve">Vista la legge 14 gennaio 1994, n. 20 e successive modificazioni; </w:t>
      </w:r>
    </w:p>
    <w:p w:rsidR="0044448E" w:rsidRDefault="0044448E" w:rsidP="0044448E">
      <w:pPr>
        <w:shd w:val="clear" w:color="auto" w:fill="FEFEFE"/>
        <w:spacing w:after="0" w:line="20" w:lineRule="atLeast"/>
        <w:jc w:val="both"/>
        <w:outlineLvl w:val="1"/>
      </w:pPr>
      <w:r>
        <w:t xml:space="preserve">Visto il regolamento per l’organizzazione delle funzioni di controllo della Corte dei conti, approvato dalle Sezioni riunite con la deliberazione n. 14 del 16 giugno 2000 e successive modificazioni; </w:t>
      </w:r>
    </w:p>
    <w:p w:rsidR="0044448E" w:rsidRDefault="0044448E" w:rsidP="0044448E">
      <w:pPr>
        <w:shd w:val="clear" w:color="auto" w:fill="FEFEFE"/>
        <w:spacing w:after="0" w:line="20" w:lineRule="atLeast"/>
        <w:jc w:val="both"/>
        <w:outlineLvl w:val="1"/>
      </w:pPr>
      <w:r>
        <w:t xml:space="preserve">Visto il decreto legislativo 18 agosto 2000, n. 267, recante il testo unico delle leggi sull’ordinamento degli enti locali e le successive modificazioni; </w:t>
      </w:r>
    </w:p>
    <w:p w:rsidR="0044448E" w:rsidRDefault="0044448E" w:rsidP="0044448E">
      <w:pPr>
        <w:shd w:val="clear" w:color="auto" w:fill="FEFEFE"/>
        <w:spacing w:after="0" w:line="20" w:lineRule="atLeast"/>
        <w:jc w:val="both"/>
        <w:outlineLvl w:val="1"/>
      </w:pPr>
      <w:r>
        <w:t xml:space="preserve">Visto, in particolare, l’art. 148 del citato decreto legislativo n. 267/2000, novellato dalla lettera e) del comma 1, dell’art. 3, del decreto-legge n. 174/2012, così come modificato dall’art. 33 del decreto-legge 24 giugno 2014, n. 91, convertito con modificazioni dalla legge 11 agosto 2014, n. 116; </w:t>
      </w:r>
    </w:p>
    <w:p w:rsidR="0044448E" w:rsidRDefault="0044448E" w:rsidP="0044448E">
      <w:pPr>
        <w:shd w:val="clear" w:color="auto" w:fill="FEFEFE"/>
        <w:spacing w:after="0" w:line="20" w:lineRule="atLeast"/>
        <w:jc w:val="both"/>
        <w:outlineLvl w:val="1"/>
      </w:pPr>
      <w:r>
        <w:t xml:space="preserve">Vista la legge 5 giugno 2003, n. 131; </w:t>
      </w:r>
    </w:p>
    <w:p w:rsidR="0044448E" w:rsidRDefault="0044448E" w:rsidP="0044448E">
      <w:pPr>
        <w:shd w:val="clear" w:color="auto" w:fill="FEFEFE"/>
        <w:spacing w:after="0" w:line="20" w:lineRule="atLeast"/>
        <w:jc w:val="both"/>
        <w:outlineLvl w:val="1"/>
      </w:pPr>
      <w:r>
        <w:t>Visto il decreto-legge 10 ottobre 2012, n. 174 convertito, con modificazioni, dalla legge 7 dicembre 2012, n. 213, ed in particolare l’art. 11 -</w:t>
      </w:r>
      <w:proofErr w:type="gramStart"/>
      <w:r>
        <w:t>bis ;</w:t>
      </w:r>
      <w:proofErr w:type="gramEnd"/>
      <w:r>
        <w:t xml:space="preserve"> </w:t>
      </w:r>
    </w:p>
    <w:p w:rsidR="0044448E" w:rsidRDefault="0044448E" w:rsidP="0044448E">
      <w:pPr>
        <w:shd w:val="clear" w:color="auto" w:fill="FEFEFE"/>
        <w:spacing w:after="0" w:line="20" w:lineRule="atLeast"/>
        <w:jc w:val="both"/>
        <w:outlineLvl w:val="1"/>
      </w:pPr>
      <w:r>
        <w:t xml:space="preserve">Visto l’art. 1, comma 50 della legge n. 56/2014; Vista la deliberazione della Sezione delle autonomie n. 3/SEZAUT/2019/INPR, depositata il 4 gennaio 2019, con la quale è stato approvato il programma delle attività di controllo per l’anno 2019; </w:t>
      </w:r>
    </w:p>
    <w:p w:rsidR="0044448E" w:rsidRDefault="0044448E" w:rsidP="0044448E">
      <w:pPr>
        <w:shd w:val="clear" w:color="auto" w:fill="FEFEFE"/>
        <w:spacing w:after="0" w:line="20" w:lineRule="atLeast"/>
        <w:jc w:val="both"/>
        <w:outlineLvl w:val="1"/>
      </w:pPr>
      <w:r>
        <w:t xml:space="preserve">Vista la nota del Presidente della Corte dei conti n. 472 del 16 luglio 2019 di convocazione dell’odierna adunanza della Sezione delle autonomie; </w:t>
      </w:r>
    </w:p>
    <w:p w:rsidR="0044448E" w:rsidRDefault="0044448E" w:rsidP="0044448E">
      <w:pPr>
        <w:shd w:val="clear" w:color="auto" w:fill="FEFEFE"/>
        <w:spacing w:after="0" w:line="20" w:lineRule="atLeast"/>
        <w:jc w:val="both"/>
        <w:outlineLvl w:val="1"/>
      </w:pPr>
      <w:r>
        <w:t xml:space="preserve">Uditi i relatori, Consiglieri Francesco Uccello e Dario Provvidera; </w:t>
      </w:r>
    </w:p>
    <w:p w:rsidR="0044448E" w:rsidRDefault="0044448E" w:rsidP="0044448E">
      <w:pPr>
        <w:shd w:val="clear" w:color="auto" w:fill="FEFEFE"/>
        <w:spacing w:after="0" w:line="20" w:lineRule="atLeast"/>
        <w:jc w:val="both"/>
        <w:outlineLvl w:val="1"/>
      </w:pPr>
      <w:r>
        <w:t xml:space="preserve">Delibera: </w:t>
      </w:r>
    </w:p>
    <w:p w:rsidR="0044448E" w:rsidRDefault="0044448E" w:rsidP="0044448E">
      <w:pPr>
        <w:shd w:val="clear" w:color="auto" w:fill="FEFEFE"/>
        <w:spacing w:after="0" w:line="20" w:lineRule="atLeast"/>
        <w:jc w:val="both"/>
        <w:outlineLvl w:val="1"/>
      </w:pPr>
      <w:proofErr w:type="gramStart"/>
      <w:r>
        <w:t>di</w:t>
      </w:r>
      <w:proofErr w:type="gramEnd"/>
      <w:r>
        <w:t xml:space="preserve"> approvare gli uniti documenti, che costituiscono parte integrante della presente deliberazione, riguardanti le linee guida e il relativo questionario per le relazioni annuali del Sindaco dei comuni con popolazione superiore ai 15.000 abitanti, del Sindaco delle città metropolitane e del Presidente delle province sul funzionamento del sistema integrato dei controlli interni nell’esercizio 2018. </w:t>
      </w:r>
    </w:p>
    <w:p w:rsidR="0044448E" w:rsidRDefault="0044448E" w:rsidP="0044448E">
      <w:pPr>
        <w:shd w:val="clear" w:color="auto" w:fill="FEFEFE"/>
        <w:spacing w:after="0" w:line="20" w:lineRule="atLeast"/>
        <w:jc w:val="both"/>
        <w:outlineLvl w:val="1"/>
      </w:pPr>
      <w:r>
        <w:t xml:space="preserve">La presente deliberazione sarà pubblicata nella Gazzetta Ufficiale della Repubblica italiana. Così deliberato in Roma nell’adunanza del 22 luglio 2019. </w:t>
      </w:r>
    </w:p>
    <w:p w:rsidR="0044448E" w:rsidRDefault="0044448E" w:rsidP="0044448E">
      <w:pPr>
        <w:shd w:val="clear" w:color="auto" w:fill="FEFEFE"/>
        <w:spacing w:after="0" w:line="20" w:lineRule="atLeast"/>
        <w:jc w:val="both"/>
        <w:outlineLvl w:val="1"/>
      </w:pPr>
      <w:r>
        <w:t xml:space="preserve">Il Presidente: BUSCEMA </w:t>
      </w:r>
    </w:p>
    <w:p w:rsidR="0044448E" w:rsidRDefault="0044448E" w:rsidP="0044448E">
      <w:pPr>
        <w:shd w:val="clear" w:color="auto" w:fill="FEFEFE"/>
        <w:spacing w:after="0" w:line="20" w:lineRule="atLeast"/>
        <w:jc w:val="both"/>
        <w:outlineLvl w:val="1"/>
      </w:pPr>
      <w:r>
        <w:t xml:space="preserve">I relatori: UCCELLO - PROVVIDERA Depositata in segreteria il 29 luglio 2019 Il dirigente: PROZZO </w:t>
      </w:r>
    </w:p>
    <w:p w:rsidR="0044448E" w:rsidRDefault="0044448E" w:rsidP="0044448E">
      <w:pPr>
        <w:shd w:val="clear" w:color="auto" w:fill="FEFEFE"/>
        <w:spacing w:after="0" w:line="20" w:lineRule="atLeast"/>
        <w:jc w:val="both"/>
        <w:outlineLvl w:val="1"/>
      </w:pPr>
    </w:p>
    <w:p w:rsidR="0044448E" w:rsidRDefault="0044448E" w:rsidP="0044448E">
      <w:pPr>
        <w:shd w:val="clear" w:color="auto" w:fill="FEFEFE"/>
        <w:spacing w:after="0" w:line="20" w:lineRule="atLeast"/>
        <w:jc w:val="both"/>
        <w:outlineLvl w:val="1"/>
      </w:pPr>
      <w:r>
        <w:t xml:space="preserve">LINEE GUIDA PER LE RELAZIONI ANNUALI DEL SINDACO DEI COMUNI CON POPOLAZIONE SUPERIORE AI 15.000 ABITANTI, DEL SINDACO DELLE CITTÀ METROPOLITANE E DEL PRESIDENTE DELLE PROVINCE SUL FUNZIONAMENTO DEL SISTEMA INTEGRATO DEI CONTROLLI INTERNI NELL’ESERCIZIO 2018, AI SENSI DELL’ART. 148 DEL DECRETO LEGISLATIVO 18 AGOSTO 2000, N. 267 - TUEL. </w:t>
      </w:r>
    </w:p>
    <w:p w:rsidR="0044448E" w:rsidRDefault="0044448E" w:rsidP="0044448E">
      <w:pPr>
        <w:shd w:val="clear" w:color="auto" w:fill="FEFEFE"/>
        <w:spacing w:after="0" w:line="20" w:lineRule="atLeast"/>
        <w:jc w:val="both"/>
        <w:outlineLvl w:val="1"/>
      </w:pPr>
    </w:p>
    <w:p w:rsidR="0044448E" w:rsidRDefault="0044448E" w:rsidP="0044448E">
      <w:pPr>
        <w:shd w:val="clear" w:color="auto" w:fill="FEFEFE"/>
        <w:spacing w:after="0" w:line="20" w:lineRule="atLeast"/>
        <w:jc w:val="both"/>
        <w:outlineLvl w:val="1"/>
      </w:pPr>
      <w:r>
        <w:t xml:space="preserve">1. Il rafforzamento dei controlli interni degli enti locali è un’esigenza imprescindibile per la salvaguardia dell’integrità e della trasparenza della gestione delle risorse finanziarie pubbliche assegnate alle autonomie territoriali. Il sistema dei controlli interni costituisce, infatti, il necessario contrappeso dell’autonomia concessa ai livelli di Governo territoriali dalla riforma del titolo V della Costituzione introdotta con la legge n. 3 del 2001, specie dopo l’entrata in vigore della legge costituzionale 20 aprile 2012, n. 1, che ha introdotto la disciplina del principio del pareggio di bilancio nella Carta costituzionale. Il rispetto degli obblighi di finanza pubblica, posti a tutela dei principi di equità intergenerazionale e di stabilità finanziaria, presuppone che gli organi di vertice degli Enti dispongano delle informazioni necessarie per valutare appieno l’andamento della gestione e, nel caso, apportare le opportune misure correttive in presenza di criticità e disfunzioni. Sotto questo profilo, i controlli interni rappresentano un presidio fondamentale per la sana gestione, in quanto utili ad assicurare l’efficacia e l’efficienza delle attività operative (controllo di gestione), l’attendibilità del reporting finanziario (controllo amministrativo-contabile), il consolidamento dei risultati delle gestioni (controllo sugli organismi partecipati) e la coerenza degli stessi sia con i risultati attesi (controllo strategico) sia con le aspettative degli utilizzatori finali dei servizi erogati (controllo di qualità). Il mancato esercizio della funzione pubblica di controllo interno, oltre a ridurre il presidio sugli equilibri di bilancio e la regolarità della gestione, rischia di alterare i processi decisionali e programmatici, nonché di indebolire le scelte gestionali ed organizzative, con conseguente pericolo di frodi, abusi, sprechi o, semplicemente, cattiva amministrazione delle risorse e del patrimonio dell’Ente. A livello contabile, poi, aumenta il rischio di manipolazioni o errori </w:t>
      </w:r>
      <w:r>
        <w:lastRenderedPageBreak/>
        <w:t xml:space="preserve">nella registrazione delle transazioni giornaliere, con conseguente impossibilità per il controllore esterno di fare assegnamento sulla qualità della rendicontazione economica e finanziaria dell’Ente. </w:t>
      </w:r>
    </w:p>
    <w:p w:rsidR="0044448E" w:rsidRDefault="0044448E" w:rsidP="0044448E">
      <w:pPr>
        <w:shd w:val="clear" w:color="auto" w:fill="FEFEFE"/>
        <w:spacing w:after="0" w:line="20" w:lineRule="atLeast"/>
        <w:jc w:val="both"/>
        <w:outlineLvl w:val="1"/>
      </w:pPr>
      <w:r>
        <w:t xml:space="preserve">2. Al fine di promuovere il più corretto esercizio di tale impianto, le presenti linee guida e lo schema di relazione-questionario sul funzionamento del sistema dei controlli interni nell’esercizio 2018 - che i Sindaci dei comuni con popolazione superiore ai 15.000 abitanti, i Sindaci delle città metropolitane e i Presidenti delle province devono trasmettere, ai sensi dell’art. 148 del Tuel, alle Sezioni regionali della Corte dei conti ed alla Sezione delle autonomie - intendono costituire uno strumento ricognitivo approfondito, stabile e ricorrente per la raccolta di dati omogenei e comparabili sul funzionamento dei controlli interni, in quanto basati su criteri univoci utili a fornire una visione d’insieme su cui fondare valutazioni di adeguatezza, affidabilità ed efficacia circa il sistema dei controlli realizzato nel corso del tempo dai singoli enti. </w:t>
      </w:r>
    </w:p>
    <w:p w:rsidR="0044448E" w:rsidRDefault="0044448E" w:rsidP="0044448E">
      <w:pPr>
        <w:shd w:val="clear" w:color="auto" w:fill="FEFEFE"/>
        <w:spacing w:after="0" w:line="20" w:lineRule="atLeast"/>
        <w:jc w:val="both"/>
        <w:outlineLvl w:val="1"/>
      </w:pPr>
      <w:r>
        <w:t>La puntuale compilazione dello schema di relazione consente, inoltre, una conoscenza analitica degli eterogenei modelli attuativi espressi dalle realtà territoriali, non sempre funzionali al miglioramento del contesto organizzativo e gestionale del singolo Ente, ma, quantomeno, caratterizzati dalla presenza diffusa (anche se non priva di criticità) dei controlli di regolarità, di gestione e sugli equilibri finanziari.</w:t>
      </w:r>
    </w:p>
    <w:p w:rsidR="0044448E" w:rsidRDefault="0044448E" w:rsidP="0044448E">
      <w:pPr>
        <w:shd w:val="clear" w:color="auto" w:fill="FEFEFE"/>
        <w:spacing w:after="0" w:line="20" w:lineRule="atLeast"/>
        <w:jc w:val="both"/>
        <w:outlineLvl w:val="1"/>
      </w:pPr>
      <w:r>
        <w:t xml:space="preserve">La circolarità di queste informazioni, oltre ad assicurare il raccordo tra controlli interni e controlli esterni della Corte dei conti, risponde all’esigenza di promuovere negli enti il confronto con l’esperienza di altre Amministrazioni attraverso il raffronto fra contesti operativi omogenei e fra modalità organizzative e di funzionamento differenti per tipologie di contabilità, strumenti informatici, natura degli indicatori, allocazione degli uffici, composizione del personale, servizi monitorati, report ed esiti conseguiti. Il progressivo miglioramento dei processi di analisi interna ha implementato, altresì, una sinergica collaborazione fra le diverse metodologie di controllo che, in taluni contesti, è riuscita a tradursi in indicazioni di sistema, con relativo affinamento dei metodi e dei contenuti delle tipologie di controllo coinvolte nel processo integrativo. </w:t>
      </w:r>
    </w:p>
    <w:p w:rsidR="0044448E" w:rsidRDefault="0044448E" w:rsidP="0044448E">
      <w:pPr>
        <w:shd w:val="clear" w:color="auto" w:fill="FEFEFE"/>
        <w:spacing w:after="0" w:line="20" w:lineRule="atLeast"/>
        <w:jc w:val="both"/>
        <w:outlineLvl w:val="1"/>
      </w:pPr>
      <w:r>
        <w:t xml:space="preserve">Nell’intento di promuovere tale processo sinergico, l’ottica delle presenti linee guida continua ad insistere su un’analisi più integrata, volta a mettere in relazione le funzionalità delle singole tipologie di controllo, ciò anche al fine di incoraggiare gli enti ad individuare le criticità e le lacune del sistema, valutarne il complessivo rischio di controllo e proporre le soluzioni correttive più adeguate. </w:t>
      </w:r>
    </w:p>
    <w:p w:rsidR="0044448E" w:rsidRDefault="0044448E" w:rsidP="0044448E">
      <w:pPr>
        <w:shd w:val="clear" w:color="auto" w:fill="FEFEFE"/>
        <w:spacing w:after="0" w:line="20" w:lineRule="atLeast"/>
        <w:jc w:val="both"/>
        <w:outlineLvl w:val="1"/>
      </w:pPr>
      <w:r>
        <w:t xml:space="preserve">3. Lo schema di relazione per l’esercizio 2018 conserva, quindi, le principali caratteristiche di forma e contenuto delle linee guida approvate lo scorso anno, le quali, privilegiando una logica di sistema, hanno inteso dare al questionario una impostazione nuova, più idonea a cogliere la forte integrazione esistente fra le varie tipologie dei controlli interni ed a far emergere, attraverso il raffronto tra i diversi ambiti operativi del controllo, il profilo caratteristico del sistema attuato dal singolo Ente, la sua conformità al disposto normativo e la capacità di incidere efficacemente sui processi in atto sviluppando nuove sinergie. </w:t>
      </w:r>
    </w:p>
    <w:p w:rsidR="0044448E" w:rsidRDefault="0044448E" w:rsidP="0044448E">
      <w:pPr>
        <w:shd w:val="clear" w:color="auto" w:fill="FEFEFE"/>
        <w:spacing w:after="0" w:line="20" w:lineRule="atLeast"/>
        <w:jc w:val="both"/>
        <w:outlineLvl w:val="1"/>
      </w:pPr>
      <w:r>
        <w:t xml:space="preserve">A differenza del passato, infatti, lo schema di relazione-questionario rivolge una maggiore attenzione ai momenti di integrazione e raccordo tra le diverse tipologie di controllo, così da offrire una prospettiva unitaria degli adempimenti di carattere organizzativo e funzionale. </w:t>
      </w:r>
    </w:p>
    <w:p w:rsidR="0044448E" w:rsidRDefault="0044448E" w:rsidP="0044448E">
      <w:pPr>
        <w:shd w:val="clear" w:color="auto" w:fill="FEFEFE"/>
        <w:spacing w:after="0" w:line="20" w:lineRule="atLeast"/>
        <w:jc w:val="both"/>
        <w:outlineLvl w:val="1"/>
      </w:pPr>
      <w:r>
        <w:t xml:space="preserve">Al centro di questa impostazione vi è soprattutto l’esigenza di adeguare la base informativa alle realtà operative emergenti dal monitoraggio degli schemi di relazione, così da assicurare la giusta chiave interpretativa dei processi gestionali in atto e favorire l’acquisizione, l’elaborazione e l’analisi di dati più significativi e coerenti. In questa logica, si è proceduto alla rivisitazione dell’intero questionario, con conseguente introduzione di nuovi quesiti ed eliminazione/precisazione di quelli già formulati in precedenza. Il nuovo schema di relazione è, dunque, strutturato in un questionario a risposta sintetica organizzato in 8 sezioni, dedicate alla raccolta di informazioni uniformi per ciascuno dei profili di seguito indicati: la prima sezione (Sistema dei controlli interni) mira ad una ricognizione dei principali adempimenti comuni a tutte le tipologie di controllo; i quesiti attengono alla verifica della piena ed effettiva operatività dei controlli in conformità alle disposizioni regolamentari, statutarie o di programmazione, cui si aggiungono particolari riferimenti al numero dei report da produrre e ufficializzare, alle criticità emerse e alle azioni correttive avviate; la seconda sezione (Controllo di regolarità amministrativa e contabile) è volta ad intercettare le eventuali problematiche presenti nell’esercizio del controllo di regolarità tecnica e contabile sugli atti aventi rilevanza finanziaria e/o patrimoniale, nel funzionamento dei processi a monte e a valle dei report adottati nell’esercizio e nell’adozione delle misure consequenziali facenti capo ai responsabili dei settori in cui l’amministrazione locale risulta articolata; la terza sezione (Controllo di gestione) contiene domande correlate a profili di carattere eminentemente organizzativo e di contesto, con approfondimenti sull’utilizzo </w:t>
      </w:r>
      <w:r>
        <w:lastRenderedPageBreak/>
        <w:t xml:space="preserve">dei report periodici, sulla natura degli indicatori adottati, sul tasso medio di copertura dei costi dei servizi a domanda individuale e sul grado complessivo di raggiungimento degli obiettivi operativi dell’azione amministrativa; la quarta sezione (Controllo strategico) è intesa, invece, a sondare il livello di attenzione delle verifiche in ordine all’attuazione dei programmi e delle tecniche adottate per orientare le decisioni dei vertici politici nella individuazione degli obiettivi delle scelte strategiche da operare a livello di programmazione; la quinta sezione (Controllo sugli equilibri finanziari) mira a verificare il rispetto delle prescrizioni normative e regolamentari da parte dei responsabili del servizio finanziario, ai quali compete l’adozione delle linee di indirizzo e di coordinamento per l’ordinato svolgimento dei controlli finanziari e per l’attuazione delle misure di salvaguardia degli equilibri di bilancio; la sesta sezione (Controllo sugli organismi partecipati) contiene domande dirette a verificare il grado di operatività della struttura dedicata al controllo sugli organismi partecipati, con specifici approfondimenti sugli indirizzi adottati, l’ambito del monitoraggio, i profili organizzativi e finanziari, la valutazione del rischio aziendale e la tipologia degli indicatori applicati; la settima sezione (Controllo sulla qualità dei servizi) è diretta, infine, ad evidenziare se i controlli di qualità si spingono ad esaminare le dimensioni effettive delle prestazioni erogate, in termini di prontezza, coerenza ed esaustività, con approfondimenti sull’appropriatezza degli indicatori adottati, il livello degli standard di qualità programmati, la misurazione della soddisfazione percepita dagli utenti, l’effettuazione di indagini di benchmarking ed il coinvolgimento attivo degli stakeholders ; l’ottava sezione (Note) chiude il questionario con uno spazio dedicato ai chiarimenti necessari per la miglior comprensione delle informazioni ovvero all’inserimento di informazioni integrative di carattere generale, commenti o altri dettagli informativi riferiti a specifici quesiti, ritenuti utili a rappresentare situazioni caratteristiche o peculiari. </w:t>
      </w:r>
    </w:p>
    <w:p w:rsidR="0044448E" w:rsidRDefault="0044448E" w:rsidP="0044448E">
      <w:pPr>
        <w:shd w:val="clear" w:color="auto" w:fill="FEFEFE"/>
        <w:spacing w:after="0" w:line="20" w:lineRule="atLeast"/>
        <w:jc w:val="both"/>
        <w:outlineLvl w:val="1"/>
      </w:pPr>
      <w:r>
        <w:t xml:space="preserve">4. Resta ferma la facoltà per le Sezioni regionali di controllo di integrare le informazioni contenute nel presente schema di relazione con la richiesta di separati ed ulteriori elementi informativi, a maggiore illustrazione dei profili esaminati. </w:t>
      </w:r>
    </w:p>
    <w:p w:rsidR="0044448E" w:rsidRDefault="0044448E" w:rsidP="0044448E">
      <w:pPr>
        <w:shd w:val="clear" w:color="auto" w:fill="FEFEFE"/>
        <w:spacing w:after="0" w:line="20" w:lineRule="atLeast"/>
        <w:jc w:val="both"/>
        <w:outlineLvl w:val="1"/>
      </w:pPr>
      <w:r>
        <w:t xml:space="preserve">Tali integrazioni istruttorie non dovranno, comunque, compromettere l’integrità del contenuto e del formato originale del documento scaricabile dall’applicativo «Con.Te.» (Contabilità Territoriale), che garantisce il riversamento delle informazioni in uno specifico database. </w:t>
      </w:r>
    </w:p>
    <w:p w:rsidR="0044448E" w:rsidRDefault="0044448E" w:rsidP="0044448E">
      <w:pPr>
        <w:shd w:val="clear" w:color="auto" w:fill="FEFEFE"/>
        <w:spacing w:after="0" w:line="20" w:lineRule="atLeast"/>
        <w:jc w:val="both"/>
        <w:outlineLvl w:val="1"/>
      </w:pPr>
      <w:r>
        <w:t xml:space="preserve">Analogamente, presso le Sezioni giurisdizionali regionali, in forza del comma 4 dell’art. 148 del Tuel, potranno essere attivati giudizi per l’irrogazione di sanzioni agli amministratori nel caso le Sezioni di controllo dovessero rilevare l’assenza o l’inadeguatezza degli strumenti e delle metodologie di controllo interno adottati dagli enti. </w:t>
      </w:r>
    </w:p>
    <w:p w:rsidR="0044448E" w:rsidRDefault="0044448E" w:rsidP="0044448E">
      <w:pPr>
        <w:shd w:val="clear" w:color="auto" w:fill="FEFEFE"/>
        <w:spacing w:after="0" w:line="20" w:lineRule="atLeast"/>
        <w:jc w:val="both"/>
        <w:outlineLvl w:val="1"/>
      </w:pPr>
      <w:r>
        <w:t xml:space="preserve">Appare utile chiarire, altresì, che, in ottemperanza a quanto previsto dal combinato disposto di cui agli articoli 148 e 156 TUEL, il presente referto sul sistema dei controlli interni relativi al 2018 si applica a tutti i comuni che alla data del 31 dicembre 2017 hanno registrato, secondo le rilevazioni demografiche ISTAT, una popolazione superiore a 15.000 abitanti. </w:t>
      </w:r>
    </w:p>
    <w:p w:rsidR="0044448E" w:rsidRDefault="0044448E" w:rsidP="0044448E">
      <w:pPr>
        <w:shd w:val="clear" w:color="auto" w:fill="FEFEFE"/>
        <w:spacing w:after="0" w:line="20" w:lineRule="atLeast"/>
        <w:jc w:val="both"/>
        <w:outlineLvl w:val="1"/>
      </w:pPr>
      <w:r>
        <w:t>Sono tenuti all’invio del questionario anche gli eventuali comuni che, avendo superato il predetto limite di popolazione nel corso del 2017, non fossero tenuti ad applicare, nel 2018, le disposizioni di cui agli articoli 147, comma 2, lettera e</w:t>
      </w:r>
      <w:proofErr w:type="gramStart"/>
      <w:r>
        <w:t>) ,</w:t>
      </w:r>
      <w:proofErr w:type="gramEnd"/>
      <w:r>
        <w:t xml:space="preserve"> 147 -ter e 147 -quater , commi 1, 2 e 3, del TUEL, relativamente al controllo sulla qualità dei servizi erogati, al controllo strategico ed al controllo sulle società partecipate non quotate. </w:t>
      </w:r>
    </w:p>
    <w:p w:rsidR="0044448E" w:rsidRDefault="0044448E" w:rsidP="0044448E">
      <w:pPr>
        <w:shd w:val="clear" w:color="auto" w:fill="FEFEFE"/>
        <w:spacing w:after="0" w:line="20" w:lineRule="atLeast"/>
        <w:jc w:val="both"/>
        <w:outlineLvl w:val="1"/>
      </w:pPr>
      <w:r>
        <w:t xml:space="preserve">Ai sensi dell’art. 11 -bis del decreto-legge n. 174/2012, convertito, con modificazioni, dalla legge n. 213/2012, l’obbligo di invio del questionario alla Corte dei conti deve intendersi riferito, altresì, ai comuni ed alle province e città metropolitane ricomprese nel territorio delle regioni a statuto speciale nonché agli Enti locali delle Province autonome di Trento e di Bolzano. </w:t>
      </w:r>
    </w:p>
    <w:p w:rsidR="0044448E" w:rsidRDefault="0044448E" w:rsidP="0044448E">
      <w:pPr>
        <w:shd w:val="clear" w:color="auto" w:fill="FEFEFE"/>
        <w:spacing w:after="0" w:line="20" w:lineRule="atLeast"/>
        <w:jc w:val="both"/>
        <w:outlineLvl w:val="1"/>
      </w:pPr>
      <w:r>
        <w:t xml:space="preserve">Poiché dagli esiti del monitoraggio condotto dalla Sezione delle autonomie sulle risposte fornite dagli enti al questionario allegato alle linee guida per l’esercizio 2017 è emersa la diffusa esigenza di chiarimenti in ordine alla domanda 1.5 della prima sezione (Sistema dei controlli interni), si rappresenta che per il corretto calcolo delle unità di personale «anno equivalenti» (cd. </w:t>
      </w:r>
      <w:proofErr w:type="gramStart"/>
      <w:r>
        <w:t>« Full</w:t>
      </w:r>
      <w:proofErr w:type="gramEnd"/>
      <w:r>
        <w:t xml:space="preserve"> Time Equivalent » Giuridico) occorre ipotizzare che una unità di personale a tempo pieno lavori (secondo il numero di ore settimanali previste dal contratto tipico del pubblico impiego) trentasei ore settimanali per trecentosessantacinque giorni l’anno (a prescindere dai giorni di ferie, di festa, di malattia, di permesso etc.). Pertanto, la formula del FTE giuridico va intesa come il prodotto delle ore di lavoro dedicate alle attività di controllo interno in una settimana, per il numero di addetti appartenenti ad una medesima tipologia contrattuale; tale prodotto andrà successivamente diviso per trentasei e moltiplicato per il numero di giorni di lavoro previsti (da contratto) nell’anno, risultato, questo, che dovrà essere poi diviso per trecentosessantacinque. Per più dettagliate esemplificazioni in merito alle </w:t>
      </w:r>
      <w:r>
        <w:lastRenderedPageBreak/>
        <w:t xml:space="preserve">unità FTE, si rinvia alle indicazioni contenute nel foglio «Istruzioni» posto in apertura al questionario. Maggiore considerazione merita, inoltre, la risposta al quesito introduttivo (domanda 1.1) della sezione prima (Sistema dei controlli interni), poiché numerosi enti hanno dichiarato di esercitare il proprio sistema di controlli interni in conformità a quanto previsto dai regolamenti dell’Ente con riferimento a tutte le tipologie di controllo previste come obbligatorie. </w:t>
      </w:r>
    </w:p>
    <w:p w:rsidR="0044448E" w:rsidRDefault="0044448E" w:rsidP="0044448E">
      <w:pPr>
        <w:shd w:val="clear" w:color="auto" w:fill="FEFEFE"/>
        <w:spacing w:after="0" w:line="20" w:lineRule="atLeast"/>
        <w:jc w:val="both"/>
        <w:outlineLvl w:val="1"/>
      </w:pPr>
      <w:r>
        <w:t xml:space="preserve">Tale attestazione iniziale risulta poi smentita, in svariate ipotesi, da indicazioni successive inconciliabili con una corretta e adeguata tenuta dei controlli interni, con ciò dimostrando l’esistenza di gravi carenze operative evidentemente sottovalutate dagli stessi amministratori. </w:t>
      </w:r>
    </w:p>
    <w:p w:rsidR="0044448E" w:rsidRDefault="0044448E" w:rsidP="0044448E">
      <w:pPr>
        <w:shd w:val="clear" w:color="auto" w:fill="FEFEFE"/>
        <w:spacing w:after="0" w:line="20" w:lineRule="atLeast"/>
        <w:jc w:val="both"/>
        <w:outlineLvl w:val="1"/>
      </w:pPr>
      <w:r>
        <w:t xml:space="preserve">Si sottolinea, pertanto, come le Sezioni regionali competenti, non potendo assegnare alcun grado di affidabilità al funzionamento del sistema di controlli interni così attestato, impegneranno le suddette Amministrazioni in controlli più serrati diretti a ridurre il rischio di possibili ricadute sugli equilibri di bilancio e sulla sana gestione finanziaria dell’Ente. </w:t>
      </w:r>
    </w:p>
    <w:p w:rsidR="0044448E" w:rsidRDefault="0044448E" w:rsidP="0044448E">
      <w:pPr>
        <w:shd w:val="clear" w:color="auto" w:fill="FEFEFE"/>
        <w:spacing w:after="0" w:line="20" w:lineRule="atLeast"/>
        <w:jc w:val="both"/>
        <w:outlineLvl w:val="1"/>
      </w:pPr>
      <w:r>
        <w:t xml:space="preserve">Quanto al controllo di regolarità amministrativa e contabile, si rappresenta, infine, l’esigenza che l’esame ex post degli atti, attuato mediante campionamento, sia esteso a campioni significativi, facendo ricorso a tecniche di campionamento assistite da attendibili metodologie statistiche. Al riguardo, si segnala che presso il Consiglio nazionale dei dottori commercialisti e degli esperti contabili opera un gruppo di studio per l’elaborazione di metodologie di campionamento destinato ai revisori contabili, che potrebbe risultare d’interesse anche a questi fini. </w:t>
      </w:r>
    </w:p>
    <w:p w:rsidR="0044448E" w:rsidRDefault="0044448E" w:rsidP="0044448E">
      <w:pPr>
        <w:shd w:val="clear" w:color="auto" w:fill="FEFEFE"/>
        <w:spacing w:after="0" w:line="20" w:lineRule="atLeast"/>
        <w:jc w:val="both"/>
        <w:outlineLvl w:val="1"/>
      </w:pPr>
      <w:r>
        <w:t xml:space="preserve">5. In ordine alle modalità di compilazione e di invio della relazione-questionario sul funzionamento del sistema integrato dei controlli interni nell’esercizio 2018, come per l’anno passato, sarà necessario accedere al sistema «Con.Te.», dal quale scaricare e, successivamente, trasmettere compilato il documento contenente lo schema di relazione sempre mediante l’applicativo «Con.Te.». </w:t>
      </w:r>
    </w:p>
    <w:p w:rsidR="0044448E" w:rsidRDefault="0044448E" w:rsidP="0044448E">
      <w:pPr>
        <w:shd w:val="clear" w:color="auto" w:fill="FEFEFE"/>
        <w:spacing w:after="0" w:line="20" w:lineRule="atLeast"/>
        <w:jc w:val="both"/>
        <w:outlineLvl w:val="1"/>
      </w:pPr>
      <w:r>
        <w:t xml:space="preserve">A tal fine, occorre collegarsi al sito della Corte dei conti, area «Servizi», selezionare l’area «Portale dei servizi online» per poi accedere, con le richieste credenziali, al sistema «Con.Te.», da cui scaricare l’allegato questionario dal box «Utilità - Schemi/Modelli» presente nella </w:t>
      </w:r>
      <w:proofErr w:type="gramStart"/>
      <w:r>
        <w:t>homepage .</w:t>
      </w:r>
      <w:proofErr w:type="gramEnd"/>
      <w:r>
        <w:t xml:space="preserve"> Prima della compilazione, occorre procedere alla ridenominazione del file, in base alla tipologia di ente, utilizzando il seguente schema: REGIONE_SIGLA PROVINCIA_ENTE_Controlli_Interni_2018 (Es. 1 Comune: EMILIA ROMAGNA_MO_MODENA_Controlli_ Interni_2018; Es. 2 Provincia: EMILIA ROMAGNA_MO_A.P. di MODENA_ Controlli_Interni_2018; Es. 3 Città Metropolitana: LAZIO_RM_C.M. di ROMA_ Controlli_Interni_2018). </w:t>
      </w:r>
    </w:p>
    <w:p w:rsidR="0044448E" w:rsidRDefault="0044448E" w:rsidP="0044448E">
      <w:pPr>
        <w:shd w:val="clear" w:color="auto" w:fill="FEFEFE"/>
        <w:spacing w:after="0" w:line="20" w:lineRule="atLeast"/>
        <w:jc w:val="both"/>
        <w:outlineLvl w:val="1"/>
      </w:pPr>
      <w:r>
        <w:t xml:space="preserve">Per la restituzione della relazione, occorrerà invece selezionare, sempre attraverso il sistema «Con.Te», la funzione «Invio da EETT» presente nel menù «Documenti». Per gli utenti sprovvisti di credenziali di accesso sarà necessario eseguire prima la registrazione sul Portale «SOLE». Quindi, dopo avere effettuato la registrazione per il profilo di pertinenza (Responsabile Servizi Finanziari - RSF; Responsabile invio dati - RIDC) e ottenute, via e-mail, user-id e </w:t>
      </w:r>
      <w:proofErr w:type="gramStart"/>
      <w:r>
        <w:t>password ,</w:t>
      </w:r>
      <w:proofErr w:type="gramEnd"/>
      <w:r>
        <w:t xml:space="preserve"> sarà possibile collegarsi a «Con.Te.» In proposito, si richiama l’attenzione sulla necessità che la presente relazione-questionario riguardante i controlli svolti nell’anno 2018 sia trasmessa alla Corte dei conti, con le suindicate modalità, entro il 30 ottobre 2019, salvo termine più breve eventualmente stabilito dalle Sezioni regionali per gli enti territoriali di rispettiva competenza. </w:t>
      </w:r>
    </w:p>
    <w:p w:rsidR="0044448E" w:rsidRDefault="0044448E" w:rsidP="0044448E">
      <w:pPr>
        <w:shd w:val="clear" w:color="auto" w:fill="FEFEFE"/>
        <w:spacing w:after="0" w:line="20" w:lineRule="atLeast"/>
        <w:jc w:val="both"/>
        <w:outlineLvl w:val="1"/>
      </w:pPr>
      <w:r>
        <w:t>SCHEMA PER IL REFERTO ANNUALE DEL SINDACO DEI COMUNI CON POPOLAZIONE SUPERIORE AI 15.000 ABITANTI, DEL SINDACO DELLE CITTÀ METROPOLITANE E DEL PRESIDENTE DELLE PROVINCE SUL FUNZIONAMENTO DEL SISTEMA INTEGRATO DEI CONTROLLI INTERNI NELL'ESERCIZIO 2018 (ART. 148 TUEL)</w:t>
      </w:r>
    </w:p>
    <w:p w:rsidR="009A73A1" w:rsidRDefault="009A73A1" w:rsidP="0044448E">
      <w:pPr>
        <w:shd w:val="clear" w:color="auto" w:fill="FEFEFE"/>
        <w:spacing w:after="0" w:line="20" w:lineRule="atLeast"/>
        <w:jc w:val="both"/>
        <w:outlineLvl w:val="1"/>
      </w:pPr>
    </w:p>
    <w:p w:rsidR="00207105" w:rsidRPr="00207105" w:rsidRDefault="00207105" w:rsidP="0020710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EFEFE"/>
        <w:spacing w:after="0" w:line="20" w:lineRule="atLeast"/>
        <w:jc w:val="center"/>
        <w:outlineLvl w:val="1"/>
        <w:rPr>
          <w:b/>
        </w:rPr>
      </w:pPr>
      <w:r w:rsidRPr="00207105">
        <w:rPr>
          <w:b/>
        </w:rPr>
        <w:t>FAMIGLIA</w:t>
      </w:r>
    </w:p>
    <w:p w:rsidR="009A73A1" w:rsidRDefault="009A73A1" w:rsidP="0044448E">
      <w:pPr>
        <w:shd w:val="clear" w:color="auto" w:fill="FEFEFE"/>
        <w:spacing w:after="0" w:line="20" w:lineRule="atLeast"/>
        <w:jc w:val="both"/>
        <w:outlineLvl w:val="1"/>
      </w:pPr>
    </w:p>
    <w:p w:rsidR="002E3F2E" w:rsidRPr="001262AA" w:rsidRDefault="002E3F2E" w:rsidP="0044448E">
      <w:pPr>
        <w:shd w:val="clear" w:color="auto" w:fill="FEFEFE"/>
        <w:spacing w:after="0" w:line="20" w:lineRule="atLeast"/>
        <w:jc w:val="both"/>
        <w:outlineLvl w:val="1"/>
        <w:rPr>
          <w:b/>
        </w:rPr>
      </w:pPr>
      <w:r w:rsidRPr="001262AA">
        <w:rPr>
          <w:b/>
        </w:rPr>
        <w:t>C</w:t>
      </w:r>
      <w:r w:rsidR="009A73A1" w:rsidRPr="001262AA">
        <w:rPr>
          <w:b/>
        </w:rPr>
        <w:t xml:space="preserve">ONSIGLIO DEI MINISTRI DIPARTIMENTO PER LE POLITICHE DELLA FAMIGLIA </w:t>
      </w:r>
    </w:p>
    <w:p w:rsidR="002E3F2E" w:rsidRDefault="009A73A1" w:rsidP="0044448E">
      <w:pPr>
        <w:shd w:val="clear" w:color="auto" w:fill="FEFEFE"/>
        <w:spacing w:after="0" w:line="20" w:lineRule="atLeast"/>
        <w:jc w:val="both"/>
        <w:outlineLvl w:val="1"/>
      </w:pPr>
      <w:r w:rsidRPr="00732DB9">
        <w:rPr>
          <w:b/>
        </w:rPr>
        <w:t xml:space="preserve">DECRETO 27 giugno </w:t>
      </w:r>
      <w:proofErr w:type="gramStart"/>
      <w:r w:rsidRPr="00732DB9">
        <w:rPr>
          <w:b/>
        </w:rPr>
        <w:t>2019</w:t>
      </w:r>
      <w:r w:rsidR="00732DB9">
        <w:rPr>
          <w:b/>
        </w:rPr>
        <w:t xml:space="preserve">, </w:t>
      </w:r>
      <w:r>
        <w:t xml:space="preserve"> Rilascio</w:t>
      </w:r>
      <w:proofErr w:type="gramEnd"/>
      <w:r>
        <w:t xml:space="preserve"> della Carta della famiglia.</w:t>
      </w:r>
      <w:r w:rsidR="001262AA">
        <w:t xml:space="preserve"> (GU n. 203 del 30.8.19)</w:t>
      </w:r>
    </w:p>
    <w:p w:rsidR="002E3F2E" w:rsidRDefault="009A73A1" w:rsidP="0044448E">
      <w:pPr>
        <w:shd w:val="clear" w:color="auto" w:fill="FEFEFE"/>
        <w:spacing w:after="0" w:line="20" w:lineRule="atLeast"/>
        <w:jc w:val="both"/>
        <w:outlineLvl w:val="1"/>
      </w:pPr>
      <w:r>
        <w:t xml:space="preserve">IL MINISTRO PER LA FAMIGLIA E LE DISABILITÀ </w:t>
      </w:r>
    </w:p>
    <w:p w:rsidR="002E3F2E" w:rsidRDefault="009A73A1" w:rsidP="0044448E">
      <w:pPr>
        <w:shd w:val="clear" w:color="auto" w:fill="FEFEFE"/>
        <w:spacing w:after="0" w:line="20" w:lineRule="atLeast"/>
        <w:jc w:val="both"/>
        <w:outlineLvl w:val="1"/>
      </w:pPr>
      <w:r>
        <w:t>DI CONCERTO CON</w:t>
      </w:r>
    </w:p>
    <w:p w:rsidR="002E3F2E" w:rsidRDefault="009A73A1" w:rsidP="0044448E">
      <w:pPr>
        <w:shd w:val="clear" w:color="auto" w:fill="FEFEFE"/>
        <w:spacing w:after="0" w:line="20" w:lineRule="atLeast"/>
        <w:jc w:val="both"/>
        <w:outlineLvl w:val="1"/>
      </w:pPr>
      <w:r>
        <w:t>IL MINISTRO DELL’ECONOMIA E DELLE FINANZE</w:t>
      </w:r>
    </w:p>
    <w:p w:rsidR="001262AA" w:rsidRDefault="009A73A1" w:rsidP="0044448E">
      <w:pPr>
        <w:shd w:val="clear" w:color="auto" w:fill="FEFEFE"/>
        <w:spacing w:after="0" w:line="20" w:lineRule="atLeast"/>
        <w:jc w:val="both"/>
        <w:outlineLvl w:val="1"/>
      </w:pPr>
      <w:r>
        <w:t xml:space="preserve">Visto il decreto-legge 12 luglio 2018, n. 86, convertito con la legge 9 agosto 2018, n. 97, recante «Disposizioni urgenti in materia di riordino delle attribuzioni dei Ministeri dei beni e delle attività culturali e del turismo, delle politiche agricole alimentari e forestali e dell’ambiente e della tutela del territorio e del mare, nonché </w:t>
      </w:r>
      <w:r>
        <w:lastRenderedPageBreak/>
        <w:t xml:space="preserve">in materia di famiglia e di disabilità», ed in particolare l’art. 3 che attribuisce al Presidente del Consiglio dei ministri ovvero al Ministro delegato per la famiglia e le disabilità le funzioni statali di competenza del Ministero del lavoro e delle politiche sociali concernenti la carta della famiglia, di cui all’art. 1, comma 391 della legge 28 dicembre 2015, n. 208; </w:t>
      </w:r>
    </w:p>
    <w:p w:rsidR="001262AA" w:rsidRDefault="009A73A1" w:rsidP="0044448E">
      <w:pPr>
        <w:shd w:val="clear" w:color="auto" w:fill="FEFEFE"/>
        <w:spacing w:after="0" w:line="20" w:lineRule="atLeast"/>
        <w:jc w:val="both"/>
        <w:outlineLvl w:val="1"/>
      </w:pPr>
      <w:r>
        <w:t xml:space="preserve">Vista la legge 28 dicembre 2015, n. 208, recante «Disposizioni per la formazione del bilancio annuale e pluriennale dello Stato», ed in particolare l’art. 1, comma 391, sostituito dall’art. 1, comma 487 della legge 30 dicembre 2018, n. 145, recante «Bilancio di previsione dello Stato per l’anno finanziario 2019 e bilancio pluriennale per il triennio 2019-2021» che istituisce la Carta della famiglia, destinata alle famiglie costituite da cittadini italiani ovvero appartenenti a paesi membri dell’Unione europea regolarmente residenti nel territorio italiano, con almeno tre figli conviventi di età non superiore a ventisei anni; </w:t>
      </w:r>
    </w:p>
    <w:p w:rsidR="001262AA" w:rsidRDefault="009A73A1" w:rsidP="0044448E">
      <w:pPr>
        <w:shd w:val="clear" w:color="auto" w:fill="FEFEFE"/>
        <w:spacing w:after="0" w:line="20" w:lineRule="atLeast"/>
        <w:jc w:val="both"/>
        <w:outlineLvl w:val="1"/>
      </w:pPr>
      <w:r>
        <w:t xml:space="preserve">Visto l’art. 1, comma 391 della legge n. 208 del 2015, come sostituito dall’art. 1, comma 487 della legge 30 dicembre 2018, n. 145, il quale prevede che, con successivo decreto del Presidente del Consiglio dei ministri ovvero del Ministro per la famiglia e le disabilità, di concerto con il Ministro dell’economia e delle finanze, da emanare entro tre mesi dalla data di entrata in vigore della legge 30 dicembre 2018, n. 145, vengano stabiliti i criteri e le modalità per il rilascio della carta alle famiglie che ne facciano richiesta; </w:t>
      </w:r>
    </w:p>
    <w:p w:rsidR="001262AA" w:rsidRDefault="009A73A1" w:rsidP="0044448E">
      <w:pPr>
        <w:shd w:val="clear" w:color="auto" w:fill="FEFEFE"/>
        <w:spacing w:after="0" w:line="20" w:lineRule="atLeast"/>
        <w:jc w:val="both"/>
        <w:outlineLvl w:val="1"/>
      </w:pPr>
      <w:r>
        <w:t xml:space="preserve">Visto il decreto del Presidente della Repubblica 31 maggio 2018, con il quale l’on. le Lorenzo Fontana è stato nominato Ministro senza portafoglio; Visto il decreto del Presidente del Consiglio dei ministri 1° giugno 2018, con il quale è stato conferito al Ministro, on. Lorenzo Fontana, l’incarico per la famiglia e le disabilità; </w:t>
      </w:r>
    </w:p>
    <w:p w:rsidR="001262AA" w:rsidRDefault="009A73A1" w:rsidP="0044448E">
      <w:pPr>
        <w:shd w:val="clear" w:color="auto" w:fill="FEFEFE"/>
        <w:spacing w:after="0" w:line="20" w:lineRule="atLeast"/>
        <w:jc w:val="both"/>
        <w:outlineLvl w:val="1"/>
      </w:pPr>
      <w:r>
        <w:t xml:space="preserve">Visto il decreto del Presidente del Consiglio dei ministri 27 giugno 2018 con il quale al Ministro senza portafoglio on. Lorenzo Fontana è stata conferita la delega di funzioni in materia di politiche per la famiglia; </w:t>
      </w:r>
    </w:p>
    <w:p w:rsidR="001262AA" w:rsidRDefault="009A73A1" w:rsidP="0044448E">
      <w:pPr>
        <w:shd w:val="clear" w:color="auto" w:fill="FEFEFE"/>
        <w:spacing w:after="0" w:line="20" w:lineRule="atLeast"/>
        <w:jc w:val="both"/>
        <w:outlineLvl w:val="1"/>
      </w:pPr>
      <w:r>
        <w:t xml:space="preserve">Decreta: </w:t>
      </w:r>
    </w:p>
    <w:p w:rsidR="001262AA" w:rsidRDefault="009A73A1" w:rsidP="0044448E">
      <w:pPr>
        <w:shd w:val="clear" w:color="auto" w:fill="FEFEFE"/>
        <w:spacing w:after="0" w:line="20" w:lineRule="atLeast"/>
        <w:jc w:val="both"/>
        <w:outlineLvl w:val="1"/>
      </w:pPr>
      <w:r>
        <w:t xml:space="preserve">Art. 1. Oggetto </w:t>
      </w:r>
    </w:p>
    <w:p w:rsidR="00732DB9" w:rsidRDefault="009A73A1" w:rsidP="0044448E">
      <w:pPr>
        <w:shd w:val="clear" w:color="auto" w:fill="FEFEFE"/>
        <w:spacing w:after="0" w:line="20" w:lineRule="atLeast"/>
        <w:jc w:val="both"/>
        <w:outlineLvl w:val="1"/>
      </w:pPr>
      <w:r>
        <w:t xml:space="preserve">1. Per il triennio 2019-2021 il presente decreto: </w:t>
      </w:r>
    </w:p>
    <w:p w:rsidR="00732DB9" w:rsidRDefault="009A73A1" w:rsidP="0044448E">
      <w:pPr>
        <w:shd w:val="clear" w:color="auto" w:fill="FEFEFE"/>
        <w:spacing w:after="0" w:line="20" w:lineRule="atLeast"/>
        <w:jc w:val="both"/>
        <w:outlineLvl w:val="1"/>
      </w:pPr>
      <w:r>
        <w:t xml:space="preserve">a) specifica i criteri per l’individuazione dei beneficiari della Carta della famiglia (di seguito denominata «Carta»); </w:t>
      </w:r>
    </w:p>
    <w:p w:rsidR="00732DB9" w:rsidRDefault="009A73A1" w:rsidP="0044448E">
      <w:pPr>
        <w:shd w:val="clear" w:color="auto" w:fill="FEFEFE"/>
        <w:spacing w:after="0" w:line="20" w:lineRule="atLeast"/>
        <w:jc w:val="both"/>
        <w:outlineLvl w:val="1"/>
      </w:pPr>
      <w:r>
        <w:t xml:space="preserve">b) definisce le modalità di rilascio della Carta; </w:t>
      </w:r>
    </w:p>
    <w:p w:rsidR="001262AA" w:rsidRDefault="009A73A1" w:rsidP="0044448E">
      <w:pPr>
        <w:shd w:val="clear" w:color="auto" w:fill="FEFEFE"/>
        <w:spacing w:after="0" w:line="20" w:lineRule="atLeast"/>
        <w:jc w:val="both"/>
        <w:outlineLvl w:val="1"/>
      </w:pPr>
      <w:r>
        <w:t xml:space="preserve">c) definisce le agevolazioni previste per i titolari della Carta. </w:t>
      </w:r>
    </w:p>
    <w:p w:rsidR="001262AA" w:rsidRDefault="009A73A1" w:rsidP="0044448E">
      <w:pPr>
        <w:shd w:val="clear" w:color="auto" w:fill="FEFEFE"/>
        <w:spacing w:after="0" w:line="20" w:lineRule="atLeast"/>
        <w:jc w:val="both"/>
        <w:outlineLvl w:val="1"/>
      </w:pPr>
      <w:r>
        <w:t xml:space="preserve">Art. 2. Destinatari della Carta della famiglia </w:t>
      </w:r>
    </w:p>
    <w:p w:rsidR="001262AA" w:rsidRDefault="009A73A1" w:rsidP="0044448E">
      <w:pPr>
        <w:shd w:val="clear" w:color="auto" w:fill="FEFEFE"/>
        <w:spacing w:after="0" w:line="20" w:lineRule="atLeast"/>
        <w:jc w:val="both"/>
        <w:outlineLvl w:val="1"/>
      </w:pPr>
      <w:r>
        <w:t xml:space="preserve">1. I destinatari della Carta sono le famiglie costituite da cittadini italiani ovvero appartenenti a Paesi membri dell’Unione europea regolarmente residenti nel territorio italiano, con almeno tre figli conviventi di età non superiore a ventisei anni. Ai fini del presente regolamento, il nucleo familiare regolarmente residente è costituito dai soggetti componenti la famiglia anagrafica tra i quali sussiste un rapporto di filiazione, anche adottiva, con almeno uno dei due genitori. </w:t>
      </w:r>
    </w:p>
    <w:p w:rsidR="001262AA" w:rsidRDefault="009A73A1" w:rsidP="0044448E">
      <w:pPr>
        <w:shd w:val="clear" w:color="auto" w:fill="FEFEFE"/>
        <w:spacing w:after="0" w:line="20" w:lineRule="atLeast"/>
        <w:jc w:val="both"/>
        <w:outlineLvl w:val="1"/>
      </w:pPr>
      <w:r>
        <w:t xml:space="preserve">2. La richiesta della Carta è presentata da uno dei genitori del nucleo familiare ed è utilizzabile da tutti i componenti del medesimo nucleo familiare come definito dal comma 1. </w:t>
      </w:r>
    </w:p>
    <w:p w:rsidR="001262AA" w:rsidRDefault="009A73A1" w:rsidP="0044448E">
      <w:pPr>
        <w:shd w:val="clear" w:color="auto" w:fill="FEFEFE"/>
        <w:spacing w:after="0" w:line="20" w:lineRule="atLeast"/>
        <w:jc w:val="both"/>
        <w:outlineLvl w:val="1"/>
      </w:pPr>
      <w:r>
        <w:t xml:space="preserve">Art. 3. Rilascio della Carta della famiglia </w:t>
      </w:r>
    </w:p>
    <w:p w:rsidR="001262AA" w:rsidRDefault="009A73A1" w:rsidP="0044448E">
      <w:pPr>
        <w:shd w:val="clear" w:color="auto" w:fill="FEFEFE"/>
        <w:spacing w:after="0" w:line="20" w:lineRule="atLeast"/>
        <w:jc w:val="both"/>
        <w:outlineLvl w:val="1"/>
      </w:pPr>
      <w:r>
        <w:t xml:space="preserve">1. La Carta viene emessa in via telematica, su richiesta degli interessati, dal Dipartimento per le politiche della famiglia della Presidenza del Consiglio dei ministri mediante una piattaforma digitale articolata in un portale internet e in corrispondenti applicazioni per i principali sistemi operativi di telefonia mobile. Mediante accesso alla piattaforma, il richiedente è tenuto a dichiarare il possesso dei requisiti di cui all’art. 2, ai sensi dell’art. 71 del decreto del Presidente della Repubblica 28 dicembre 2000, n. 445, nonché ad aggiornare le informazioni fornite entro trenta giorni dall’evento modificativo delle precedenti dichiarazioni rese, a pena di revoca della Carta. </w:t>
      </w:r>
    </w:p>
    <w:p w:rsidR="001262AA" w:rsidRDefault="009A73A1" w:rsidP="0044448E">
      <w:pPr>
        <w:shd w:val="clear" w:color="auto" w:fill="FEFEFE"/>
        <w:spacing w:after="0" w:line="20" w:lineRule="atLeast"/>
        <w:jc w:val="both"/>
        <w:outlineLvl w:val="1"/>
      </w:pPr>
      <w:r>
        <w:t xml:space="preserve">2. Il Dipartimento per le politiche della famiglia favorisce l’accesso alla piattaforma di cui al comma 1 dei soggetti pubblici e privati che aderiscono all’iniziativa, per consentire la verifica della titolarità e della validità della Carta. </w:t>
      </w:r>
    </w:p>
    <w:p w:rsidR="001262AA" w:rsidRDefault="009A73A1" w:rsidP="0044448E">
      <w:pPr>
        <w:shd w:val="clear" w:color="auto" w:fill="FEFEFE"/>
        <w:spacing w:after="0" w:line="20" w:lineRule="atLeast"/>
        <w:jc w:val="both"/>
        <w:outlineLvl w:val="1"/>
      </w:pPr>
      <w:r>
        <w:t xml:space="preserve">3. Il Dipartimento per le politiche della famiglia della Presidenza del Consiglio dei ministri effettua controlli a campione sulle dichiarazioni rese dai richiedenti ai sensi del citato art. 71 del decreto del Presidente della Repubblica 28 dicembre 2000, n. 445. </w:t>
      </w:r>
    </w:p>
    <w:p w:rsidR="001262AA" w:rsidRDefault="009A73A1" w:rsidP="0044448E">
      <w:pPr>
        <w:shd w:val="clear" w:color="auto" w:fill="FEFEFE"/>
        <w:spacing w:after="0" w:line="20" w:lineRule="atLeast"/>
        <w:jc w:val="both"/>
        <w:outlineLvl w:val="1"/>
      </w:pPr>
      <w:r>
        <w:t>4. In caso di falsa dichiarazione si applicano le disposizioni di cui all’art. 76 del citato decreto del Presidente della Repubblica 28 dicembre 2000, n. 445 e si procede alla revoca della Carta con effetto immediato.</w:t>
      </w:r>
    </w:p>
    <w:p w:rsidR="001262AA" w:rsidRDefault="009A73A1" w:rsidP="0044448E">
      <w:pPr>
        <w:shd w:val="clear" w:color="auto" w:fill="FEFEFE"/>
        <w:spacing w:after="0" w:line="20" w:lineRule="atLeast"/>
        <w:jc w:val="both"/>
        <w:outlineLvl w:val="1"/>
      </w:pPr>
      <w:r>
        <w:lastRenderedPageBreak/>
        <w:t xml:space="preserve">5. La Carta reca il logo dell’iniziativa di cui all’art. 6 del presente decreto e riporta le informazioni necessarie al suo utilizzo. 6. Per le attività di cui ai commi da 1 a 3 e dell’art. 7, il Dipartimento per le politiche della famiglia può avvalersi della Sogei - Società generale d’informatica S.p.a. </w:t>
      </w:r>
    </w:p>
    <w:p w:rsidR="001262AA" w:rsidRDefault="009A73A1" w:rsidP="0044448E">
      <w:pPr>
        <w:shd w:val="clear" w:color="auto" w:fill="FEFEFE"/>
        <w:spacing w:after="0" w:line="20" w:lineRule="atLeast"/>
        <w:jc w:val="both"/>
        <w:outlineLvl w:val="1"/>
      </w:pPr>
      <w:r>
        <w:t xml:space="preserve">Art. 4. Agevolazioni </w:t>
      </w:r>
    </w:p>
    <w:p w:rsidR="001262AA" w:rsidRDefault="009A73A1" w:rsidP="0044448E">
      <w:pPr>
        <w:shd w:val="clear" w:color="auto" w:fill="FEFEFE"/>
        <w:spacing w:after="0" w:line="20" w:lineRule="atLeast"/>
        <w:jc w:val="both"/>
        <w:outlineLvl w:val="1"/>
      </w:pPr>
      <w:r>
        <w:t xml:space="preserve">1. La Carta consente l’accesso a sconti sull’acquisto di beni o servizi, ovvero a riduzioni tariffarie concesse dai soggetti pubblici o privati che intendano contribuire all’iniziativa. In ogni caso, gli sconti e/o le riduzioni concesse devono essere almeno pari al cinque per cento del prezzo offerto al pubblico. </w:t>
      </w:r>
    </w:p>
    <w:p w:rsidR="001262AA" w:rsidRDefault="009A73A1" w:rsidP="0044448E">
      <w:pPr>
        <w:shd w:val="clear" w:color="auto" w:fill="FEFEFE"/>
        <w:spacing w:after="0" w:line="20" w:lineRule="atLeast"/>
        <w:jc w:val="both"/>
        <w:outlineLvl w:val="1"/>
      </w:pPr>
      <w:r>
        <w:t xml:space="preserve">2. In seguito alla pubblicazione di un avviso per l’acquisizione di manifestazioni d’interesse, i benefici sono attivati mediante protocolli d’intesa o convenzioni tra il Dipartimento per le politiche della famiglia della Presidenza del Consiglio dei ministri e soggetti pubblici e privati, previa verifica della coerenza della manifestazione d’interesse con i requisiti e le finalità dell’iniziativa. </w:t>
      </w:r>
    </w:p>
    <w:p w:rsidR="001262AA" w:rsidRDefault="009A73A1" w:rsidP="0044448E">
      <w:pPr>
        <w:shd w:val="clear" w:color="auto" w:fill="FEFEFE"/>
        <w:spacing w:after="0" w:line="20" w:lineRule="atLeast"/>
        <w:jc w:val="both"/>
        <w:outlineLvl w:val="1"/>
      </w:pPr>
      <w:r>
        <w:t xml:space="preserve">3. Il Dipartimento per le politiche della famiglia della Presidenza del Consiglio dei ministri può avviare forme di collaborazione con la Conferenza delle regioni e delle province autonome, l’Unione delle province d’Italia e l’Associazione nazionale comuni italiani al fine di promuovere i protocolli d’intesa e le convenzioni nonché la diffusione della Carta. </w:t>
      </w:r>
    </w:p>
    <w:p w:rsidR="001262AA" w:rsidRDefault="009A73A1" w:rsidP="0044448E">
      <w:pPr>
        <w:shd w:val="clear" w:color="auto" w:fill="FEFEFE"/>
        <w:spacing w:after="0" w:line="20" w:lineRule="atLeast"/>
        <w:jc w:val="both"/>
        <w:outlineLvl w:val="1"/>
      </w:pPr>
      <w:r>
        <w:t xml:space="preserve">4. Il Dipartimento per le politiche della famiglia della Presidenza del Consiglio dei ministri provvede ad aggiornare l’elenco dei soggetti aderenti sul proprio sito istituzionale nonché sul portale di cui al comma 1, dell’art. 3, del presente decreto. </w:t>
      </w:r>
    </w:p>
    <w:p w:rsidR="001262AA" w:rsidRDefault="009A73A1" w:rsidP="0044448E">
      <w:pPr>
        <w:shd w:val="clear" w:color="auto" w:fill="FEFEFE"/>
        <w:spacing w:after="0" w:line="20" w:lineRule="atLeast"/>
        <w:jc w:val="both"/>
        <w:outlineLvl w:val="1"/>
      </w:pPr>
      <w:r>
        <w:t xml:space="preserve">Art. 5. Modalità di fruizione dei benefici della Carta famiglia </w:t>
      </w:r>
    </w:p>
    <w:p w:rsidR="001262AA" w:rsidRDefault="009A73A1" w:rsidP="0044448E">
      <w:pPr>
        <w:shd w:val="clear" w:color="auto" w:fill="FEFEFE"/>
        <w:spacing w:after="0" w:line="20" w:lineRule="atLeast"/>
        <w:jc w:val="both"/>
        <w:outlineLvl w:val="1"/>
      </w:pPr>
      <w:r>
        <w:t xml:space="preserve">1. La Carta è utilizzabile dai soli componenti del nucleo familiare come definito all’art. 2 del presente decreto e non può essere ceduta a terzi. </w:t>
      </w:r>
    </w:p>
    <w:p w:rsidR="001262AA" w:rsidRDefault="009A73A1" w:rsidP="0044448E">
      <w:pPr>
        <w:shd w:val="clear" w:color="auto" w:fill="FEFEFE"/>
        <w:spacing w:after="0" w:line="20" w:lineRule="atLeast"/>
        <w:jc w:val="both"/>
        <w:outlineLvl w:val="1"/>
      </w:pPr>
      <w:r>
        <w:t xml:space="preserve">2. La Carta può essere utilizzata unicamente per ottenere i benefici spettanti. È esclusa ogni forma di utilizzo come carta di credito o di debito. </w:t>
      </w:r>
    </w:p>
    <w:p w:rsidR="001262AA" w:rsidRDefault="009A73A1" w:rsidP="0044448E">
      <w:pPr>
        <w:shd w:val="clear" w:color="auto" w:fill="FEFEFE"/>
        <w:spacing w:after="0" w:line="20" w:lineRule="atLeast"/>
        <w:jc w:val="both"/>
        <w:outlineLvl w:val="1"/>
      </w:pPr>
      <w:r>
        <w:t xml:space="preserve">Art. 6. Logo della Carta </w:t>
      </w:r>
    </w:p>
    <w:p w:rsidR="001262AA" w:rsidRDefault="009A73A1" w:rsidP="0044448E">
      <w:pPr>
        <w:shd w:val="clear" w:color="auto" w:fill="FEFEFE"/>
        <w:spacing w:after="0" w:line="20" w:lineRule="atLeast"/>
        <w:jc w:val="both"/>
        <w:outlineLvl w:val="1"/>
      </w:pPr>
      <w:r>
        <w:t>1. Il Dipartimento per le politiche della famiglia della Presidenza del Consiglio dei ministri predispone un logo della Carta, con lo scopo di identificare in forma originale ed efficace l’iniziativa</w:t>
      </w:r>
      <w:r w:rsidR="001262AA">
        <w:t>.</w:t>
      </w:r>
    </w:p>
    <w:p w:rsidR="001262AA" w:rsidRDefault="009A73A1" w:rsidP="0044448E">
      <w:pPr>
        <w:shd w:val="clear" w:color="auto" w:fill="FEFEFE"/>
        <w:spacing w:after="0" w:line="20" w:lineRule="atLeast"/>
        <w:jc w:val="both"/>
        <w:outlineLvl w:val="1"/>
      </w:pPr>
      <w:r>
        <w:t xml:space="preserve">2. I soggetti pubblici e privati che aderiscono all’iniziativa hanno facoltà di utilizzare il logo in ogni pratica commerciale, ai sensi dell’art. 18, comma 1, lettera d) del decreto legislativo 6 settembre 2005, n. 206 e successive modificazioni. </w:t>
      </w:r>
    </w:p>
    <w:p w:rsidR="001262AA" w:rsidRDefault="009A73A1" w:rsidP="0044448E">
      <w:pPr>
        <w:shd w:val="clear" w:color="auto" w:fill="FEFEFE"/>
        <w:spacing w:after="0" w:line="20" w:lineRule="atLeast"/>
        <w:jc w:val="both"/>
        <w:outlineLvl w:val="1"/>
      </w:pPr>
      <w:r>
        <w:t xml:space="preserve">Art. 7. Sito internet della Carta </w:t>
      </w:r>
    </w:p>
    <w:p w:rsidR="001262AA" w:rsidRDefault="009A73A1" w:rsidP="0044448E">
      <w:pPr>
        <w:shd w:val="clear" w:color="auto" w:fill="FEFEFE"/>
        <w:spacing w:after="0" w:line="20" w:lineRule="atLeast"/>
        <w:jc w:val="both"/>
        <w:outlineLvl w:val="1"/>
      </w:pPr>
      <w:r>
        <w:t xml:space="preserve">1. Sul sito istituzionale del Dipartimento per le politiche della famiglia della Presidenza del Consiglio dei ministri è predisposta una specifica sezione informativa dedicata alla Carta, con accesso diretto al portale di cui all’art. 3, comma 1 del presente decreto ovvero alle piattaforme per l’acquisizione delle corrispondenti applicazioni per la telefonia mobile. </w:t>
      </w:r>
    </w:p>
    <w:p w:rsidR="001262AA" w:rsidRDefault="009A73A1" w:rsidP="0044448E">
      <w:pPr>
        <w:shd w:val="clear" w:color="auto" w:fill="FEFEFE"/>
        <w:spacing w:after="0" w:line="20" w:lineRule="atLeast"/>
        <w:jc w:val="both"/>
        <w:outlineLvl w:val="1"/>
      </w:pPr>
      <w:r>
        <w:t xml:space="preserve">Art. 8. Carta della famiglia di precedente emissione </w:t>
      </w:r>
    </w:p>
    <w:p w:rsidR="001262AA" w:rsidRDefault="009A73A1" w:rsidP="0044448E">
      <w:pPr>
        <w:shd w:val="clear" w:color="auto" w:fill="FEFEFE"/>
        <w:spacing w:after="0" w:line="20" w:lineRule="atLeast"/>
        <w:jc w:val="both"/>
        <w:outlineLvl w:val="1"/>
      </w:pPr>
      <w:r>
        <w:t xml:space="preserve">1. Le carte già emesse ai sensi della normativa precedente alla legge 30 dicembre 2018, n. 145 hanno validità sino alla loro scadenza naturale, indicata nella Carta medesima. </w:t>
      </w:r>
    </w:p>
    <w:p w:rsidR="001262AA" w:rsidRDefault="009A73A1" w:rsidP="0044448E">
      <w:pPr>
        <w:shd w:val="clear" w:color="auto" w:fill="FEFEFE"/>
        <w:spacing w:after="0" w:line="20" w:lineRule="atLeast"/>
        <w:jc w:val="both"/>
        <w:outlineLvl w:val="1"/>
      </w:pPr>
      <w:r>
        <w:t xml:space="preserve">Art. 9. Dispositivi similari preesistenti </w:t>
      </w:r>
    </w:p>
    <w:p w:rsidR="001262AA" w:rsidRDefault="009A73A1" w:rsidP="0044448E">
      <w:pPr>
        <w:shd w:val="clear" w:color="auto" w:fill="FEFEFE"/>
        <w:spacing w:after="0" w:line="20" w:lineRule="atLeast"/>
        <w:jc w:val="both"/>
        <w:outlineLvl w:val="1"/>
      </w:pPr>
      <w:r>
        <w:t xml:space="preserve">1. Il Dipartimento per le politiche della famiglia della Presidenza del Consiglio dei ministri può concludere appositi accordi con gli enti territoriali e locali emittenti dispositivi similari alla Carta per identificare forme di reciproco sostegno e valorizzazione. </w:t>
      </w:r>
    </w:p>
    <w:p w:rsidR="001262AA" w:rsidRDefault="009A73A1" w:rsidP="0044448E">
      <w:pPr>
        <w:shd w:val="clear" w:color="auto" w:fill="FEFEFE"/>
        <w:spacing w:after="0" w:line="20" w:lineRule="atLeast"/>
        <w:jc w:val="both"/>
        <w:outlineLvl w:val="1"/>
      </w:pPr>
      <w:r>
        <w:t xml:space="preserve">Art. 10. Oneri finanziari </w:t>
      </w:r>
    </w:p>
    <w:p w:rsidR="001262AA" w:rsidRDefault="009A73A1" w:rsidP="0044448E">
      <w:pPr>
        <w:shd w:val="clear" w:color="auto" w:fill="FEFEFE"/>
        <w:spacing w:after="0" w:line="20" w:lineRule="atLeast"/>
        <w:jc w:val="both"/>
        <w:outlineLvl w:val="1"/>
      </w:pPr>
      <w:r>
        <w:t xml:space="preserve">1. L’attuazione del presente decreto grava sull’autorizzazione di spesa di cui al comma 391, dell’art. 1, della legge 28 dicembre 2015, n. 208, così come sostituito dal comma 487, dell’art. 1, della legge 30 dicembre 2018, n. 145. Il presente decreto viene trasmesso ai competenti organi di controllo. </w:t>
      </w:r>
    </w:p>
    <w:p w:rsidR="001262AA" w:rsidRDefault="009A73A1" w:rsidP="0044448E">
      <w:pPr>
        <w:shd w:val="clear" w:color="auto" w:fill="FEFEFE"/>
        <w:spacing w:after="0" w:line="20" w:lineRule="atLeast"/>
        <w:jc w:val="both"/>
        <w:outlineLvl w:val="1"/>
      </w:pPr>
      <w:r>
        <w:t xml:space="preserve">Roma, 27 giugno 2019 </w:t>
      </w:r>
    </w:p>
    <w:p w:rsidR="001262AA" w:rsidRDefault="009A73A1" w:rsidP="0044448E">
      <w:pPr>
        <w:shd w:val="clear" w:color="auto" w:fill="FEFEFE"/>
        <w:spacing w:after="0" w:line="20" w:lineRule="atLeast"/>
        <w:jc w:val="both"/>
        <w:outlineLvl w:val="1"/>
      </w:pPr>
      <w:r>
        <w:t xml:space="preserve">Il Ministro per la famiglia e le disabilità FONTANA </w:t>
      </w:r>
    </w:p>
    <w:p w:rsidR="001262AA" w:rsidRDefault="009A73A1" w:rsidP="0044448E">
      <w:pPr>
        <w:shd w:val="clear" w:color="auto" w:fill="FEFEFE"/>
        <w:spacing w:after="0" w:line="20" w:lineRule="atLeast"/>
        <w:jc w:val="both"/>
        <w:outlineLvl w:val="1"/>
      </w:pPr>
      <w:r>
        <w:t xml:space="preserve">Il Ministro dell’economia e delle finanze TRIA </w:t>
      </w:r>
    </w:p>
    <w:p w:rsidR="001262AA" w:rsidRDefault="009A73A1" w:rsidP="0044448E">
      <w:pPr>
        <w:shd w:val="clear" w:color="auto" w:fill="FEFEFE"/>
        <w:spacing w:after="0" w:line="20" w:lineRule="atLeast"/>
        <w:jc w:val="both"/>
        <w:outlineLvl w:val="1"/>
      </w:pPr>
      <w:r>
        <w:t xml:space="preserve">Registrato alla Corte dei conti il 29 luglio 2019 Ufficio controllo atti </w:t>
      </w:r>
    </w:p>
    <w:p w:rsidR="00B40799" w:rsidRDefault="00B40799" w:rsidP="0044448E">
      <w:pPr>
        <w:shd w:val="clear" w:color="auto" w:fill="FEFEFE"/>
        <w:spacing w:after="0" w:line="20" w:lineRule="atLeast"/>
        <w:jc w:val="both"/>
        <w:outlineLvl w:val="1"/>
      </w:pPr>
    </w:p>
    <w:p w:rsidR="00B40799" w:rsidRPr="00960D16" w:rsidRDefault="00B40799" w:rsidP="00B40799">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b/>
        </w:rPr>
      </w:pPr>
      <w:r w:rsidRPr="00960D16">
        <w:rPr>
          <w:b/>
        </w:rPr>
        <w:t>ISTITUZIONI</w:t>
      </w:r>
    </w:p>
    <w:p w:rsidR="00B40799" w:rsidRDefault="00B40799" w:rsidP="00B40799">
      <w:pPr>
        <w:autoSpaceDE w:val="0"/>
        <w:autoSpaceDN w:val="0"/>
        <w:adjustRightInd w:val="0"/>
        <w:spacing w:after="0" w:line="20" w:lineRule="atLeast"/>
        <w:jc w:val="both"/>
      </w:pPr>
    </w:p>
    <w:p w:rsidR="00B40799" w:rsidRPr="00C95517" w:rsidRDefault="00B40799" w:rsidP="00B40799">
      <w:pPr>
        <w:shd w:val="clear" w:color="auto" w:fill="FEFEFE"/>
        <w:spacing w:after="0" w:line="20" w:lineRule="atLeast"/>
        <w:jc w:val="both"/>
        <w:outlineLvl w:val="1"/>
      </w:pPr>
      <w:r w:rsidRPr="00B40799">
        <w:rPr>
          <w:b/>
        </w:rPr>
        <w:lastRenderedPageBreak/>
        <w:t xml:space="preserve">LEGGE 20 agosto </w:t>
      </w:r>
      <w:proofErr w:type="gramStart"/>
      <w:r w:rsidRPr="00B40799">
        <w:rPr>
          <w:b/>
        </w:rPr>
        <w:t>2019 ,</w:t>
      </w:r>
      <w:proofErr w:type="gramEnd"/>
      <w:r w:rsidRPr="00B40799">
        <w:rPr>
          <w:b/>
        </w:rPr>
        <w:t xml:space="preserve"> n. 92,</w:t>
      </w:r>
      <w:r w:rsidRPr="00C95517">
        <w:t xml:space="preserve">  Introduzione dell’insegnamento scolastico dell’educazione civica. (BUR n. 195 del 21.8.19)</w:t>
      </w:r>
    </w:p>
    <w:p w:rsidR="00B40799" w:rsidRPr="00C95517" w:rsidRDefault="00B40799" w:rsidP="00B40799">
      <w:pPr>
        <w:shd w:val="clear" w:color="auto" w:fill="FEFEFE"/>
        <w:spacing w:after="0" w:line="20" w:lineRule="atLeast"/>
        <w:jc w:val="both"/>
        <w:outlineLvl w:val="1"/>
      </w:pPr>
      <w:r w:rsidRPr="00C95517">
        <w:t xml:space="preserve">Art. 1. Princìpi </w:t>
      </w:r>
    </w:p>
    <w:p w:rsidR="00B40799" w:rsidRPr="00C95517" w:rsidRDefault="00B40799" w:rsidP="00B40799">
      <w:pPr>
        <w:shd w:val="clear" w:color="auto" w:fill="FEFEFE"/>
        <w:spacing w:after="0" w:line="20" w:lineRule="atLeast"/>
        <w:jc w:val="both"/>
        <w:outlineLvl w:val="1"/>
      </w:pPr>
      <w:r w:rsidRPr="00C95517">
        <w:t xml:space="preserve">1. L’educazione civica contribuisce a formare cittadini responsabili e attivi e a promuovere la partecipazione piena e consapevole alla vita civica, culturale e sociale delle comunità, nel rispetto delle regole, dei diritti e dei doveri. </w:t>
      </w:r>
    </w:p>
    <w:p w:rsidR="00B40799" w:rsidRPr="00C95517" w:rsidRDefault="00B40799" w:rsidP="00B40799">
      <w:pPr>
        <w:shd w:val="clear" w:color="auto" w:fill="FEFEFE"/>
        <w:spacing w:after="0" w:line="20" w:lineRule="atLeast"/>
        <w:jc w:val="both"/>
        <w:outlineLvl w:val="1"/>
      </w:pPr>
      <w:r w:rsidRPr="00C95517">
        <w:t xml:space="preserve">2. L’educazione civica sviluppa nelle istituzioni scolastiche la conoscenza della Costituzione italiana e delle istituzioni dell’Unione europea per sostanziare, in particolare, la condivisione e la promozione dei princìpi di legalità, cittadinanza attiva e digitale, sostenibilità ambientale e diritto alla salute e al benessere della persona. </w:t>
      </w:r>
    </w:p>
    <w:p w:rsidR="00B40799" w:rsidRPr="00C95517" w:rsidRDefault="00B40799" w:rsidP="00B40799">
      <w:pPr>
        <w:shd w:val="clear" w:color="auto" w:fill="FEFEFE"/>
        <w:spacing w:after="0" w:line="20" w:lineRule="atLeast"/>
        <w:jc w:val="both"/>
        <w:outlineLvl w:val="1"/>
      </w:pPr>
      <w:r w:rsidRPr="00C95517">
        <w:t xml:space="preserve">Art. 2. Istituzione dell’insegnamento dell’educazione civica </w:t>
      </w:r>
    </w:p>
    <w:p w:rsidR="00B40799" w:rsidRPr="00C95517" w:rsidRDefault="00B40799" w:rsidP="00B40799">
      <w:pPr>
        <w:shd w:val="clear" w:color="auto" w:fill="FEFEFE"/>
        <w:spacing w:after="0" w:line="20" w:lineRule="atLeast"/>
        <w:jc w:val="both"/>
        <w:outlineLvl w:val="1"/>
      </w:pPr>
      <w:r w:rsidRPr="00C95517">
        <w:t xml:space="preserve">1. Ai fini di cui all’articolo 1, a decorrere dal 1° settembre del primo anno scolastico successivo all’entrata in vigore della presente legge, nel primo e nel secondo ciclo di istruzione è istituito l’insegnamento trasversale dell’educazione civica, che sviluppa la conoscenza e la comprensione delle strutture e dei profili sociali, economici, giuridici, civici e ambientali della società. Iniziative di sensibilizzazione alla cittadinanza responsabile sono avviate dalla scuola dell’infanzia. </w:t>
      </w:r>
    </w:p>
    <w:p w:rsidR="00B40799" w:rsidRPr="00C95517" w:rsidRDefault="00B40799" w:rsidP="00B40799">
      <w:pPr>
        <w:shd w:val="clear" w:color="auto" w:fill="FEFEFE"/>
        <w:spacing w:after="0" w:line="20" w:lineRule="atLeast"/>
        <w:jc w:val="both"/>
        <w:outlineLvl w:val="1"/>
      </w:pPr>
      <w:r w:rsidRPr="00C95517">
        <w:t>2. Le istituzioni del sistema educativo di istruzione e formazione promuovono l’insegnamento di cui al comma 1. A tal fine, all’articolo 18, comma 1, lettera b</w:t>
      </w:r>
      <w:proofErr w:type="gramStart"/>
      <w:r w:rsidRPr="00C95517">
        <w:t>) ,</w:t>
      </w:r>
      <w:proofErr w:type="gramEnd"/>
      <w:r w:rsidRPr="00C95517">
        <w:t xml:space="preserve"> del decreto legislativo 17 ottobre 2005, n. 226, le parole: «di competenze linguistiche» sono sostituite dalle seguenti: «di competenze civiche, linguistiche». 3. Le istituzioni scolastiche prevedono nel curricolo di istituto l’insegnamento trasversale dell’educazione civica, specificandone anche, per ciascun anno di corso, l’orario, che non può essere inferiore a 33 ore annue, da svolgersi nell’ambito del monte orario obbligatorio previsto dagli ordinamenti vigenti. Per raggiungere il predetto orario gli istituti scolastici possono avvalersi della quota di autonomia utile per modificare il curricolo. </w:t>
      </w:r>
    </w:p>
    <w:p w:rsidR="00B40799" w:rsidRPr="00C95517" w:rsidRDefault="00B40799" w:rsidP="00B40799">
      <w:pPr>
        <w:shd w:val="clear" w:color="auto" w:fill="FEFEFE"/>
        <w:spacing w:after="0" w:line="20" w:lineRule="atLeast"/>
        <w:jc w:val="both"/>
        <w:outlineLvl w:val="1"/>
      </w:pPr>
      <w:r w:rsidRPr="00C95517">
        <w:t xml:space="preserve">4. Nelle scuole del primo ciclo, l’insegnamento trasversale dell’educazione civica è affidato, in contitolarità, a docenti sulla base del curricolo di cui al comma 3. Le istituzioni scolastiche utilizzano le risorse dell’organico dell’autonomia. Nelle scuole del secondo ciclo, l’insegnamento è affidato ai docenti abilitati all’insegnamento delle discipline giuridiche ed economiche, ove disponibili nell’ambito dell’organico dell’autonomia. </w:t>
      </w:r>
    </w:p>
    <w:p w:rsidR="00B40799" w:rsidRPr="00C95517" w:rsidRDefault="00B40799" w:rsidP="00B40799">
      <w:pPr>
        <w:shd w:val="clear" w:color="auto" w:fill="FEFEFE"/>
        <w:spacing w:after="0" w:line="20" w:lineRule="atLeast"/>
        <w:jc w:val="both"/>
        <w:outlineLvl w:val="1"/>
      </w:pPr>
      <w:r w:rsidRPr="00C95517">
        <w:t xml:space="preserve">5. Per ciascuna classe è individuato, tra i docenti a cui è affidato l’insegnamento dell’educazione civica, un docente con compiti di coordinamento. </w:t>
      </w:r>
    </w:p>
    <w:p w:rsidR="00B40799" w:rsidRPr="00C95517" w:rsidRDefault="00B40799" w:rsidP="00B40799">
      <w:pPr>
        <w:shd w:val="clear" w:color="auto" w:fill="FEFEFE"/>
        <w:spacing w:after="0" w:line="20" w:lineRule="atLeast"/>
        <w:jc w:val="both"/>
        <w:outlineLvl w:val="1"/>
      </w:pPr>
      <w:r w:rsidRPr="00C95517">
        <w:t xml:space="preserve">6. L’insegnamento trasversale dell’educazione civica è oggetto delle valutazioni periodiche e finali previste dal decreto legislativo 13 aprile 2017, n. 62, e dal regolamento di cui al decreto del Presidente della Repubblica 22 giugno 2009, n. 122. Il docente coordinatore di cui al comma 5 formula la proposta di voto espresso in decimi, acquisendo elementi conoscitivi dai docenti a cui è affidato l’insegnamento dell’educazione civica. </w:t>
      </w:r>
    </w:p>
    <w:p w:rsidR="00B40799" w:rsidRPr="00C95517" w:rsidRDefault="00B40799" w:rsidP="00B40799">
      <w:pPr>
        <w:shd w:val="clear" w:color="auto" w:fill="FEFEFE"/>
        <w:spacing w:after="0" w:line="20" w:lineRule="atLeast"/>
        <w:jc w:val="both"/>
        <w:outlineLvl w:val="1"/>
      </w:pPr>
      <w:r w:rsidRPr="00C95517">
        <w:t xml:space="preserve">7. Il dirigente scolastico verifica la piena attuazione e la coerenza con il Piano triennale dell’offerta formativa. </w:t>
      </w:r>
    </w:p>
    <w:p w:rsidR="00B40799" w:rsidRPr="00C95517" w:rsidRDefault="00B40799" w:rsidP="00B40799">
      <w:pPr>
        <w:shd w:val="clear" w:color="auto" w:fill="FEFEFE"/>
        <w:spacing w:after="0" w:line="20" w:lineRule="atLeast"/>
        <w:jc w:val="both"/>
        <w:outlineLvl w:val="1"/>
      </w:pPr>
      <w:r w:rsidRPr="00C95517">
        <w:t xml:space="preserve">8. Dall’attuazione del presente articolo non devono derivare incrementi o modifiche dell’organico del personale scolastico, né ore d’insegnamento eccedenti rispetto all’orario obbligatorio previsto dagli ordinamenti vigenti. Per lo svolgimento dei compiti di coordinamento di cui al comma 5 non sono dovuti compensi, indennità, rimborsi di spese o altri emolumenti comunque denominati, salvo che la contrattazione d’istituto stabilisca diversamente con oneri a carico del fondo per il miglioramento dell’offerta formativa. </w:t>
      </w:r>
    </w:p>
    <w:p w:rsidR="00B40799" w:rsidRPr="00C95517" w:rsidRDefault="00B40799" w:rsidP="00B40799">
      <w:pPr>
        <w:shd w:val="clear" w:color="auto" w:fill="FEFEFE"/>
        <w:spacing w:after="0" w:line="20" w:lineRule="atLeast"/>
        <w:jc w:val="both"/>
        <w:outlineLvl w:val="1"/>
      </w:pPr>
      <w:r w:rsidRPr="00C95517">
        <w:t xml:space="preserve">9. A decorrere dal 1° settembre del primo anno scolastico successivo all’entrata in vigore della presente legge, sono abrogati l’articolo 1 del decreto-legge 1° settembre 2008, n. 137, convertito, con modificazioni, dalla legge 30 ottobre 2008, n. 169, nonché il comma 4 dell’articolo 2 e il comma 10 dell’articolo 17 del decreto legislativo 13 aprile 2017, n. 62. </w:t>
      </w:r>
    </w:p>
    <w:p w:rsidR="00B40799" w:rsidRPr="00C95517" w:rsidRDefault="00B40799" w:rsidP="00B40799">
      <w:pPr>
        <w:shd w:val="clear" w:color="auto" w:fill="FEFEFE"/>
        <w:spacing w:after="0" w:line="20" w:lineRule="atLeast"/>
        <w:jc w:val="both"/>
        <w:outlineLvl w:val="1"/>
      </w:pPr>
      <w:r w:rsidRPr="00C95517">
        <w:t xml:space="preserve">Art. 3. Sviluppo delle competenze e obiettivi di apprendimento </w:t>
      </w:r>
    </w:p>
    <w:p w:rsidR="00B40799" w:rsidRPr="00C95517" w:rsidRDefault="00B40799" w:rsidP="00B40799">
      <w:pPr>
        <w:shd w:val="clear" w:color="auto" w:fill="FEFEFE"/>
        <w:spacing w:after="0" w:line="20" w:lineRule="atLeast"/>
        <w:jc w:val="both"/>
        <w:outlineLvl w:val="1"/>
      </w:pPr>
      <w:r w:rsidRPr="00C95517">
        <w:t xml:space="preserve">1. In attuazione dell’articolo 2, con decreto del Ministro dell’istruzione, dell’università e della ricerca sono definite linee guida per l’insegnamento dell’educazione civica che individuano, ove non già previsti, specifici traguardi per lo sviluppo delle competenze e obiettivi specifici di apprendimento, in coerenza con le Indicazioni nazionali per il curricolo delle scuole dell’infanzia e del primo ciclo di istruzione, nonché con il documento Indicazioni nazionali e nuovi scenari e con le Indicazioni nazionali per i licei e le linee guida per gli istituti tecnici e professionali vigenti, assumendo a riferimento le seguenti tematiche: </w:t>
      </w:r>
    </w:p>
    <w:p w:rsidR="00B40799" w:rsidRPr="00C95517" w:rsidRDefault="00B40799" w:rsidP="00B40799">
      <w:pPr>
        <w:shd w:val="clear" w:color="auto" w:fill="FEFEFE"/>
        <w:spacing w:after="0" w:line="20" w:lineRule="atLeast"/>
        <w:jc w:val="both"/>
        <w:outlineLvl w:val="1"/>
      </w:pPr>
      <w:r w:rsidRPr="00C95517">
        <w:lastRenderedPageBreak/>
        <w:t xml:space="preserve">a) Costituzione, istituzioni dello Stato italiano, dell’Unione europea e degli organismi internazionali; storia della bandiera e dell’inno nazionale; </w:t>
      </w:r>
    </w:p>
    <w:p w:rsidR="00B40799" w:rsidRPr="00C95517" w:rsidRDefault="00B40799" w:rsidP="00B40799">
      <w:pPr>
        <w:shd w:val="clear" w:color="auto" w:fill="FEFEFE"/>
        <w:spacing w:after="0" w:line="20" w:lineRule="atLeast"/>
        <w:jc w:val="both"/>
        <w:outlineLvl w:val="1"/>
      </w:pPr>
      <w:r w:rsidRPr="00C95517">
        <w:t xml:space="preserve">b) Agenda 2030 per lo sviluppo sostenibile, adottata dall’Assemblea generale delle Nazioni Unite il 25 settembre 2015; </w:t>
      </w:r>
    </w:p>
    <w:p w:rsidR="00B40799" w:rsidRPr="00C95517" w:rsidRDefault="00B40799" w:rsidP="00B40799">
      <w:pPr>
        <w:shd w:val="clear" w:color="auto" w:fill="FEFEFE"/>
        <w:spacing w:after="0" w:line="20" w:lineRule="atLeast"/>
        <w:jc w:val="both"/>
        <w:outlineLvl w:val="1"/>
      </w:pPr>
      <w:r w:rsidRPr="00C95517">
        <w:t xml:space="preserve">c) educazione alla cittadinanza digitale, secondo le disposizioni dell’articolo 5; </w:t>
      </w:r>
    </w:p>
    <w:p w:rsidR="00B40799" w:rsidRPr="00C95517" w:rsidRDefault="00B40799" w:rsidP="00B40799">
      <w:pPr>
        <w:shd w:val="clear" w:color="auto" w:fill="FEFEFE"/>
        <w:spacing w:after="0" w:line="20" w:lineRule="atLeast"/>
        <w:jc w:val="both"/>
        <w:outlineLvl w:val="1"/>
      </w:pPr>
      <w:r w:rsidRPr="00C95517">
        <w:t xml:space="preserve">d) elementi fondamentali di diritto, con particolare riguardo al diritto del lavoro; </w:t>
      </w:r>
    </w:p>
    <w:p w:rsidR="00B40799" w:rsidRPr="00C95517" w:rsidRDefault="00B40799" w:rsidP="00B40799">
      <w:pPr>
        <w:shd w:val="clear" w:color="auto" w:fill="FEFEFE"/>
        <w:spacing w:after="0" w:line="20" w:lineRule="atLeast"/>
        <w:jc w:val="both"/>
        <w:outlineLvl w:val="1"/>
      </w:pPr>
      <w:r w:rsidRPr="00C95517">
        <w:t xml:space="preserve">e) educazione ambientale, sviluppo eco-sostenibile e tutela del patrimonio ambientale, delle identità, delle produzioni e delle eccellenze territoriali e agroalimentari; </w:t>
      </w:r>
    </w:p>
    <w:p w:rsidR="00B40799" w:rsidRPr="00C95517" w:rsidRDefault="00B40799" w:rsidP="00B40799">
      <w:pPr>
        <w:shd w:val="clear" w:color="auto" w:fill="FEFEFE"/>
        <w:spacing w:after="0" w:line="20" w:lineRule="atLeast"/>
        <w:jc w:val="both"/>
        <w:outlineLvl w:val="1"/>
      </w:pPr>
      <w:r w:rsidRPr="00C95517">
        <w:t xml:space="preserve">f) educazione alla legalità e al contrasto delle mafie; </w:t>
      </w:r>
    </w:p>
    <w:p w:rsidR="00B40799" w:rsidRPr="00C95517" w:rsidRDefault="00B40799" w:rsidP="00B40799">
      <w:pPr>
        <w:shd w:val="clear" w:color="auto" w:fill="FEFEFE"/>
        <w:spacing w:after="0" w:line="20" w:lineRule="atLeast"/>
        <w:jc w:val="both"/>
        <w:outlineLvl w:val="1"/>
      </w:pPr>
      <w:r w:rsidRPr="00C95517">
        <w:t xml:space="preserve">g) educazione al rispetto e alla valorizzazione del patrimonio culturale e dei beni pubblici comuni; </w:t>
      </w:r>
    </w:p>
    <w:p w:rsidR="00B40799" w:rsidRPr="00C95517" w:rsidRDefault="00B40799" w:rsidP="00B40799">
      <w:pPr>
        <w:shd w:val="clear" w:color="auto" w:fill="FEFEFE"/>
        <w:spacing w:after="0" w:line="20" w:lineRule="atLeast"/>
        <w:jc w:val="both"/>
        <w:outlineLvl w:val="1"/>
      </w:pPr>
      <w:r w:rsidRPr="00C95517">
        <w:t xml:space="preserve">h) formazione di base in materia di protezione civile. </w:t>
      </w:r>
    </w:p>
    <w:p w:rsidR="00B40799" w:rsidRPr="00C95517" w:rsidRDefault="00B40799" w:rsidP="00B40799">
      <w:pPr>
        <w:shd w:val="clear" w:color="auto" w:fill="FEFEFE"/>
        <w:spacing w:after="0" w:line="20" w:lineRule="atLeast"/>
        <w:jc w:val="both"/>
        <w:outlineLvl w:val="1"/>
      </w:pPr>
      <w:r w:rsidRPr="00C95517">
        <w:t xml:space="preserve">2. Nell’ambito dell’insegnamento trasversale dell’educazione civica sono altresì promosse l’educazione stradale, l’educazione alla salute e al benessere, l’educazione al volontariato e alla cittadinanza attiva. Tutte le azioni sono finalizzate ad alimentare e rafforzare il rispetto nei confronti delle persone, degli animali e della natura. </w:t>
      </w:r>
    </w:p>
    <w:p w:rsidR="00B40799" w:rsidRPr="00C95517" w:rsidRDefault="00B40799" w:rsidP="00B40799">
      <w:pPr>
        <w:shd w:val="clear" w:color="auto" w:fill="FEFEFE"/>
        <w:spacing w:after="0" w:line="20" w:lineRule="atLeast"/>
        <w:jc w:val="both"/>
        <w:outlineLvl w:val="1"/>
      </w:pPr>
      <w:r w:rsidRPr="00C95517">
        <w:t xml:space="preserve">Art. 4. Costituzione e cittadinanza </w:t>
      </w:r>
    </w:p>
    <w:p w:rsidR="00B40799" w:rsidRPr="00C95517" w:rsidRDefault="00B40799" w:rsidP="00B40799">
      <w:pPr>
        <w:shd w:val="clear" w:color="auto" w:fill="FEFEFE"/>
        <w:spacing w:after="0" w:line="20" w:lineRule="atLeast"/>
        <w:jc w:val="both"/>
        <w:outlineLvl w:val="1"/>
      </w:pPr>
      <w:r w:rsidRPr="00C95517">
        <w:t xml:space="preserve">1. A fondamento dell’insegnamento dell’educazione civica è posta la conoscenza della Costituzione italiana. Gli alunni devono essere introdotti alla conoscenza dei contenuti della Carta costituzionale sia nella scuola dell’infanzia e del primo ciclo, sia in quella del secondo ciclo, per sviluppare competenze ispirate ai valori della responsabilità, della legalità, della partecipazione e della solidarietà. </w:t>
      </w:r>
    </w:p>
    <w:p w:rsidR="00B40799" w:rsidRPr="00C95517" w:rsidRDefault="00B40799" w:rsidP="00B40799">
      <w:pPr>
        <w:shd w:val="clear" w:color="auto" w:fill="FEFEFE"/>
        <w:spacing w:after="0" w:line="20" w:lineRule="atLeast"/>
        <w:jc w:val="both"/>
        <w:outlineLvl w:val="1"/>
      </w:pPr>
      <w:r w:rsidRPr="00C95517">
        <w:t xml:space="preserve">2. Al fine di promuovere la conoscenza del pluralismo istituzionale, disciplinato dalla Carta costituzionale, sono adottate iniziative per lo studio degli statuti delle regioni ad autonomia ordinaria e speciale. Al fine di promuovere la cittadinanza attiva, possono essere attivate iniziative per lo studio dei diritti e degli istituti di partecipazione a livello statale, regionale e locale. </w:t>
      </w:r>
    </w:p>
    <w:p w:rsidR="00B40799" w:rsidRPr="00C95517" w:rsidRDefault="00B40799" w:rsidP="00B40799">
      <w:pPr>
        <w:shd w:val="clear" w:color="auto" w:fill="FEFEFE"/>
        <w:spacing w:after="0" w:line="20" w:lineRule="atLeast"/>
        <w:jc w:val="both"/>
        <w:outlineLvl w:val="1"/>
      </w:pPr>
      <w:r w:rsidRPr="00C95517">
        <w:t xml:space="preserve">3. La conoscenza della Costituzione italiana rientra tra le competenze di cittadinanza che tutti gli studenti, di ogni percorso di istruzione e formazione, devono conseguire. </w:t>
      </w:r>
    </w:p>
    <w:p w:rsidR="00B40799" w:rsidRPr="00C95517" w:rsidRDefault="00B40799" w:rsidP="00B40799">
      <w:pPr>
        <w:shd w:val="clear" w:color="auto" w:fill="FEFEFE"/>
        <w:spacing w:after="0" w:line="20" w:lineRule="atLeast"/>
        <w:jc w:val="both"/>
        <w:outlineLvl w:val="1"/>
      </w:pPr>
      <w:r w:rsidRPr="00C95517">
        <w:t xml:space="preserve">4. Con particolare riferimento agli articoli 1 e 4 della Costituzione possono essere promosse attività per sostenere l’avvicinamento responsabile e consapevole degli studenti al mondo del lavoro. </w:t>
      </w:r>
    </w:p>
    <w:p w:rsidR="00B40799" w:rsidRPr="00C95517" w:rsidRDefault="00B40799" w:rsidP="00B40799">
      <w:pPr>
        <w:shd w:val="clear" w:color="auto" w:fill="FEFEFE"/>
        <w:spacing w:after="0" w:line="20" w:lineRule="atLeast"/>
        <w:jc w:val="both"/>
        <w:outlineLvl w:val="1"/>
      </w:pPr>
      <w:r w:rsidRPr="00C95517">
        <w:t xml:space="preserve">Art. 5. Educazione alla cittadinanza digitale </w:t>
      </w:r>
    </w:p>
    <w:p w:rsidR="00B40799" w:rsidRPr="00C95517" w:rsidRDefault="00B40799" w:rsidP="00B40799">
      <w:pPr>
        <w:shd w:val="clear" w:color="auto" w:fill="FEFEFE"/>
        <w:spacing w:after="0" w:line="20" w:lineRule="atLeast"/>
        <w:jc w:val="both"/>
        <w:outlineLvl w:val="1"/>
      </w:pPr>
      <w:r w:rsidRPr="00C95517">
        <w:t xml:space="preserve">1. Nell’ambito dell’insegnamento trasversale dell’educazione civica, di cui all’ articolo 2, è prevista l’educazione alla cittadinanza digitale. </w:t>
      </w:r>
    </w:p>
    <w:p w:rsidR="00B40799" w:rsidRPr="00C95517" w:rsidRDefault="00B40799" w:rsidP="00B40799">
      <w:pPr>
        <w:shd w:val="clear" w:color="auto" w:fill="FEFEFE"/>
        <w:spacing w:after="0" w:line="20" w:lineRule="atLeast"/>
        <w:jc w:val="both"/>
        <w:outlineLvl w:val="1"/>
      </w:pPr>
      <w:r w:rsidRPr="00C95517">
        <w:t xml:space="preserve">2. Nel rispetto dell’autonomia scolastica, l’offerta formativa erogata nell’ambito dell’insegnamento di cui al comma 1 prevede almeno le seguenti abilità e conoscenze digitali essenziali, da sviluppare con gradualità tenendo conto dell’età degli alunni e degli studenti: </w:t>
      </w:r>
    </w:p>
    <w:p w:rsidR="00B40799" w:rsidRPr="00C95517" w:rsidRDefault="00B40799" w:rsidP="00B40799">
      <w:pPr>
        <w:shd w:val="clear" w:color="auto" w:fill="FEFEFE"/>
        <w:spacing w:after="0" w:line="20" w:lineRule="atLeast"/>
        <w:jc w:val="both"/>
        <w:outlineLvl w:val="1"/>
      </w:pPr>
      <w:r w:rsidRPr="00C95517">
        <w:t xml:space="preserve">a) analizzare, confrontare e valutare criticamente la credibilità e l’affidabilità delle fonti di dati, informazioni e contenuti digitali; </w:t>
      </w:r>
    </w:p>
    <w:p w:rsidR="00B40799" w:rsidRPr="00C95517" w:rsidRDefault="00B40799" w:rsidP="00B40799">
      <w:pPr>
        <w:shd w:val="clear" w:color="auto" w:fill="FEFEFE"/>
        <w:spacing w:after="0" w:line="20" w:lineRule="atLeast"/>
        <w:jc w:val="both"/>
        <w:outlineLvl w:val="1"/>
      </w:pPr>
      <w:r w:rsidRPr="00C95517">
        <w:t xml:space="preserve">b) interagire attraverso varie tecnologie digitali e individuare i mezzi e le forme di comunicazione digitali appropriati per un determinato contesto; </w:t>
      </w:r>
    </w:p>
    <w:p w:rsidR="00B40799" w:rsidRPr="00C95517" w:rsidRDefault="00B40799" w:rsidP="00B40799">
      <w:pPr>
        <w:shd w:val="clear" w:color="auto" w:fill="FEFEFE"/>
        <w:spacing w:after="0" w:line="20" w:lineRule="atLeast"/>
        <w:jc w:val="both"/>
        <w:outlineLvl w:val="1"/>
      </w:pPr>
      <w:r w:rsidRPr="00C95517">
        <w:t xml:space="preserve">c) informarsi e partecipare al dibattito pubblico attraverso l’utilizzo di servizi digitali pubblici e privati; ricercare opportunità di crescita personale e di cittadinanza partecipativa attraverso adeguate tecnologie digitali; </w:t>
      </w:r>
    </w:p>
    <w:p w:rsidR="00B40799" w:rsidRPr="00C95517" w:rsidRDefault="00B40799" w:rsidP="00B40799">
      <w:pPr>
        <w:shd w:val="clear" w:color="auto" w:fill="FEFEFE"/>
        <w:spacing w:after="0" w:line="20" w:lineRule="atLeast"/>
        <w:jc w:val="both"/>
        <w:outlineLvl w:val="1"/>
      </w:pPr>
      <w:r w:rsidRPr="00C95517">
        <w:t xml:space="preserve">d) conoscere le norme comportamentali da osservare nell’ambito dell’utilizzo delle tecnologie digitali e dell’interazione in ambienti digitali, adattare le strategie di comunicazione al pubblico specifico ed essere consapevoli della diversità culturale e generazionale negli ambienti digitali; </w:t>
      </w:r>
    </w:p>
    <w:p w:rsidR="00B40799" w:rsidRPr="00C95517" w:rsidRDefault="00B40799" w:rsidP="00B40799">
      <w:pPr>
        <w:shd w:val="clear" w:color="auto" w:fill="FEFEFE"/>
        <w:spacing w:after="0" w:line="20" w:lineRule="atLeast"/>
        <w:jc w:val="both"/>
        <w:outlineLvl w:val="1"/>
      </w:pPr>
      <w:r w:rsidRPr="00C95517">
        <w:t xml:space="preserve">e) creare e gestire l’identità digitale, essere in grado di proteggere la propria reputazione, gestire e tutelare i dati che si producono attraverso diversi strumenti digitali, ambienti e servizi, rispettare i dati e le identità altrui; utilizzare e condividere informazioni personali identificabili proteggendo se stessi e gli altri; </w:t>
      </w:r>
    </w:p>
    <w:p w:rsidR="00B40799" w:rsidRPr="00C95517" w:rsidRDefault="00B40799" w:rsidP="00B40799">
      <w:pPr>
        <w:shd w:val="clear" w:color="auto" w:fill="FEFEFE"/>
        <w:spacing w:after="0" w:line="20" w:lineRule="atLeast"/>
        <w:jc w:val="both"/>
        <w:outlineLvl w:val="1"/>
      </w:pPr>
      <w:r w:rsidRPr="00C95517">
        <w:t xml:space="preserve">f) conoscere le politiche sulla tutela della riservatezza applicate dai servizi digitali relativamente all’uso dei dati personali; g) essere in grado di evitare, usando tecnologie digitali, rischi per la salute e minacce al proprio benessere fisico e psicologico; essere in grado di proteggere sé e gli altri da eventuali pericoli in ambienti digitali; essere consapevoli di come le tecnologie digitali possono influire sul benessere psicofisico e sull’inclusione sociale, con particolare attenzione ai comportamenti riconducibili al bullismo e al cyberbullismo. </w:t>
      </w:r>
    </w:p>
    <w:p w:rsidR="00B40799" w:rsidRPr="00C95517" w:rsidRDefault="00B40799" w:rsidP="00B40799">
      <w:pPr>
        <w:shd w:val="clear" w:color="auto" w:fill="FEFEFE"/>
        <w:spacing w:after="0" w:line="20" w:lineRule="atLeast"/>
        <w:jc w:val="both"/>
        <w:outlineLvl w:val="1"/>
      </w:pPr>
      <w:r w:rsidRPr="00C95517">
        <w:lastRenderedPageBreak/>
        <w:t xml:space="preserve">3. Al fine di verificare l’attuazione del presente articolo, di diffonderne la conoscenza tra i soggetti interessati e di valutare eventuali esigenze di aggiornamento, il Ministro dell’istruzione, dell’università e della ricerca convoca almeno ogni due anni la Consulta dei diritti e dei doveri del bambino e dell’adolescente digitale, istituita presso il Ministero dell’istruzione, dell’università e della ricerca ai sensi del decreto di cui al comma 4. </w:t>
      </w:r>
    </w:p>
    <w:p w:rsidR="00B40799" w:rsidRPr="00C95517" w:rsidRDefault="00B40799" w:rsidP="00B40799">
      <w:pPr>
        <w:shd w:val="clear" w:color="auto" w:fill="FEFEFE"/>
        <w:spacing w:after="0" w:line="20" w:lineRule="atLeast"/>
        <w:jc w:val="both"/>
        <w:outlineLvl w:val="1"/>
      </w:pPr>
      <w:r w:rsidRPr="00C95517">
        <w:t xml:space="preserve">4. Con decreto del Ministro dell’istruzione, dell’università e della ricerca sono determinati i criteri di composizione e le modalità di funzionamento della Consulta di cui al comma 3, in modo da assicurare la rappresentanza degli studenti, degli insegnanti, delle famiglie e degli esperti del settore. L’Autorità garante per l’infanzia e l’adolescenza designa un componente della Consulta. </w:t>
      </w:r>
    </w:p>
    <w:p w:rsidR="00B40799" w:rsidRPr="00C95517" w:rsidRDefault="00B40799" w:rsidP="00B40799">
      <w:pPr>
        <w:shd w:val="clear" w:color="auto" w:fill="FEFEFE"/>
        <w:spacing w:after="0" w:line="20" w:lineRule="atLeast"/>
        <w:jc w:val="both"/>
        <w:outlineLvl w:val="1"/>
      </w:pPr>
      <w:r w:rsidRPr="00C95517">
        <w:t xml:space="preserve">5. La Consulta di cui al comma 3 presenta periodicamente al Ministro dell’istruzione, dell’università e della ricerca una relazione sullo stato di attuazione del presente articolo e segnala eventuali iniziative di modificazione che ritenga opportune. </w:t>
      </w:r>
    </w:p>
    <w:p w:rsidR="00B40799" w:rsidRPr="00C95517" w:rsidRDefault="00B40799" w:rsidP="00B40799">
      <w:pPr>
        <w:shd w:val="clear" w:color="auto" w:fill="FEFEFE"/>
        <w:spacing w:after="0" w:line="20" w:lineRule="atLeast"/>
        <w:jc w:val="both"/>
        <w:outlineLvl w:val="1"/>
      </w:pPr>
      <w:r w:rsidRPr="00C95517">
        <w:t xml:space="preserve">6. La Consulta di cui al comma 3 opera in coordinamento con il tavolo tecnico istituito ai sensi dell’articolo 3 della legge 29 maggio 2017, n. 71. </w:t>
      </w:r>
    </w:p>
    <w:p w:rsidR="00B40799" w:rsidRPr="00C95517" w:rsidRDefault="00B40799" w:rsidP="00B40799">
      <w:pPr>
        <w:shd w:val="clear" w:color="auto" w:fill="FEFEFE"/>
        <w:spacing w:after="0" w:line="20" w:lineRule="atLeast"/>
        <w:jc w:val="both"/>
        <w:outlineLvl w:val="1"/>
      </w:pPr>
      <w:r w:rsidRPr="00C95517">
        <w:t xml:space="preserve">7. Per l’attività prestata nell’ambito della Consulta, ai suoi componenti non sono dovuti compensi, indennità, gettoni di presenza o altre utilità comunque denominate, né rimborsi di spese. </w:t>
      </w:r>
    </w:p>
    <w:p w:rsidR="00B40799" w:rsidRPr="00C95517" w:rsidRDefault="00B40799" w:rsidP="00B40799">
      <w:pPr>
        <w:shd w:val="clear" w:color="auto" w:fill="FEFEFE"/>
        <w:spacing w:after="0" w:line="20" w:lineRule="atLeast"/>
        <w:jc w:val="both"/>
        <w:outlineLvl w:val="1"/>
      </w:pPr>
      <w:r w:rsidRPr="00C95517">
        <w:t xml:space="preserve">Art. 6. Formazione dei docenti </w:t>
      </w:r>
    </w:p>
    <w:p w:rsidR="00B40799" w:rsidRPr="00C95517" w:rsidRDefault="00B40799" w:rsidP="00B40799">
      <w:pPr>
        <w:shd w:val="clear" w:color="auto" w:fill="FEFEFE"/>
        <w:spacing w:after="0" w:line="20" w:lineRule="atLeast"/>
        <w:jc w:val="both"/>
        <w:outlineLvl w:val="1"/>
      </w:pPr>
      <w:r w:rsidRPr="00C95517">
        <w:t xml:space="preserve">1. Nell’ambito delle risorse di cui all’articolo 1, comma 125, della legge 13 luglio 2015, n. 107, una quota parte pari a 4 milioni di euro annui a decorrere dall’anno </w:t>
      </w:r>
      <w:proofErr w:type="gramStart"/>
      <w:r w:rsidRPr="00C95517">
        <w:t>2020  è</w:t>
      </w:r>
      <w:proofErr w:type="gramEnd"/>
      <w:r w:rsidRPr="00C95517">
        <w:t xml:space="preserve"> destinata alla formazione dei docenti sulle tematiche afferenti all’insegnamento trasversale dell’educazione civica. Il Piano nazionale della formazione dei docenti, di cui all’articolo 1, comma 124, della legge 13 luglio 2015, n. 107, è aggiornato al fine di comprendervi le attività di cui al primo periodo. </w:t>
      </w:r>
    </w:p>
    <w:p w:rsidR="00B40799" w:rsidRPr="00C95517" w:rsidRDefault="00B40799" w:rsidP="00B40799">
      <w:pPr>
        <w:shd w:val="clear" w:color="auto" w:fill="FEFEFE"/>
        <w:spacing w:after="0" w:line="20" w:lineRule="atLeast"/>
        <w:jc w:val="both"/>
        <w:outlineLvl w:val="1"/>
      </w:pPr>
      <w:r w:rsidRPr="00C95517">
        <w:t xml:space="preserve">2. Al fine di ottimizzare l’impiego delle risorse e di armonizzare gli adempimenti relativi alla formazione dei docenti di cui al comma 1, le istituzioni scolastiche effettuano una ricognizione dei loro bisogni formativi e possono promuovere accordi di rete nonché, in conformità al principio di sussidiarietà orizzontale, specifici accordi in ambito territoriale. </w:t>
      </w:r>
    </w:p>
    <w:p w:rsidR="00B40799" w:rsidRPr="00C95517" w:rsidRDefault="00B40799" w:rsidP="00B40799">
      <w:pPr>
        <w:shd w:val="clear" w:color="auto" w:fill="FEFEFE"/>
        <w:spacing w:after="0" w:line="20" w:lineRule="atLeast"/>
        <w:jc w:val="both"/>
        <w:outlineLvl w:val="1"/>
      </w:pPr>
      <w:r w:rsidRPr="00C95517">
        <w:t xml:space="preserve">Art. 7. Scuola e famiglia </w:t>
      </w:r>
    </w:p>
    <w:p w:rsidR="00B40799" w:rsidRPr="00C95517" w:rsidRDefault="00B40799" w:rsidP="00B40799">
      <w:pPr>
        <w:shd w:val="clear" w:color="auto" w:fill="FEFEFE"/>
        <w:spacing w:after="0" w:line="20" w:lineRule="atLeast"/>
        <w:jc w:val="both"/>
        <w:outlineLvl w:val="1"/>
      </w:pPr>
      <w:r w:rsidRPr="00C95517">
        <w:t xml:space="preserve">1. Al fine di valorizzare l’insegnamento trasversale dell’educazione civica e di sensibilizzare gli studenti alla cittadinanza responsabile, la scuola rafforza la collaborazione con le famiglie, anche integrando il Patto educativo di corresponsabilità di cui all’articolo 5 -bis del regolamento di cui al decreto del Presidente della Repubblica 24 giugno 1998, n. 249, estendendolo alla scuola primaria. Gli articoli da 412 a 414 del regolamento di cui al regio decreto 26 aprile 1928, n. 1297, sono abrogati. </w:t>
      </w:r>
    </w:p>
    <w:p w:rsidR="00B40799" w:rsidRPr="00C95517" w:rsidRDefault="00B40799" w:rsidP="00B40799">
      <w:pPr>
        <w:shd w:val="clear" w:color="auto" w:fill="FEFEFE"/>
        <w:spacing w:after="0" w:line="20" w:lineRule="atLeast"/>
        <w:jc w:val="both"/>
        <w:outlineLvl w:val="1"/>
      </w:pPr>
      <w:r w:rsidRPr="00C95517">
        <w:t xml:space="preserve">Art. 8. Scuola e territorio </w:t>
      </w:r>
    </w:p>
    <w:p w:rsidR="00B40799" w:rsidRPr="00C95517" w:rsidRDefault="00B40799" w:rsidP="00B40799">
      <w:pPr>
        <w:shd w:val="clear" w:color="auto" w:fill="FEFEFE"/>
        <w:spacing w:after="0" w:line="20" w:lineRule="atLeast"/>
        <w:jc w:val="both"/>
        <w:outlineLvl w:val="1"/>
      </w:pPr>
      <w:r w:rsidRPr="00C95517">
        <w:t xml:space="preserve">1. L’insegnamento trasversale dell’educazione civica è integrato con esperienze extra-scolastiche, a partire dalla costituzione di reti anche di durata pluriennale con altri soggetti istituzionali, con il mondo del volontariato e del Terzo settore, con particolare riguardo a quelli impegnati nella promozione della cittadinanza attiva. Con decreto del Ministro dell’istruzione, dell’università e della ricerca, da adottare entro novanta giorni dalla data di entrata in vigore della presente legge, sono definite le modalità attuative del presente comma e sono stabiliti i criteri e i requisiti, tra cui la comprovata e riconosciuta esperienza nelle aree tematiche di cui all’articolo 3, comma 1, per l’individuazione dei soggetti con cui le istituzioni scolastiche possono collaborare ai fini del primo periodo. </w:t>
      </w:r>
    </w:p>
    <w:p w:rsidR="00B40799" w:rsidRPr="00C95517" w:rsidRDefault="00B40799" w:rsidP="00B40799">
      <w:pPr>
        <w:shd w:val="clear" w:color="auto" w:fill="FEFEFE"/>
        <w:spacing w:after="0" w:line="20" w:lineRule="atLeast"/>
        <w:jc w:val="both"/>
        <w:outlineLvl w:val="1"/>
      </w:pPr>
      <w:r w:rsidRPr="00C95517">
        <w:t xml:space="preserve">2. I comuni possono promuovere ulteriori iniziative in collaborazione con le scuole, con particolare riguardo alla conoscenza del funzionamento delle amministrazioni locali e dei loro organi, alla conoscenza storica del territorio e alla fruizione stabile di spazi verdi e spazi culturali. </w:t>
      </w:r>
    </w:p>
    <w:p w:rsidR="00B40799" w:rsidRPr="00C95517" w:rsidRDefault="00B40799" w:rsidP="00B40799">
      <w:pPr>
        <w:shd w:val="clear" w:color="auto" w:fill="FEFEFE"/>
        <w:spacing w:after="0" w:line="20" w:lineRule="atLeast"/>
        <w:jc w:val="both"/>
        <w:outlineLvl w:val="1"/>
      </w:pPr>
      <w:r w:rsidRPr="00C95517">
        <w:t xml:space="preserve">Art. 9. Albo delle buone pratiche di educazione civica </w:t>
      </w:r>
    </w:p>
    <w:p w:rsidR="00B40799" w:rsidRPr="00C95517" w:rsidRDefault="00B40799" w:rsidP="00B40799">
      <w:pPr>
        <w:shd w:val="clear" w:color="auto" w:fill="FEFEFE"/>
        <w:spacing w:after="0" w:line="20" w:lineRule="atLeast"/>
        <w:jc w:val="both"/>
        <w:outlineLvl w:val="1"/>
      </w:pPr>
      <w:r w:rsidRPr="00C95517">
        <w:t xml:space="preserve">1. Il Ministero dell’istruzione, dell’università e della ricerca costituisce, senza nuovi o maggiori oneri per la finanza pubblica, l’Albo delle buone pratiche di educazione civica. </w:t>
      </w:r>
    </w:p>
    <w:p w:rsidR="00B40799" w:rsidRPr="00C95517" w:rsidRDefault="00B40799" w:rsidP="00B40799">
      <w:pPr>
        <w:shd w:val="clear" w:color="auto" w:fill="FEFEFE"/>
        <w:spacing w:after="0" w:line="20" w:lineRule="atLeast"/>
        <w:jc w:val="both"/>
        <w:outlineLvl w:val="1"/>
      </w:pPr>
      <w:r w:rsidRPr="00C95517">
        <w:t xml:space="preserve">2. Nell’Albo sono raccolte le buone pratiche adottate dalle istituzioni scolastiche nonché accordi e protocolli sottoscritti dal Ministero dell’istruzione, dell’università e della ricerca per l’attuazione delle tematiche relative all’educazione civica e all’educazione alla cittadinanza digitale, al fine di condividere e diffondere soluzioni organizzative ed esperienze di eccellenza. </w:t>
      </w:r>
    </w:p>
    <w:p w:rsidR="00B40799" w:rsidRPr="00C95517" w:rsidRDefault="00B40799" w:rsidP="00B40799">
      <w:pPr>
        <w:shd w:val="clear" w:color="auto" w:fill="FEFEFE"/>
        <w:spacing w:after="0" w:line="20" w:lineRule="atLeast"/>
        <w:jc w:val="both"/>
        <w:outlineLvl w:val="1"/>
      </w:pPr>
      <w:r w:rsidRPr="00C95517">
        <w:t xml:space="preserve">Art. 10. Valorizzazione delle migliori esperienze </w:t>
      </w:r>
    </w:p>
    <w:p w:rsidR="00B40799" w:rsidRPr="00C95517" w:rsidRDefault="00B40799" w:rsidP="00B40799">
      <w:pPr>
        <w:shd w:val="clear" w:color="auto" w:fill="FEFEFE"/>
        <w:spacing w:after="0" w:line="20" w:lineRule="atLeast"/>
        <w:jc w:val="both"/>
        <w:outlineLvl w:val="1"/>
      </w:pPr>
      <w:r w:rsidRPr="00C95517">
        <w:lastRenderedPageBreak/>
        <w:t xml:space="preserve">1. Il Ministero dell’istruzione, dell’università e della ricerca indìce annualmente, con proprio decreto, per ogni ordine e grado di istruzione, un concorso nazionale per la valorizzazione delle migliori esperienze in materia di educazione civica, al fine di promuoverne la diffusione nel sistema scolastico nazionale. </w:t>
      </w:r>
    </w:p>
    <w:p w:rsidR="00B40799" w:rsidRPr="00C95517" w:rsidRDefault="00B40799" w:rsidP="00B40799">
      <w:pPr>
        <w:shd w:val="clear" w:color="auto" w:fill="FEFEFE"/>
        <w:spacing w:after="0" w:line="20" w:lineRule="atLeast"/>
        <w:jc w:val="both"/>
        <w:outlineLvl w:val="1"/>
      </w:pPr>
      <w:r w:rsidRPr="00C95517">
        <w:t xml:space="preserve">Art. 11. Relazione alle Camere </w:t>
      </w:r>
    </w:p>
    <w:p w:rsidR="00B40799" w:rsidRPr="00C95517" w:rsidRDefault="00B40799" w:rsidP="00B40799">
      <w:pPr>
        <w:shd w:val="clear" w:color="auto" w:fill="FEFEFE"/>
        <w:spacing w:after="0" w:line="20" w:lineRule="atLeast"/>
        <w:jc w:val="both"/>
        <w:outlineLvl w:val="1"/>
      </w:pPr>
      <w:r w:rsidRPr="00C95517">
        <w:t xml:space="preserve">1. Il Ministro dell’istruzione, dell’università e della ricerca presenta, con cadenza biennale, alle Camere una relazione sull’attuazione della presente legge, anche nella prospettiva dell’eventuale modifica dei quadri orari che aggiunga l’ora di insegnamento di educazione civica. </w:t>
      </w:r>
    </w:p>
    <w:p w:rsidR="00B40799" w:rsidRPr="00C95517" w:rsidRDefault="00B40799" w:rsidP="00B40799">
      <w:pPr>
        <w:shd w:val="clear" w:color="auto" w:fill="FEFEFE"/>
        <w:spacing w:after="0" w:line="20" w:lineRule="atLeast"/>
        <w:jc w:val="both"/>
        <w:outlineLvl w:val="1"/>
      </w:pPr>
      <w:r w:rsidRPr="00C95517">
        <w:t xml:space="preserve">Art. 12. Clausola di salvaguardia </w:t>
      </w:r>
    </w:p>
    <w:p w:rsidR="00B40799" w:rsidRPr="00C95517" w:rsidRDefault="00B40799" w:rsidP="00B40799">
      <w:pPr>
        <w:shd w:val="clear" w:color="auto" w:fill="FEFEFE"/>
        <w:spacing w:after="0" w:line="20" w:lineRule="atLeast"/>
        <w:jc w:val="both"/>
        <w:outlineLvl w:val="1"/>
      </w:pPr>
      <w:r w:rsidRPr="00C95517">
        <w:t xml:space="preserve">1. Le disposizioni della presente legge sono applicabili nelle regioni a statuto speciale e nelle province autonome di Trento e di Bolzano compatibilmente con i rispettivi statuti e le relative norme di attuazione. Art. 13. Clausola di invarianza finanziaria </w:t>
      </w:r>
    </w:p>
    <w:p w:rsidR="00B40799" w:rsidRPr="00C95517" w:rsidRDefault="00B40799" w:rsidP="00B40799">
      <w:pPr>
        <w:shd w:val="clear" w:color="auto" w:fill="FEFEFE"/>
        <w:spacing w:after="0" w:line="20" w:lineRule="atLeast"/>
        <w:jc w:val="both"/>
        <w:outlineLvl w:val="1"/>
      </w:pPr>
      <w:r w:rsidRPr="00C95517">
        <w:t xml:space="preserve">1. Le amministrazioni interessate provvedono all’attuazione della presente legge nell’ambito delle risorse umane, strumentali e finanziarie disponibili a legislazione vigente e, comunque, senza nuovi o maggiori oneri a carico della finanza pubblica. La presente legge, munita del sigillo dello Stato, sarà inserita nella Raccolta ufficiale degli atti normativi della Repubblica italiana. È fatto obbligo a chiunque spetti di osservarla e di farla osservare come legge dello Stato. Data a Roma, addì 20 agosto 2019 </w:t>
      </w:r>
    </w:p>
    <w:p w:rsidR="00B40799" w:rsidRPr="00C95517" w:rsidRDefault="00B40799" w:rsidP="00B40799">
      <w:pPr>
        <w:shd w:val="clear" w:color="auto" w:fill="FEFEFE"/>
        <w:spacing w:after="0" w:line="20" w:lineRule="atLeast"/>
        <w:jc w:val="both"/>
        <w:outlineLvl w:val="1"/>
      </w:pPr>
      <w:r w:rsidRPr="00C95517">
        <w:t xml:space="preserve">MATTARELLA </w:t>
      </w:r>
    </w:p>
    <w:p w:rsidR="00B40799" w:rsidRPr="00C95517" w:rsidRDefault="00B40799" w:rsidP="00B40799">
      <w:pPr>
        <w:shd w:val="clear" w:color="auto" w:fill="FEFEFE"/>
        <w:spacing w:after="0" w:line="20" w:lineRule="atLeast"/>
        <w:jc w:val="both"/>
        <w:outlineLvl w:val="1"/>
      </w:pPr>
      <w:r w:rsidRPr="00C95517">
        <w:t>CONTE, Presidente del Consiglio dei ministri</w:t>
      </w:r>
    </w:p>
    <w:p w:rsidR="00B40799" w:rsidRPr="00C95517" w:rsidRDefault="00B40799" w:rsidP="00B40799">
      <w:pPr>
        <w:shd w:val="clear" w:color="auto" w:fill="FEFEFE"/>
        <w:spacing w:after="0" w:line="20" w:lineRule="atLeast"/>
        <w:jc w:val="both"/>
        <w:outlineLvl w:val="1"/>
      </w:pPr>
      <w:r w:rsidRPr="00C95517">
        <w:t xml:space="preserve"> Visto, il Guardasigilli: BONAFEDE</w:t>
      </w:r>
    </w:p>
    <w:p w:rsidR="00B40799" w:rsidRPr="00477DB9" w:rsidRDefault="00B40799" w:rsidP="00B40799">
      <w:pPr>
        <w:shd w:val="clear" w:color="auto" w:fill="FEFEFE"/>
        <w:spacing w:after="0" w:line="20" w:lineRule="atLeast"/>
        <w:jc w:val="both"/>
        <w:outlineLvl w:val="1"/>
        <w:rPr>
          <w:sz w:val="20"/>
          <w:szCs w:val="20"/>
        </w:rPr>
      </w:pPr>
      <w:r w:rsidRPr="00477DB9">
        <w:rPr>
          <w:sz w:val="20"/>
          <w:szCs w:val="20"/>
        </w:rPr>
        <w:t xml:space="preserve">N O T E </w:t>
      </w:r>
    </w:p>
    <w:p w:rsidR="00B40799" w:rsidRPr="00477DB9" w:rsidRDefault="00B40799" w:rsidP="00B40799">
      <w:pPr>
        <w:shd w:val="clear" w:color="auto" w:fill="FEFEFE"/>
        <w:spacing w:after="0" w:line="20" w:lineRule="atLeast"/>
        <w:jc w:val="both"/>
        <w:outlineLvl w:val="1"/>
        <w:rPr>
          <w:sz w:val="20"/>
          <w:szCs w:val="20"/>
        </w:rPr>
      </w:pPr>
      <w:r w:rsidRPr="00477DB9">
        <w:rPr>
          <w:sz w:val="20"/>
          <w:szCs w:val="20"/>
        </w:rPr>
        <w:t xml:space="preserve">AVVERTENZA: Il testo delle note qui pubblicato è stato redatto dall’amministrazione competente per materia, ai sensi dell’art. 10, comma 3, del testo unico delle disposizioni sulla promulgazione delle leggi, sull’emanazione dei decreti del Presidente della Repubblica e sulle pubblicazioni ufficiali della Repubblica italiana, approvato con decreto del Presidente della Repubblica 28 dicembre 1985, n. 1092, al solo fine di facilitare la lettura delle disposizioni di legge alle quali è operato il rinvio. Restano invariati il valore e l’efficacia degli atti legislativi qui trascritti. </w:t>
      </w:r>
    </w:p>
    <w:p w:rsidR="00B40799" w:rsidRPr="00477DB9" w:rsidRDefault="00B40799" w:rsidP="00B40799">
      <w:pPr>
        <w:shd w:val="clear" w:color="auto" w:fill="FEFEFE"/>
        <w:spacing w:after="0" w:line="20" w:lineRule="atLeast"/>
        <w:jc w:val="both"/>
        <w:outlineLvl w:val="1"/>
        <w:rPr>
          <w:sz w:val="20"/>
          <w:szCs w:val="20"/>
        </w:rPr>
      </w:pPr>
      <w:r w:rsidRPr="00477DB9">
        <w:rPr>
          <w:sz w:val="20"/>
          <w:szCs w:val="20"/>
        </w:rPr>
        <w:t xml:space="preserve">Note all’art. 2: </w:t>
      </w:r>
    </w:p>
    <w:p w:rsidR="00B40799" w:rsidRPr="00477DB9" w:rsidRDefault="00B40799" w:rsidP="00B40799">
      <w:pPr>
        <w:shd w:val="clear" w:color="auto" w:fill="FEFEFE"/>
        <w:spacing w:after="0" w:line="20" w:lineRule="atLeast"/>
        <w:jc w:val="both"/>
        <w:outlineLvl w:val="1"/>
        <w:rPr>
          <w:sz w:val="20"/>
          <w:szCs w:val="20"/>
        </w:rPr>
      </w:pPr>
      <w:r w:rsidRPr="00477DB9">
        <w:rPr>
          <w:sz w:val="20"/>
          <w:szCs w:val="20"/>
        </w:rPr>
        <w:t>— Si riporta l’art. 18, comma 1, lettera b) del decreto legislativo 17 ottobre 2005, n. 226, recante «Norme generali e livelli essenziali delle prestazioni relativi al secondo ciclo del sistema educativo di istruzione e formazione, a norma dell’articolo 2 della legge 28 marzo 2003, n. 53», pubblicato nella Gazzetta Ufficiale 4 novembre 2005, n. 257, supplemento ordinario: «Art. 18 (Livelli essenziali dei percorsi</w:t>
      </w:r>
      <w:proofErr w:type="gramStart"/>
      <w:r w:rsidRPr="00477DB9">
        <w:rPr>
          <w:sz w:val="20"/>
          <w:szCs w:val="20"/>
        </w:rPr>
        <w:t>) .</w:t>
      </w:r>
      <w:proofErr w:type="gramEnd"/>
      <w:r w:rsidRPr="00477DB9">
        <w:rPr>
          <w:sz w:val="20"/>
          <w:szCs w:val="20"/>
        </w:rPr>
        <w:t xml:space="preserve"> — 1. Allo scopo di realizzare il profilo educativo, culturale e professionale di cui all’art. 1, comma 5, le regioni assicurano, quali livelli essenziali dei percorsi: </w:t>
      </w:r>
      <w:proofErr w:type="gramStart"/>
      <w:r w:rsidRPr="00477DB9">
        <w:rPr>
          <w:sz w:val="20"/>
          <w:szCs w:val="20"/>
        </w:rPr>
        <w:t>( Omissis</w:t>
      </w:r>
      <w:proofErr w:type="gramEnd"/>
      <w:r w:rsidRPr="00477DB9">
        <w:rPr>
          <w:sz w:val="20"/>
          <w:szCs w:val="20"/>
        </w:rPr>
        <w:t xml:space="preserve"> ). b) l’acquisizione, ai sensi dell’art. 1, comma 5, di competenze linguistiche, matematiche, scientifiche, tecnologiche, storico sociali ed economiche, destinando a tale fine quote dell’orario complessivo obbligatorio idonee al raggiungimento degli obiettivi indicati nel profilo educativo, culturale e professionale dello studente, nonché di competenze professionali mirate in relazione al livello del titolo cui si riferiscono; </w:t>
      </w:r>
      <w:proofErr w:type="gramStart"/>
      <w:r w:rsidRPr="00477DB9">
        <w:rPr>
          <w:sz w:val="20"/>
          <w:szCs w:val="20"/>
        </w:rPr>
        <w:t>( Omissis</w:t>
      </w:r>
      <w:proofErr w:type="gramEnd"/>
      <w:r w:rsidRPr="00477DB9">
        <w:rPr>
          <w:sz w:val="20"/>
          <w:szCs w:val="20"/>
        </w:rPr>
        <w:t xml:space="preserve"> ).». — Il decreto legislativo 13 aprile 2017, n. 62, recante «Norme in materia di valutazione e certificazione delle competenze nel primo ciclo ed esami di Stato, a norma dell’art. 1, commi 180 e 181, lettera i</w:t>
      </w:r>
      <w:proofErr w:type="gramStart"/>
      <w:r w:rsidRPr="00477DB9">
        <w:rPr>
          <w:sz w:val="20"/>
          <w:szCs w:val="20"/>
        </w:rPr>
        <w:t>) ,</w:t>
      </w:r>
      <w:proofErr w:type="gramEnd"/>
      <w:r w:rsidRPr="00477DB9">
        <w:rPr>
          <w:sz w:val="20"/>
          <w:szCs w:val="20"/>
        </w:rPr>
        <w:t xml:space="preserve"> della legge 13 luglio 2015, n. 107» è pubblicato nella Gazzetta Ufficiale 16 maggio 2017, n. 112, supplemento ordinario. — Il decreto del Presidente della Repubblica 22 giugno 2009, n. 122 (Regolamento recante coordinamento delle norme vigenti per la valutazione degli alunni e ulteriori modalità applicative in materia, ai sensi degli articoli 2 e 3 del decreto-legge 1° settembre 2008, n. 137, convertito, con modificazioni, dalla legge 30 ottobre 2008, n. 169) è pubblicato nella Gazzetta Ufficiale 19 agosto 2009, n. 191. — Si riporta l’art. 1 del decreto-legge 1° settembre 2008, n. 137, convertito, con modificazioni, dalla legge 30 ottobre 2008, n. 169, recante «Disposizioni urgenti in materia di istruzione e università», pubblicato nella Gazzetta Ufficiale 3 ottobre 2006, n. 230: «Art. 1 (Cittadinanza e Costituzione</w:t>
      </w:r>
      <w:proofErr w:type="gramStart"/>
      <w:r w:rsidRPr="00477DB9">
        <w:rPr>
          <w:sz w:val="20"/>
          <w:szCs w:val="20"/>
        </w:rPr>
        <w:t>) .</w:t>
      </w:r>
      <w:proofErr w:type="gramEnd"/>
      <w:r w:rsidRPr="00477DB9">
        <w:rPr>
          <w:sz w:val="20"/>
          <w:szCs w:val="20"/>
        </w:rPr>
        <w:t xml:space="preserve"> — 1. A decorrere dall’inizio dell’anno scolastico 2008/2009, oltre ad una sperimentazione nazionale, ai sensi dell’art. 11 del regolamento di cui al decreto del Presidente della Repubblica 8 marzo 1999, n. 275, sono attivate azioni di sensibilizzazione e di formazione del personale finalizzate all’acquisizione nel primo e nel secondo ciclo di istruzione delle conoscenze e delle competenze relative a “Cittadinanza e Costituzione”, nell’ambito delle aree storico-geografica e storico-sociale e del monte ore complessivo previsto per le stesse. Iniziative analoghe sono avviate nella scuola dell’infanzia. 1 -</w:t>
      </w:r>
      <w:proofErr w:type="gramStart"/>
      <w:r w:rsidRPr="00477DB9">
        <w:rPr>
          <w:sz w:val="20"/>
          <w:szCs w:val="20"/>
        </w:rPr>
        <w:t>bis .</w:t>
      </w:r>
      <w:proofErr w:type="gramEnd"/>
      <w:r w:rsidRPr="00477DB9">
        <w:rPr>
          <w:sz w:val="20"/>
          <w:szCs w:val="20"/>
        </w:rPr>
        <w:t xml:space="preserve"> Al fine di promuovere la conoscenza del pluralismo istituzionale, definito dalla Carta costituzionale, sono altresì attivate iniziative per lo studio degli statuti regionali delle regioni ad autonomia ordinaria e speciale. 2. All’attuazione del presente articolo si provvede entro i limiti delle risorse umane, strumentali e finanziarie disponibili a legislazione vigente.». — Si riportano l’art. 2, comma 4 e l’art. 17, comma 10, del decreto legislativo 13 aprile 2017, n. 62, recante «Norme in materia di valutazione e certificazione delle competenze nel primo ciclo ed esami di Stato, a norma dell’art. 1, commi 180 e 181, lettera i</w:t>
      </w:r>
      <w:proofErr w:type="gramStart"/>
      <w:r w:rsidRPr="00477DB9">
        <w:rPr>
          <w:sz w:val="20"/>
          <w:szCs w:val="20"/>
        </w:rPr>
        <w:t>) ,</w:t>
      </w:r>
      <w:proofErr w:type="gramEnd"/>
      <w:r w:rsidRPr="00477DB9">
        <w:rPr>
          <w:sz w:val="20"/>
          <w:szCs w:val="20"/>
        </w:rPr>
        <w:t xml:space="preserve"> della legge 13 luglio 2015, n. 107», pubblicato nella Gazzetta Ufficiale 16 maggio 2017, n. 112, supplemento ordinario: «Art. 2 (Valutazione nel primo ciclo) . — </w:t>
      </w:r>
      <w:proofErr w:type="gramStart"/>
      <w:r w:rsidRPr="00477DB9">
        <w:rPr>
          <w:sz w:val="20"/>
          <w:szCs w:val="20"/>
        </w:rPr>
        <w:t>( Omissis</w:t>
      </w:r>
      <w:proofErr w:type="gramEnd"/>
      <w:r w:rsidRPr="00477DB9">
        <w:rPr>
          <w:sz w:val="20"/>
          <w:szCs w:val="20"/>
        </w:rPr>
        <w:t xml:space="preserve"> ). 4. Sono oggetto di valutazione le attività svolte nell’ambito di “Cittadinanza e Costituzione”, fermo </w:t>
      </w:r>
      <w:r w:rsidRPr="00477DB9">
        <w:rPr>
          <w:sz w:val="20"/>
          <w:szCs w:val="20"/>
        </w:rPr>
        <w:lastRenderedPageBreak/>
        <w:t xml:space="preserve">quanto previsto all’art. 1 del decreto-legge 1° settembre 2008, n. 137, convertito, con modificazioni, dalla legge 30 ottobre 2008, n. 169. </w:t>
      </w:r>
      <w:proofErr w:type="gramStart"/>
      <w:r w:rsidRPr="00477DB9">
        <w:rPr>
          <w:sz w:val="20"/>
          <w:szCs w:val="20"/>
        </w:rPr>
        <w:t>( Omissis</w:t>
      </w:r>
      <w:proofErr w:type="gramEnd"/>
      <w:r w:rsidRPr="00477DB9">
        <w:rPr>
          <w:sz w:val="20"/>
          <w:szCs w:val="20"/>
        </w:rPr>
        <w:t xml:space="preserve"> ).». «Art. 17 (Prove di esame</w:t>
      </w:r>
      <w:proofErr w:type="gramStart"/>
      <w:r w:rsidRPr="00477DB9">
        <w:rPr>
          <w:sz w:val="20"/>
          <w:szCs w:val="20"/>
        </w:rPr>
        <w:t>) .</w:t>
      </w:r>
      <w:proofErr w:type="gramEnd"/>
      <w:r w:rsidRPr="00477DB9">
        <w:rPr>
          <w:sz w:val="20"/>
          <w:szCs w:val="20"/>
        </w:rPr>
        <w:t xml:space="preserve"> — </w:t>
      </w:r>
      <w:proofErr w:type="gramStart"/>
      <w:r w:rsidRPr="00477DB9">
        <w:rPr>
          <w:sz w:val="20"/>
          <w:szCs w:val="20"/>
        </w:rPr>
        <w:t>( Omissis</w:t>
      </w:r>
      <w:proofErr w:type="gramEnd"/>
      <w:r w:rsidRPr="00477DB9">
        <w:rPr>
          <w:sz w:val="20"/>
          <w:szCs w:val="20"/>
        </w:rPr>
        <w:t xml:space="preserve"> ). 10. Il colloquio accerta altresì le conoscenze e competenze maturate dal candidato nell’ambito delle attività relative a “Cittadinanza e Costituzione”, fermo quanto previsto all’art. 1 del decreto-legge 1° settembre 2008, n. 137, convertito, con modificazioni, dalla legge 30 ottobre 2008, n. 169 e recepiti nel documento del consiglio di classe di cui al comma 1.».</w:t>
      </w:r>
    </w:p>
    <w:p w:rsidR="00B40799" w:rsidRPr="00477DB9" w:rsidRDefault="00B40799" w:rsidP="00B40799">
      <w:pPr>
        <w:shd w:val="clear" w:color="auto" w:fill="FEFEFE"/>
        <w:spacing w:after="0" w:line="20" w:lineRule="atLeast"/>
        <w:jc w:val="both"/>
        <w:outlineLvl w:val="1"/>
        <w:rPr>
          <w:sz w:val="20"/>
          <w:szCs w:val="20"/>
        </w:rPr>
      </w:pPr>
      <w:r w:rsidRPr="00477DB9">
        <w:rPr>
          <w:sz w:val="20"/>
          <w:szCs w:val="20"/>
        </w:rPr>
        <w:t>Note all’art. 5: — Si riporta l’art. 3 della legge 29 maggio 2017, n. 71, recante «Disposizioni a tutela dei minori per la prevenzione ed il contrasto del fenomeno del cyberbullismo», pubblicata nella Gazzetta Ufficiale 3 giugno 2017, n. 127: «Art. 3 (Piano di azione integrato</w:t>
      </w:r>
      <w:proofErr w:type="gramStart"/>
      <w:r w:rsidRPr="00477DB9">
        <w:rPr>
          <w:sz w:val="20"/>
          <w:szCs w:val="20"/>
        </w:rPr>
        <w:t>) .</w:t>
      </w:r>
      <w:proofErr w:type="gramEnd"/>
      <w:r w:rsidRPr="00477DB9">
        <w:rPr>
          <w:sz w:val="20"/>
          <w:szCs w:val="20"/>
        </w:rPr>
        <w:t xml:space="preserve"> — 1. Con decreto del Presidente del Consiglio dei ministri, da adottare entro trenta giorni dalla data di entrata in vigore della presente legge, è istituito presso la Presidenza del Consiglio dei ministri, senza nuovi o maggiori oneri per la finanza pubblica, il tavolo tecnico per la prevenzione e il contrasto del cyberbullismo, del quale fanno parte rappresentanti del Ministero dell’interno, del Ministero dell’istruzione, dell’università e della ricerca, del Ministero del lavoro e delle politiche sociali, del Ministero della giustizia, del Ministero dello sviluppo economico, del Ministero della salute, della Conferenza unificata di cui all’art. 8 del decreto legislativo 28 agosto 1997, n. 281, dell’Autorità per le garanzie nelle comunicazioni, del Garante per l’infanzia e l’adolescenza, del Comitato di applicazione del codice di autoregolamentazione media e minori, del Garante per la protezione dei dati personali, di associazioni con comprovata esperienza nella promozione dei diritti dei minori e degli adolescenti e nelle tematiche di genere, degli operatori che forniscono servizi di social networking e degli altri operatori della rete internet, una rappresentanza delle associazioni studentesche e dei genitori e una rappresentanza delle associazioni attive nel contrasto del bullismo e del cyberbullismo. Ai soggetti che partecipano ai lavori del tavolo non è corrisposto alcun compenso, indennità, gettone di presenza, rimborso spese o emolumento comunque denominato. 2. Il tavolo tecnico di cui al comma 1, coordinato dal Ministero dell’istruzione, dell’università e della ricerca, redige, entro sessanta giorni dal suo insediamento, un piano di azione integrato per il contrasto e la prevenzione del cyberbullismo, nel rispetto delle direttive europee in materia e nell’ambito del programma pluriennale dell’Unione europea di cui alla decisione 1351/2008/CE del Parlamento europeo e del Consiglio, del 16 dicembre 2008, e realizza un sistema di raccolta di dati finalizzato al monitoraggio dell’evoluzione dei fenomeni e, anche avvalendosi della collaborazione con la polizia postale e delle comunicazioni e con altre Forze di polizia, al controllo dei contenuti per la tutela dei minori. 3. Il piano di cui al comma 2 è integrato, entro il termine previsto dal medesimo comma, con il codice di co-regolamentazione per la prevenzione e il contrasto del cyberbullismo, a cui devono attenersi gli operatori che forniscono servizi di social networking e gli altri operatori della rete internet. Con il predetto codice è istituito un comitato di monitoraggio al quale è assegnato il compito di identificare procedure e formati standard per l’istanza di cui all’art. 2, comma 1, nonché di aggiornare periodicamente, sulla base delle evoluzioni tecnologiche e dei dati raccolti dal tavolo tecnico di cui al comma 1 del presente articolo, la tipologia dei soggetti ai quali è possibile inoltrare la medesima istanza secondo modalità disciplinate con il decreto di cui al medesimo comma 1. Ai soggetti che partecipano ai lavori del comitato di monitoraggio non è corrisposto alcun compenso, indennità, gettone di presenza, rimborso spese o emolumento comunque denominato. 4. Il piano di cui al comma 2 stabilisce, altresì, le iniziative di informazione e di prevenzione del fenomeno del cyberbullismo rivolte ai cittadini, coinvolgendo primariamente i servizi socio-educativi presenti sul territorio in sinergia con le scuole. 5. Nell’ambito del piano di cui al comma 2 la Presidenza del Consiglio dei ministri, in collaborazione con il Ministero dell’istruzione, dell’università e della ricerca e con l’Autorità per le garanzie nelle comunicazioni, predispone, nei limiti delle risorse di cui al comma 7, primo periodo, periodiche campagne informative di prevenzione e di sensibilizzazione sul fenomeno del cyberbullismo, avvalendosi dei principali media, nonché degli organi di comunicazione e di stampa e di soggetti privati. 6. A decorrere dall’anno successivo a quello di entrata in vigore della presente legge, il Ministro dell’istruzione, dell’università e della ricerca trasmette alle Camere, entro il 31 dicembre di ogni anno, una relazione sugli esiti delle attività svolte dal tavolo tecnico per la prevenzione e il contrasto del cyberbullismo, di cui al comma 1. 7. Ai fini dell’attuazione delle disposizioni di cui al comma 5, è autorizzata la spesa di euro 50.000 annui a decorrere dall’anno 2017. Al relativo onere si provvede mediante corrispondente riduzione, per gli anni 2017, 2018 e 2019, dello stanziamento del fondo speciale di parte corrente iscritto, ai fini del bilancio triennale 2017-2019, nell’ambito del programma “Fondi di riserva e speciali” della missione “Fondi da ripartire” dello stato di previsione del Ministero dell’economia e delle finanze per l’anno 2017, allo scopo parzialmente utilizzando l’accantonamento relativo al medesimo Ministero. 8. Il Ministro dell’economia e delle finanze è autorizzato ad apportare, con propri decreti, le occorrenti variazioni di bilancio.». </w:t>
      </w:r>
    </w:p>
    <w:p w:rsidR="00B40799" w:rsidRPr="00477DB9" w:rsidRDefault="00B40799" w:rsidP="00B40799">
      <w:pPr>
        <w:shd w:val="clear" w:color="auto" w:fill="FEFEFE"/>
        <w:spacing w:after="0" w:line="20" w:lineRule="atLeast"/>
        <w:jc w:val="both"/>
        <w:outlineLvl w:val="1"/>
        <w:rPr>
          <w:sz w:val="20"/>
          <w:szCs w:val="20"/>
        </w:rPr>
      </w:pPr>
      <w:r w:rsidRPr="00477DB9">
        <w:rPr>
          <w:sz w:val="20"/>
          <w:szCs w:val="20"/>
        </w:rPr>
        <w:t xml:space="preserve">Note all’art. 6: — Si riporta l’art. 1, comma 124, della legge 13 luglio 2015, n. 107, recante «Riforma del sistema nazionale di istruzione e formazione e delega per il riordino delle disposizioni legislative vigenti», pubblicata nella Gazzetta Ufficiale 15 luglio 2015, n. 162: «124. Nell’ambito degli adempimenti connessi alla funzione docente, la formazione in servizio dei docenti di ruolo è obbligatoria, permanente e strutturale. Le attività di formazione sono definite dalle singole istituzioni scolastiche in coerenza con il piano triennale dell’offerta formativa e con i risultati emersi dai piani di miglioramento delle istituzioni scolastiche previsti dal regolamento di cui al decreto del Presidente della Repubblica 28 marzo 2013, n. 80, sulla base delle priorità nazionali indicate nel Piano nazionale di formazione, adottato ogni tre anni </w:t>
      </w:r>
      <w:r w:rsidRPr="00477DB9">
        <w:rPr>
          <w:sz w:val="20"/>
          <w:szCs w:val="20"/>
        </w:rPr>
        <w:lastRenderedPageBreak/>
        <w:t xml:space="preserve">con decreto del Ministro dell’istruzione, dell’università e della ricerca, sentite le organizzazioni sindacali rappresentative di categoria.». </w:t>
      </w:r>
    </w:p>
    <w:p w:rsidR="00B40799" w:rsidRPr="00477DB9" w:rsidRDefault="00B40799" w:rsidP="00B40799">
      <w:pPr>
        <w:shd w:val="clear" w:color="auto" w:fill="FEFEFE"/>
        <w:spacing w:after="0" w:line="20" w:lineRule="atLeast"/>
        <w:jc w:val="both"/>
        <w:outlineLvl w:val="1"/>
        <w:rPr>
          <w:sz w:val="20"/>
          <w:szCs w:val="20"/>
        </w:rPr>
      </w:pPr>
      <w:r w:rsidRPr="00477DB9">
        <w:rPr>
          <w:sz w:val="20"/>
          <w:szCs w:val="20"/>
        </w:rPr>
        <w:t>Note all’art. 7: — Si riporta l’art. 5 -bis del decreto del Presidente della Repubblica 24 giugno 1998, n. 249 (Regolamento recante lo statuto delle studentesse e degli studenti della scuola secondaria), pubblicato nella Gazzetta Ufficiale 29 luglio 1998, n. 175: «Art. 5 -bis (Patto educativo di corresponsabilità</w:t>
      </w:r>
      <w:proofErr w:type="gramStart"/>
      <w:r w:rsidRPr="00477DB9">
        <w:rPr>
          <w:sz w:val="20"/>
          <w:szCs w:val="20"/>
        </w:rPr>
        <w:t>) .</w:t>
      </w:r>
      <w:proofErr w:type="gramEnd"/>
      <w:r w:rsidRPr="00477DB9">
        <w:rPr>
          <w:sz w:val="20"/>
          <w:szCs w:val="20"/>
        </w:rPr>
        <w:t xml:space="preserve"> — 1. Contestualmente all’iscrizione alla singola istituzione scolastica, è richiesta la sottoscrizione da parte dei genitori e degli studenti di un Patto educativo di corresponsabilità, finalizzato a definire in maniera dettagliata e condivisa diritti e doveri nel rapporto tra istituzione scolastica autonoma, studenti e famiglie. 2. I singoli regolamenti di istituto disciplinano le procedure di sottoscrizione nonché di elaborazione e revisione condivisa, del patto di cui al comma 1. 3. Nell’ambito delle prime due settimane di inizio delle attività didattiche, ciascuna istituzione scolastica pone in essere le iniziative più idonee per le opportune attività di accoglienza dei nuovi studenti, per la presentazione e la condivisione dello statuto delle studentesse e degli studenti, del piano dell’offerta formativa, dei regolamenti di istituto e del patto educativo di corresponsabilità.». — Il testo degli articoli da 412 a 414 del regio decreto 26 aprile 1928, n. 1297 (Approvazione del regolamento generale sui servizi dell’istruzione elementare), abrogati dalla presente legge, è pubblicato nel supplemento ordinario alla Gazzetta Ufficiale 19 luglio 1928, n. 167. </w:t>
      </w:r>
    </w:p>
    <w:p w:rsidR="00B40799" w:rsidRDefault="00B40799" w:rsidP="0044448E">
      <w:pPr>
        <w:shd w:val="clear" w:color="auto" w:fill="FEFEFE"/>
        <w:spacing w:after="0" w:line="20" w:lineRule="atLeast"/>
        <w:jc w:val="both"/>
        <w:outlineLvl w:val="1"/>
      </w:pPr>
    </w:p>
    <w:p w:rsidR="00F9673B" w:rsidRDefault="00F9673B" w:rsidP="00F9673B">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F9673B">
        <w:rPr>
          <w:rFonts w:cstheme="minorHAnsi"/>
          <w:b/>
        </w:rPr>
        <w:t>POLITICHE SOCIALI</w:t>
      </w:r>
    </w:p>
    <w:p w:rsidR="00F9673B" w:rsidRDefault="00F9673B" w:rsidP="00F9673B">
      <w:pPr>
        <w:keepNext/>
        <w:keepLines/>
        <w:spacing w:after="0" w:line="20" w:lineRule="atLeast"/>
        <w:jc w:val="center"/>
        <w:rPr>
          <w:rFonts w:cstheme="minorHAnsi"/>
          <w:b/>
        </w:rPr>
      </w:pPr>
    </w:p>
    <w:p w:rsidR="00F9673B" w:rsidRPr="00F9673B" w:rsidRDefault="00F9673B" w:rsidP="00F9673B">
      <w:pPr>
        <w:autoSpaceDE w:val="0"/>
        <w:autoSpaceDN w:val="0"/>
        <w:adjustRightInd w:val="0"/>
        <w:spacing w:after="0" w:line="20" w:lineRule="atLeast"/>
        <w:jc w:val="both"/>
        <w:rPr>
          <w:rFonts w:ascii="Corbel" w:hAnsi="Corbel" w:cs="TimesNewRomanPS-BoldMT"/>
          <w:b/>
          <w:bCs/>
        </w:rPr>
      </w:pPr>
      <w:r w:rsidRPr="00F9673B">
        <w:rPr>
          <w:rFonts w:ascii="Corbel" w:hAnsi="Corbel" w:cs="TimesNewRomanPS-BoldMT"/>
          <w:b/>
          <w:bCs/>
        </w:rPr>
        <w:t>C</w:t>
      </w:r>
      <w:r w:rsidR="00DF44B5">
        <w:rPr>
          <w:rFonts w:ascii="Corbel" w:hAnsi="Corbel" w:cs="TimesNewRomanPS-BoldMT"/>
          <w:b/>
          <w:bCs/>
        </w:rPr>
        <w:t xml:space="preserve">NEL </w:t>
      </w:r>
      <w:r w:rsidRPr="00F9673B">
        <w:rPr>
          <w:rFonts w:ascii="Corbel" w:hAnsi="Corbel" w:cs="TimesNewRomanPS-BoldMT"/>
          <w:b/>
          <w:bCs/>
        </w:rPr>
        <w:t>Regolamento degli organi, dell’organizzazione e delle procedure del CNEL</w:t>
      </w:r>
    </w:p>
    <w:p w:rsidR="00F9673B" w:rsidRPr="00DF44B5" w:rsidRDefault="00F9673B" w:rsidP="00F9673B">
      <w:pPr>
        <w:autoSpaceDE w:val="0"/>
        <w:autoSpaceDN w:val="0"/>
        <w:adjustRightInd w:val="0"/>
        <w:spacing w:after="0" w:line="20" w:lineRule="atLeast"/>
        <w:jc w:val="both"/>
        <w:rPr>
          <w:rFonts w:cstheme="minorHAnsi"/>
        </w:rPr>
      </w:pPr>
      <w:r w:rsidRPr="00F9673B">
        <w:rPr>
          <w:rFonts w:ascii="Corbel" w:hAnsi="Corbel" w:cs="TimesNewRomanPSMT"/>
        </w:rPr>
        <w:t>Testo approvato dall’Assemblea il 17 luglio 2019</w:t>
      </w:r>
      <w:r w:rsidRPr="00DF44B5">
        <w:rPr>
          <w:rFonts w:cstheme="minorHAnsi"/>
        </w:rPr>
        <w:t>.</w:t>
      </w:r>
      <w:r w:rsidR="00DF44B5" w:rsidRPr="00DF44B5">
        <w:rPr>
          <w:rFonts w:cstheme="minorHAnsi"/>
        </w:rPr>
        <w:t xml:space="preserve">  (GU </w:t>
      </w:r>
      <w:r w:rsidR="00DF44B5" w:rsidRPr="00DF44B5">
        <w:rPr>
          <w:rFonts w:cstheme="minorHAnsi"/>
          <w:color w:val="000000"/>
          <w:shd w:val="clear" w:color="auto" w:fill="FFFFFF"/>
        </w:rPr>
        <w:t>n. 188 del 12 agosto 2019)</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TITOLO 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GLI ORGANI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1.</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Insediamento del Consiglio</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 xml:space="preserve">1. Il presidente convoca il Consiglio entro venti giorni dalla pubblicazione dei decreti di nomina dei consiglieri nella </w:t>
      </w:r>
      <w:r w:rsidRPr="00F9673B">
        <w:rPr>
          <w:rFonts w:ascii="Corbel" w:hAnsi="Corbel" w:cs="TimesNewRomanPS-ItalicMT"/>
          <w:i/>
          <w:iCs/>
        </w:rPr>
        <w:t xml:space="preserve">Gazzetta </w:t>
      </w:r>
      <w:proofErr w:type="gramStart"/>
      <w:r w:rsidRPr="00F9673B">
        <w:rPr>
          <w:rFonts w:ascii="Corbel" w:hAnsi="Corbel" w:cs="TimesNewRomanPS-ItalicMT"/>
          <w:i/>
          <w:iCs/>
        </w:rPr>
        <w:t xml:space="preserve">Ufficiale </w:t>
      </w:r>
      <w:r w:rsidRPr="00F9673B">
        <w:rPr>
          <w:rFonts w:ascii="Corbel" w:hAnsi="Corbel" w:cs="TimesNewRomanPSMT"/>
        </w:rPr>
        <w:t>.</w:t>
      </w:r>
      <w:proofErr w:type="gramEnd"/>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 xml:space="preserve">2. I consiglieri esercitano i diritti previsti dalla legge e dai regolamenti e sono tenuti ai doveri del loro </w:t>
      </w:r>
      <w:r w:rsidRPr="00F9673B">
        <w:rPr>
          <w:rFonts w:ascii="Corbel" w:hAnsi="Corbel" w:cs="TimesNewRomanPS-ItalicMT"/>
          <w:i/>
          <w:iCs/>
        </w:rPr>
        <w:t xml:space="preserve">status </w:t>
      </w:r>
      <w:r w:rsidRPr="00F9673B">
        <w:rPr>
          <w:rFonts w:ascii="Corbel" w:hAnsi="Corbel" w:cs="TimesNewRomanPSMT"/>
        </w:rPr>
        <w:t>dal giorno della prima riunione del Consiglio al giorno precedente la prima riunione della successiva</w:t>
      </w:r>
      <w:r>
        <w:rPr>
          <w:rFonts w:ascii="Corbel" w:hAnsi="Corbel" w:cs="TimesNewRomanPSMT"/>
        </w:rPr>
        <w:t xml:space="preserve"> </w:t>
      </w:r>
      <w:r w:rsidRPr="00F9673B">
        <w:rPr>
          <w:rFonts w:ascii="Corbel" w:hAnsi="Corbel" w:cs="TimesNewRomanPSMT"/>
        </w:rPr>
        <w:t>consiliatura.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3. Nella prima seduta del Consiglio, il presidente istituisce un seggio provvisorio formato da tre consiglieri da lui nominati per lo svolgimento dell’elezione dei due vice presidenti secondo le procedure dell’art. 4, comma 2, e del segretario dell’assemblea secondo le procedure dell’art. 2, comma 9.</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4. Nella stessa seduta il presidente istituisce la giunta per il regolamento, comunicando i nomi dei consiglieri che ne fanno parte, tenuto conto delle rappresentanze previste dalla legge.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5. Il presidente dà comunicazione dell’avvenuto insediamento del Consiglio al Presidente della Repubblica, ai Presidenti delle due Camere, al Presidente del Consiglio dei ministri e ai presidenti delle regioni e delle Province autonome di Trento e Bolzano.</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2.</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Assemblea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1. L’assemblea è l’organo che esprime la volontà del Consiglio.</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L’assemblea è costituita validamente se sono presenti la metà più uno dei consiglieri in carica e delibera, salvo che non sia diversamente previsto dalla legge o dai regolamenti, con il voto della maggioranza assoluta dei consiglieri presenti, non inferiore, comunque, a un terzo dei componenti in carica.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2. L’assemblea, oltre ad esercitare le funzioni previste dalla legge e dai regolamenti, approva, a maggioranza assoluta dei componenti in carica, in apposita sessione, il programma annuale di lavoro e i documenti di bilancio.</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3. L’assemblea è convocata e presieduta dal presidente che, d’intesa</w:t>
      </w:r>
    </w:p>
    <w:p w:rsidR="00F9673B" w:rsidRPr="00F9673B" w:rsidRDefault="00F9673B" w:rsidP="00F9673B">
      <w:pPr>
        <w:autoSpaceDE w:val="0"/>
        <w:autoSpaceDN w:val="0"/>
        <w:adjustRightInd w:val="0"/>
        <w:spacing w:after="0" w:line="20" w:lineRule="atLeast"/>
        <w:jc w:val="both"/>
        <w:rPr>
          <w:rFonts w:ascii="Corbel" w:hAnsi="Corbel" w:cs="TimesNewRomanPSMT"/>
        </w:rPr>
      </w:pPr>
      <w:proofErr w:type="gramStart"/>
      <w:r w:rsidRPr="00F9673B">
        <w:rPr>
          <w:rFonts w:ascii="Corbel" w:hAnsi="Corbel" w:cs="TimesNewRomanPSMT"/>
        </w:rPr>
        <w:t>con</w:t>
      </w:r>
      <w:proofErr w:type="gramEnd"/>
      <w:r w:rsidRPr="00F9673B">
        <w:rPr>
          <w:rFonts w:ascii="Corbel" w:hAnsi="Corbel" w:cs="TimesNewRomanPSMT"/>
        </w:rPr>
        <w:t xml:space="preserve"> i vice presidenti, ne stabilisce l’ordine del giorno, che viene comunicato al Consiglio di Presidenza.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4. L’assemblea è altresì convocata su richiesta motivata di un quarto dei consiglieri in carica. In tal caso l’ordine del giorno è quello indicato nella richiesta di convocazione e la riunione deve essere convocata entro tre giorni dalla richiesta.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 xml:space="preserve">5. L’ordine del giorno di ciascuna assemblea è comunicato con avvisi telematici da inviarsi almeno sette giorni prima e, in via eccezionale, almeno tre giorni prima dell’adunanza. Sono da considerare assemblee </w:t>
      </w:r>
      <w:r w:rsidRPr="00F9673B">
        <w:rPr>
          <w:rFonts w:ascii="Corbel" w:hAnsi="Corbel" w:cs="TimesNewRomanPSMT"/>
        </w:rPr>
        <w:lastRenderedPageBreak/>
        <w:t>ordinarie, da convocarsi almeno una volta al mese, quelle convocate con avvisi inviati almeno sette giorni prima e assemblee straordinarie quelle convocate almeno tre giorni prima dell’adunanza.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6. Unitamente all’avviso di convocazione per l’assemblea sono inviati ai consiglieri i documenti riguardanti l’ordine del giorno. Qualora, su una pronuncia, un consigliere intenda proporre emendamenti può farlo inviandoli, di regola non oltre il terzo giorno che precede l’assemblea ordinaria, all’organismo incaricato di predisporre la pronuncia, il quale valuta in merito all’accoglibilità o meno dell’emendamento. In caso di valutazione negativa l’emendamento viene rimesso all’assemblea per una pronuncia definitiva. È fatta salva la possibilità di presentare emendamenti da parte di ciascun consigliere durante l’assemblea.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7. L’assemblea può deliberare di iscrivere un dato argomento all’ordine del giorno della seduta successiva, su richiesta di almeno un decimo dei consiglieri in carica. Se la richiesta è presentata dalla maggioranza assoluta dei consiglieri presenti l’argomento è discusso nella medesima seduta.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8. I lavori della assemblea sono diretti dal presidente il quale illustra l’ordine del giorno, concede la facoltà di parola, indice le votazioni e ne proclama i risultati.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9. Su proposta del presidente, l’assemblea elegge tra i consiglieri il segretario dell’assemblea a maggioranza assoluta dei presenti.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10. Il consigliere segretario procede agli accertamenti delle votazioni e annota - nominativamente su richiesta degli interessati - gli eventuali contrari e il numero degli astenuti, sovrintende alla redazione dei resoconti sommari delle sedute ed in generale ai lavori dell’assemblea, secondo le direttive del presidente. Verifica, all’inizio dei lavori dell’assemblea l’esistenza del numero legale, comunica al presidente l’esito e pone in approvazione il verbale della seduta precedente salvo che, in caso di urgenza, esso sia approvato a conclusione della seduta stessa.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11. La verifica del numero legale può essere richiesta da ogni consigliere durante l’assemblea: qualora venisse constatata la mancanza del numero legale, il presidente rinvia la seduta ad altra ora dello stesso giorno o ai giorni successivi.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12. Le votazioni avvengono per alzata di mano. Si adotta la votazione per appello nominale su richiesta di un decimo dei consiglieri in carica. Lo scrutinio segreto è comunque adottato per le questioni personali e per le elezioni delle cariche o a richiesta di almeno un quarto dei consiglieri in carica.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13. Le sedute dell’assemblea del CNEL sono pubbliche. La forma e le modalità di tale pubblicità sono determinate dal presidente del CNEL, sentito il Consiglio di Presidenza. A maggioranza assoluta dei suoi componenti, il CNEL può deliberare di riunirsi in seduta non pubblica. I pareri del CNEL relativi al semestre europeo e ai documenti di bilancio del Governo sono deliberati in seduta non pubblica, in quanto la pubblicità è assicurata dal procedimento parlamentare. Alle sedute di assemblea assistono il segretario generale e, su sua indicazione, i funzionari del CNEL che assicurano il necessario supporto in merito alla documentazione da esaminare.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 xml:space="preserve">14. Di ogni seduta si redige il resoconto sommario da cui risultino lo svolgimento, le conclusioni dei lavori e le pronunce approvate, col nome degli intervenuti. Il resoconto sommario è trasmesso ai consiglieri con le modalità di cui al comma 6 e viene messo in approvazione nella seduta successiva. Nel caso in cui fossero pervenute richieste di integrazioni, il consigliere segretario ne dà comunicazione all’assemblea. Sul resoconto sommario non è concessa la parola se non a chi intenda farvi inserire una rettifica o parlare per fatto personale. Il resoconto sommario è firmato dal presidente e dal consigliere segretario ed è reso disponibile nella intranet, salva la tutela della </w:t>
      </w:r>
      <w:r w:rsidRPr="00F9673B">
        <w:rPr>
          <w:rFonts w:ascii="Corbel" w:hAnsi="Corbel" w:cs="TimesNewRomanPS-ItalicMT"/>
          <w:i/>
          <w:iCs/>
        </w:rPr>
        <w:t xml:space="preserve">privacy </w:t>
      </w:r>
      <w:r w:rsidRPr="00F9673B">
        <w:rPr>
          <w:rFonts w:ascii="Corbel" w:hAnsi="Corbel" w:cs="TimesNewRomanPSMT"/>
        </w:rPr>
        <w:t xml:space="preserve">ai sensi del decreto legislativo n. 196/2003 e successive modificazioni ed integrazioni, nonché del regolamento UE 679/2016 (GDPR, </w:t>
      </w:r>
      <w:r w:rsidRPr="00F9673B">
        <w:rPr>
          <w:rFonts w:ascii="Corbel" w:hAnsi="Corbel" w:cs="TimesNewRomanPS-ItalicMT"/>
          <w:i/>
          <w:iCs/>
        </w:rPr>
        <w:t xml:space="preserve">General Data Protection </w:t>
      </w:r>
      <w:proofErr w:type="gramStart"/>
      <w:r w:rsidRPr="00F9673B">
        <w:rPr>
          <w:rFonts w:ascii="Corbel" w:hAnsi="Corbel" w:cs="TimesNewRomanPS-ItalicMT"/>
          <w:i/>
          <w:iCs/>
        </w:rPr>
        <w:t xml:space="preserve">Regulation </w:t>
      </w:r>
      <w:r w:rsidRPr="00F9673B">
        <w:rPr>
          <w:rFonts w:ascii="Corbel" w:hAnsi="Corbel" w:cs="TimesNewRomanPSMT"/>
        </w:rPr>
        <w:t>)</w:t>
      </w:r>
      <w:proofErr w:type="gramEnd"/>
      <w:r w:rsidRPr="00F9673B">
        <w:rPr>
          <w:rFonts w:ascii="Corbel" w:hAnsi="Corbel" w:cs="TimesNewRomanPSMT"/>
        </w:rPr>
        <w:t>. Di ogni seduta è disposta</w:t>
      </w:r>
    </w:p>
    <w:p w:rsidR="00F9673B" w:rsidRPr="00F9673B" w:rsidRDefault="00F9673B" w:rsidP="00F9673B">
      <w:pPr>
        <w:autoSpaceDE w:val="0"/>
        <w:autoSpaceDN w:val="0"/>
        <w:adjustRightInd w:val="0"/>
        <w:spacing w:after="0" w:line="20" w:lineRule="atLeast"/>
        <w:jc w:val="both"/>
        <w:rPr>
          <w:rFonts w:ascii="Corbel" w:hAnsi="Corbel" w:cs="TimesNewRomanPSMT"/>
        </w:rPr>
      </w:pPr>
      <w:proofErr w:type="gramStart"/>
      <w:r w:rsidRPr="00F9673B">
        <w:rPr>
          <w:rFonts w:ascii="Corbel" w:hAnsi="Corbel" w:cs="TimesNewRomanPSMT"/>
        </w:rPr>
        <w:t>la</w:t>
      </w:r>
      <w:proofErr w:type="gramEnd"/>
      <w:r w:rsidRPr="00F9673B">
        <w:rPr>
          <w:rFonts w:ascii="Corbel" w:hAnsi="Corbel" w:cs="TimesNewRomanPSMT"/>
        </w:rPr>
        <w:t xml:space="preserve"> registrazione.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3.</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Presidente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1. Il presidente rappresenta il CNEL ed esercita le funzioni che gli sono attribuite dalla legge e dai regolamenti. Promuove, dirige e coordina l’attività del CNEL, d’intesa con il Consiglio di Presidenza.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2. Il presidente, previo esame dell’Ufficio di Presidenza, con la partecipazione del presidente del Collegio dei revisori e valutato il parere del medesimo Collegio, presenta all’assemblea lo schema di bilancio di previsione, predisposto dal segretario generale nonché, su conforme parere dell’Ufficio di Presidenza, eventuali e necessarie variazioni di bilancio compensative per l’approvazione.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lastRenderedPageBreak/>
        <w:t>3. Il presidente, previo esame dell’Ufficio di Presidenza, con la partecipazione del presidente del Collegio dei revisori e valutato il parere del medesimo Collegio, presenta all’assemblea il rendiconto consuntivo per l’approvazione.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4.</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Vice presidenti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1. I vice presidenti assistono il presidente e lo sostituiscono nei casi di assenza o di impedimento anche temporaneo, nonché nei casi previsti dall’art. 5, comma 3, della legge n. 936 del 1986. Esercitano, altresì, le funzioni loro delegate dal presidente. Essi presiedono le commissioni istruttorie come previsto dalla legge e secondo le attribuzioni deliberate dal Consiglio di Presidenza.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2. I due vice presidenti sono eletti dall’assemblea a scrutinio segreto a maggioranza assoluta dei consiglieri in carica. La votazione non si considera valida se due consiglieri non raggiungono entrambi tale maggioranza in un primo scrutinio ed in un secondo scrutinio, quest’ultimo da tenersi nella stessa seduta. In caso di mancata elezione viene indetta una terza votazione nella quale ciascun consigliere scrive sulla scheda un solo nome. Risultano eletti coloro che hanno ottenuto il maggior numero di voti purché, per entrambi, tali voti non siano inferiori ad un terzo dei consiglieri in carica.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3. Nel caso di vacanza di un posto di vice presidente si procede alla relativa elezione con la procedura prevista dal comma precedente, votando, fin dal primo scrutinio, un solo nome.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5.</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Ufficio di Presidenza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1. L’Ufficio di Presidenza del CNEL è composto dal presidente che lo presiede e dai due vice presidenti. Esercita le funzioni attribuitegli dalla legge e dai regolamenti del CNEL, coadiuva il presidente nell’esercizio delle sue funzioni. L’Ufficio di Presidenza può essere integrato con altri consiglieri sulla base dei temi da trattare.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 xml:space="preserve">2. Il segretario generale del CNEL partecipa, senza diritto di voto, alle sedute dell’Ufficio di Presidenza. I verbali dell’Ufficio di Presidenza sono conservati dal segretario generale e resi disponibili nella intranet del CNEL, salva la tutela della </w:t>
      </w:r>
      <w:proofErr w:type="gramStart"/>
      <w:r w:rsidRPr="00F9673B">
        <w:rPr>
          <w:rFonts w:ascii="Corbel" w:hAnsi="Corbel" w:cs="TimesNewRomanPS-ItalicMT"/>
          <w:i/>
          <w:iCs/>
        </w:rPr>
        <w:t xml:space="preserve">privacy </w:t>
      </w:r>
      <w:r w:rsidRPr="00F9673B">
        <w:rPr>
          <w:rFonts w:ascii="Corbel" w:hAnsi="Corbel" w:cs="TimesNewRomanPSMT"/>
        </w:rPr>
        <w:t>.</w:t>
      </w:r>
      <w:proofErr w:type="gramEnd"/>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6.</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Consiglio di Presidenza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1. Il Consiglio di Presidenza è presieduto dal presidente del CNEL ed è composto dai vice presidenti e da otto consiglieri, indicati, secondo criteri di rappresentatività, dalle componenti come individuate dall’art. 2, comma 1, della legge 30 dicembre del 1986, n. 936 e successive modifiche e integrazioni. Partecipa, con funzioni di segretario, il</w:t>
      </w:r>
    </w:p>
    <w:p w:rsidR="00F9673B" w:rsidRPr="00F9673B" w:rsidRDefault="00F9673B" w:rsidP="00F9673B">
      <w:pPr>
        <w:autoSpaceDE w:val="0"/>
        <w:autoSpaceDN w:val="0"/>
        <w:adjustRightInd w:val="0"/>
        <w:spacing w:after="0" w:line="20" w:lineRule="atLeast"/>
        <w:jc w:val="both"/>
        <w:rPr>
          <w:rFonts w:ascii="Corbel" w:hAnsi="Corbel" w:cs="TimesNewRomanPSMT"/>
        </w:rPr>
      </w:pPr>
      <w:proofErr w:type="gramStart"/>
      <w:r w:rsidRPr="00F9673B">
        <w:rPr>
          <w:rFonts w:ascii="Corbel" w:hAnsi="Corbel" w:cs="TimesNewRomanPSMT"/>
        </w:rPr>
        <w:t>consigliere</w:t>
      </w:r>
      <w:proofErr w:type="gramEnd"/>
      <w:r w:rsidRPr="00F9673B">
        <w:rPr>
          <w:rFonts w:ascii="Corbel" w:hAnsi="Corbel" w:cs="TimesNewRomanPSMT"/>
        </w:rPr>
        <w:t xml:space="preserve"> segretario dell’assemblea.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2. Il Consiglio di Presidenza è eletto dall’assemblea, a scrutinio segreto, con il voto favorevole di tre quarti dei componenti presenti, sulla base di una lista sottoscritta da almeno il 51 per cento dei componenti aventi diritto. L’assemblea può delegare, a maggioranza assoluta dei componenti, la nomina del Consiglio di Presidenza all’Ufficio di Presidenza, che vi provvede nella sua prima riunione utile.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3. Il Consiglio di Presidenza ha compiti di indirizzo, programmazione e coordinamento delle attività delle commissioni e degli altri organismi costituiti per l’attuazione dei compiti attribuiti al CNEL dalla legge 30 dicembre del 1986, n. 936 e successive modificazioni e integrazioni, da leggi specifiche e da accordi con altre istituzioni. Propone il programma delle attività del Consiglio e attua il monitoraggio della sua esecuzione.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4. In caso di vacanza di uno o più posti nel Consiglio di Presidenza per le nomine suppletive si applica la procedura prevista al comma 2.</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5. Il segretario generale informa periodicamente o su richiesta il Consiglio di Presidenza sull’attività degli uffici in attuazione del programma secondo i principi della leale collaborazione.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7.</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Giunta per il regolamento</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1. Il Consiglio adotta i propri regolamenti con la maggioranza assoluta dei componenti in carica. La stessa maggioranza è richiesta per ogni loro modifica.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 xml:space="preserve">2. La Giunta per il regolamento è presieduta dal presidente del CNEL, ed è composta da dieci consiglieri, indicati dalle componenti cui all’art. 2 della legge n. 936 del 1986 e successive modificazioni e integrazioni. La composizione della Giunta è definita con determinazione del presidente che ne informa l’assemblea. Il </w:t>
      </w:r>
      <w:r w:rsidRPr="00F9673B">
        <w:rPr>
          <w:rFonts w:ascii="Corbel" w:hAnsi="Corbel" w:cs="TimesNewRomanPSMT"/>
        </w:rPr>
        <w:lastRenderedPageBreak/>
        <w:t>presidente può delegare le proprie funzioni di presidente della Giunta per il regolamento ad uno dei suoi componenti.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3. La Giunta per il regolamento esamina preliminarmente ogni questione relativa alla materia regolamentare e alle connesse questioni giuridiche ed eventuali contenziosi; ne riferisce alla prima assemblea utile.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4. Ciascun consigliere può presentare proposte di modifica ai regolamenti che sono rimesse all’esame della Giunta.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5. Nel caso in cui i regolamenti, adottati con le modalità di cui ai commi precedenti, concernano materie contemplate dal comma 2, dell’art. 20, della legge 30 dicembre del 1986, n. 936, i medesimi sono tempestivamente inviati, con una relazione illustrativa, dal presidente del CNEL al Presidente del Consiglio dei ministri, ai fini dell’approvazione</w:t>
      </w:r>
    </w:p>
    <w:p w:rsidR="00F9673B" w:rsidRPr="00F9673B" w:rsidRDefault="00F9673B" w:rsidP="00F9673B">
      <w:pPr>
        <w:autoSpaceDE w:val="0"/>
        <w:autoSpaceDN w:val="0"/>
        <w:adjustRightInd w:val="0"/>
        <w:spacing w:after="0" w:line="20" w:lineRule="atLeast"/>
        <w:jc w:val="both"/>
        <w:rPr>
          <w:rFonts w:ascii="Corbel" w:hAnsi="Corbel" w:cs="TimesNewRomanPSMT"/>
        </w:rPr>
      </w:pPr>
      <w:proofErr w:type="gramStart"/>
      <w:r w:rsidRPr="00F9673B">
        <w:rPr>
          <w:rFonts w:ascii="Corbel" w:hAnsi="Corbel" w:cs="TimesNewRomanPSMT"/>
        </w:rPr>
        <w:t>prevista</w:t>
      </w:r>
      <w:proofErr w:type="gramEnd"/>
      <w:r w:rsidRPr="00F9673B">
        <w:rPr>
          <w:rFonts w:ascii="Corbel" w:hAnsi="Corbel" w:cs="TimesNewRomanPSMT"/>
        </w:rPr>
        <w:t xml:space="preserve"> dall’art. 20 della stessa legge.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 xml:space="preserve">6. I regolamenti e le loro modificazioni sono pubblicati nella </w:t>
      </w:r>
      <w:r w:rsidRPr="00F9673B">
        <w:rPr>
          <w:rFonts w:ascii="Corbel" w:hAnsi="Corbel" w:cs="TimesNewRomanPS-ItalicMT"/>
          <w:i/>
          <w:iCs/>
        </w:rPr>
        <w:t xml:space="preserve">Gazzetta Ufficiale </w:t>
      </w:r>
      <w:r w:rsidRPr="00F9673B">
        <w:rPr>
          <w:rFonts w:ascii="Corbel" w:hAnsi="Corbel" w:cs="TimesNewRomanPSMT"/>
        </w:rPr>
        <w:t>della Repubblica e nel sito del CNEL.</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8.</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Commissioni e altri organismi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 xml:space="preserve">1. Il presidente del CNEL, sentiti i vice presidenti e il </w:t>
      </w:r>
      <w:proofErr w:type="gramStart"/>
      <w:r w:rsidRPr="00F9673B">
        <w:rPr>
          <w:rFonts w:ascii="Corbel" w:hAnsi="Corbel" w:cs="TimesNewRomanPSMT"/>
        </w:rPr>
        <w:t>segretario  generale</w:t>
      </w:r>
      <w:proofErr w:type="gramEnd"/>
      <w:r w:rsidRPr="00F9673B">
        <w:rPr>
          <w:rFonts w:ascii="Corbel" w:hAnsi="Corbel" w:cs="TimesNewRomanPSMT"/>
        </w:rPr>
        <w:t>, previo parere del Consiglio di Presidenza, e in relazione al programma di attività, stabilisce il numero, non superiore a quattro, e le attribuzioni delle commissioni istruttorie di cui all’art. 14 della legge 30 dicembre del 1986, n. 936 e successive modificazioni e integrazioni. Definisce altresì la composizione della Commissione dell’informazione, prevista dall’art. 16 della legge n. 936 del 1986, e degli altri organismi istituiti per legge, secondo le procedure di cui al successivo comma 2.</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2. Le commissioni sono costituite da un numero di consiglieri non superiore a quindici. La composizione delle commissioni è definita dal presidente del CNEL, sentiti i vice presidenti, previo parere del Consiglio di Presidenza, in base ai criteri di rappresentatività delle componenti come individuate dall’art. 2, comma 1, della legge 30 dicembre del 1986, n. 936 e successive modificazioni e integrazioni. La composizione delle commissioni e degli altri organismi è formalizzata con determinazione del presidente del CNEL, che ne informa l’assemblea.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3. Il presidente, sentiti i vice presidenti e previo parere del Consiglio di Presidenza, può istituire, nell’ambito delle commissioni, organismi (osservatori, consulte etc.) in coerenza con le finalità istituzionali e in relazione al programma di attività. La composizione, le modalità di funzionamento e l’assegnazione alle commissioni istruttorie degli organismi istituiti da convenzioni con enti e istituzioni pubbliche che prevedano o meno la partecipazione di soggetti esterni al CNEL sono definite, su parere conforme del Consiglio di Presidenza, con determinazione del presidente che ne informa l’assemblea.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4. I presidenti delle commissioni, sentiti i componenti della commissione stessa, provvedono alla designazione di un consigliere coordinatore che coadiuva stabilmente il presidente della commissione, agisce su sua delega e lo sostituisce in caso di assenza o impedimento. Il presidente del CNEL informa l’assemblea dell’avvenuta designazione, comunicando i nomi dei coordinatori. I presidenti di commissione, sentito il Consiglio di Presidenza, nominano il relatore dei singoli atti tra i consiglieri componenti.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5. Le missioni dei consiglieri sono autorizzate con determinazione dal presidente, previo parere del Consiglio di Presidenza. Nel caso in cui - per ragioni di urgenza - non fosse possibile acquisire l’avviso del Consiglio di Presidenza, l’autorizzazione viene concessa con atto del presidente, da sottoporre a ratifica nella prima seduta utile del medesimo</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Consiglio.</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6. La Commissione dell’informazione, di cui all’art. 16 della legge n. 936 del 1986, provvede alla elezione dei due vice presidenti a maggioranza assoluta dei suoi componenti.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7. Ogni consigliere, quando sia interessato a questioni deferite ad una commissione diversa da quella di appartenenza, può assistere alle sedute.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8. La partecipazione ai lavori di una commissione diversa da quella di appartenenza non ha effetti economici.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9. Il consigliere, membro di una commissione o di altro organismo, impedito temporaneamente di partecipare ai lavori, può delegare, ad ogni effetto, altro consigliere, previa comunicazione scritta al presidente o coordinatore. In caso di temporaneo impedimento di un consigliere, è consentita la partecipazione attraverso modalità telematiche.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lastRenderedPageBreak/>
        <w:t>10. Nelle riunioni delle commissioni e dei gruppi di lavoro, i consiglieri possono essere assistiti da tecnici di una organizzazione rappresentata al CNEL senza oneri per il CNEL.</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11. Allo svolgimento delle sedute delle commissioni si applicano, in quanto compatibili, le norme procedurali previste per l’assemblea, ivi comprese quelle relative ai resoconti sommari.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9.</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Collegio dei revisori dei conti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1. Il Collegio dei revisori dei conti è formato da due magistrati contabili, fra i quali è scelto nella sua prima riunione il presidente, e da un componente designato dal Ministero dell’economia e delle finanze tra i dirigenti dei propri ruoli. Il Collegio è nominato dall’assemblea del Consiglio nazionale dell’economia e del lavoro, su proposta dell’Ufficio di Presidenza, sentito il segretario generale, con un mandato di durata non eccedente la scadenza della consiliatura in carica. Al fine di evitare soluzioni di continuità nell’attività sindacatoria della gestione amministrativa, il Collegio in scadenza resta in carica fino all’insediamento del successivo.</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2. Il Collegio dei revisori dei conti svolge le seguenti funzioni: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ItalicMT"/>
          <w:i/>
          <w:iCs/>
        </w:rPr>
        <w:t xml:space="preserve">a) </w:t>
      </w:r>
      <w:r w:rsidRPr="00F9673B">
        <w:rPr>
          <w:rFonts w:ascii="Corbel" w:hAnsi="Corbel" w:cs="TimesNewRomanPSMT"/>
        </w:rPr>
        <w:t>effettua il controllo successivo di regolarità amministrativa e contabile sulla gestione finanziaria e patrimoniale, anche avvalendosi degli elementi e dei dati forniti dal dirigente preposto al bilancio;</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ItalicMT"/>
          <w:i/>
          <w:iCs/>
        </w:rPr>
        <w:t xml:space="preserve">b) </w:t>
      </w:r>
      <w:r w:rsidRPr="00F9673B">
        <w:rPr>
          <w:rFonts w:ascii="Corbel" w:hAnsi="Corbel" w:cs="TimesNewRomanPSMT"/>
        </w:rPr>
        <w:t>esprime parere sul progetto di bilancio preventivo e sul conto consuntivo, con particolare riguardo alla concordanza dei risultati esposti con le scritture contabili e alla regolarità della gestione finanziaria;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ItalicMT"/>
          <w:i/>
          <w:iCs/>
        </w:rPr>
        <w:t xml:space="preserve">c) </w:t>
      </w:r>
      <w:r w:rsidRPr="00F9673B">
        <w:rPr>
          <w:rFonts w:ascii="Corbel" w:hAnsi="Corbel" w:cs="TimesNewRomanPSMT"/>
        </w:rPr>
        <w:t>esprime parere sulle variazioni di bilancio e sui prelevamenti dai fondi;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ItalicMT"/>
          <w:i/>
          <w:iCs/>
        </w:rPr>
        <w:t xml:space="preserve">d) </w:t>
      </w:r>
      <w:r w:rsidRPr="00F9673B">
        <w:rPr>
          <w:rFonts w:ascii="Corbel" w:hAnsi="Corbel" w:cs="TimesNewRomanPSMT"/>
        </w:rPr>
        <w:t>esprime parere su ogni altra questione attinente alla gestione del bilancio autonomo del Consiglio ad esso sottoposta dal presidente o dal segretario generale.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3. Il compenso da corrispondere al presidente ed ai componenti del Collegio è stabilito nell’atto di costituzione del Collegio.</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10.</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Organismo indipendente di valutazione e di alta consulenza agli organi del CNEL</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1. Per il monitoraggio del funzionamento complessivo del sistema della valutazione, della trasparenza e integrità dei controlli interni, è istituito con determinazione del presidente del CNEL l’Organismo indipendente di valutazione e di alta consulenza agli organi del CNEL.</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L’Organismo è formato da un presidente e da due componenti, nominati con determinazione del presidente, su parere conforme dell’Ufficio di Presidenza, sentito il segretario generale, in possesso dei requisiti di legge con un mandato di durata non eccedente la scadenza della consiliatura in carica. Al fine di evitare soluzioni di continuità nell’attività sindacatoria della gestione amministrativa, il Collegio in scadenza resta in carica fino all’insediamento del successivo.</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2. L’Organismo indipendente di valutazione e di alta consulenza agli organi del CNEL svolge, oltre alle funzioni proprie sulle valutazioni di sua competenza, le seguenti ulteriori funzioni consultive: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ItalicMT"/>
          <w:i/>
          <w:iCs/>
        </w:rPr>
        <w:t xml:space="preserve">a) </w:t>
      </w:r>
      <w:r w:rsidRPr="00F9673B">
        <w:rPr>
          <w:rFonts w:ascii="Corbel" w:hAnsi="Corbel" w:cs="TimesNewRomanPSMT"/>
        </w:rPr>
        <w:t>esprime pareri a richiesta del presidente del CNEL o del segretario generale, in materia di innovazione o ottimizzazione delle procedure amministrative e di attuazione concreta delle prerogative di autonomia dell’organo;</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ItalicMT"/>
          <w:i/>
          <w:iCs/>
        </w:rPr>
        <w:t xml:space="preserve">b) </w:t>
      </w:r>
      <w:r w:rsidRPr="00F9673B">
        <w:rPr>
          <w:rFonts w:ascii="Corbel" w:hAnsi="Corbel" w:cs="TimesNewRomanPSMT"/>
        </w:rPr>
        <w:t xml:space="preserve">supporta le decisioni dei vertici dell’organo sotto il profilo organizzativo e degli </w:t>
      </w:r>
      <w:r w:rsidRPr="00F9673B">
        <w:rPr>
          <w:rFonts w:ascii="Corbel" w:hAnsi="Corbel" w:cs="TimesNewRomanPS-ItalicMT"/>
          <w:i/>
          <w:iCs/>
        </w:rPr>
        <w:t xml:space="preserve">iter </w:t>
      </w:r>
      <w:r w:rsidRPr="00F9673B">
        <w:rPr>
          <w:rFonts w:ascii="Corbel" w:hAnsi="Corbel" w:cs="TimesNewRomanPSMT"/>
        </w:rPr>
        <w:t>procedurali;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ItalicMT"/>
          <w:i/>
          <w:iCs/>
        </w:rPr>
        <w:t xml:space="preserve">c) </w:t>
      </w:r>
      <w:r w:rsidRPr="00F9673B">
        <w:rPr>
          <w:rFonts w:ascii="Corbel" w:hAnsi="Corbel" w:cs="TimesNewRomanPSMT"/>
        </w:rPr>
        <w:t>esprime parere su ogni altra questione ad esso sottoposta dal presidente o dal segretario generale, circa adempimenti puntuali degli organi amministrativi del CNEL, ferme restando le attribuzioni consultive della Giunta per il regolamento di cui all’art. 7 del presente regolamento.</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3. Il compenso da corrispondere al presidente ed ai componenti dell’Organismo è stabilito nell’atto di costituzione del Collegio.</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11.</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Codice etico</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1. I consiglieri del Consiglio nazionale dell’economia e del lavoro e quanti designati dallo stesso presso altri organismi pubblici, devono assolvere ai propri compiti con disciplina ed onore, nel rispetto dei principi di integrità, trasparenza, diligenza e responsabilità e a tutela del prestigio del CNEL.</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2. I membri del Consiglio partecipano attivamente ai lavori del CNEL.</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 xml:space="preserve">3. Su proposta della Giunta per il regolamento, l’assemblea del CNEL adotta, a maggioranza assoluta dei suoi componenti, un codice etico che stabilisce i principi e le norme di condotta alle quali i consiglieri del </w:t>
      </w:r>
      <w:r w:rsidRPr="00F9673B">
        <w:rPr>
          <w:rFonts w:ascii="Corbel" w:hAnsi="Corbel" w:cs="TimesNewRomanPSMT"/>
        </w:rPr>
        <w:lastRenderedPageBreak/>
        <w:t>CNEL e quanti designati dallo stesso presso altri organismi pubblici debbono attenersi nello svolgimento delle proprie funzioni.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12.</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Programma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 xml:space="preserve">1. Il programma dell’attività costituisce la sede di identificazione degli obiettivi primari dell’azione istituzionale ed amministrativa del CNEL e si colloca alla base del ciclo della </w:t>
      </w:r>
      <w:r w:rsidRPr="00F9673B">
        <w:rPr>
          <w:rFonts w:ascii="Corbel" w:hAnsi="Corbel" w:cs="TimesNewRomanPS-ItalicMT"/>
          <w:i/>
          <w:iCs/>
        </w:rPr>
        <w:t xml:space="preserve">performance </w:t>
      </w:r>
      <w:r w:rsidRPr="00F9673B">
        <w:rPr>
          <w:rFonts w:ascii="Corbel" w:hAnsi="Corbel" w:cs="TimesNewRomanPSMT"/>
        </w:rPr>
        <w:t>e della sua valutazione. Esso è predisposto dal presidente del CNEL, su proposta del Consiglio di Presidenza, secondo quanto disposto dall’art. 6, comma 3, con la collaborazione del segretario generale. Il presidente illustra e sottopone il programma all’approvazione dell’assemblea.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 xml:space="preserve">2. Le commissioni o gli altri organismi possono proporre che un determinato argomento sia inserito nel programma, specificando il tipo di pronuncia o di iniziativa che ritengano doversi adottare. Il programma comprende: le attività connesse all’esercizio delle attribuzioni previste dagli articoli 10 e 10 </w:t>
      </w:r>
      <w:r w:rsidRPr="00F9673B">
        <w:rPr>
          <w:rFonts w:ascii="Corbel" w:hAnsi="Corbel" w:cs="TimesNewRomanPS-ItalicMT"/>
          <w:i/>
          <w:iCs/>
        </w:rPr>
        <w:t xml:space="preserve">-bis </w:t>
      </w:r>
      <w:r w:rsidRPr="00F9673B">
        <w:rPr>
          <w:rFonts w:ascii="Corbel" w:hAnsi="Corbel" w:cs="TimesNewRomanPSMT"/>
        </w:rPr>
        <w:t>della legge n. 936 del 1986, nonché da convenzioni con altri enti e istituzioni; le attività consultive e di iniziativa di cui agli articoli 11 e 12 della legge n. 936 del 1986; le attività della Commissione dell’informazione previste dall’art. 16 e le altre attività previste dall’art. 17 della legge n. 936 del 1986</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13.</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Pareri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1. Il presidente, su conforme parere del Consiglio di Presidenza, assegna ad una commissione, ad altro organismo o direttamente all’assemblea l’istruttoria dei pareri da rendersi ai sensi della legge n. 936 del 1986. Si applicano, in quanto compatibili, le procedure di cui all’art. 14, comma 3, nonché quelle previste dagli articoli 18 e 19.</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2. Qualora sia fissato un termine dall’organo che ha fatto la richiesta, il presidente del CNEL può chiedere, se necessario, che venga concessa una proroga entro la quale assicura che sia emesso il parere.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14.</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Iniziativa legislativa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 xml:space="preserve">1. L’iniziativa legislativa di cui al comma 1, lettera </w:t>
      </w:r>
      <w:r w:rsidRPr="00F9673B">
        <w:rPr>
          <w:rFonts w:ascii="Corbel" w:hAnsi="Corbel" w:cs="TimesNewRomanPS-ItalicMT"/>
          <w:i/>
          <w:iCs/>
        </w:rPr>
        <w:t>i</w:t>
      </w:r>
      <w:proofErr w:type="gramStart"/>
      <w:r w:rsidRPr="00F9673B">
        <w:rPr>
          <w:rFonts w:ascii="Corbel" w:hAnsi="Corbel" w:cs="TimesNewRomanPS-ItalicMT"/>
          <w:i/>
          <w:iCs/>
        </w:rPr>
        <w:t xml:space="preserve">) </w:t>
      </w:r>
      <w:r w:rsidRPr="00F9673B">
        <w:rPr>
          <w:rFonts w:ascii="Corbel" w:hAnsi="Corbel" w:cs="TimesNewRomanPSMT"/>
        </w:rPr>
        <w:t>,</w:t>
      </w:r>
      <w:proofErr w:type="gramEnd"/>
      <w:r w:rsidRPr="00F9673B">
        <w:rPr>
          <w:rFonts w:ascii="Corbel" w:hAnsi="Corbel" w:cs="TimesNewRomanPSMT"/>
        </w:rPr>
        <w:t xml:space="preserve"> dell’art. 10 della legge n. 936 del 1986 viene attivata mediante la presentazione al presidente del CNEL, da parte di una commissione o di altro organo del CNEL, della proposta di uno schema di disegno di legge formulato in articoli, accompagnato da una apposita relazione illustrativa.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2. Il presidente o un relatore delegato illustra all’assemblea i contenuti dello schema di disegno di legge approvato dalla commissione o organo istruttorio e dal Consiglio di Presidenza.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3. L’assemblea delibera a maggioranza assoluta dei consiglieri in carica. Le eventuali posizioni discordanti sono riportate nella relazione illustrativa.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4. In assenza del voto favorevole di cui al comma precedente, l’assemblea a maggioranza dei presenti può deliberare che lo schema di disegno di legge venga presentato al Governo e alle Camere in forma di osservazioni e proposte ai sensi dell’art. 12 della legge n. 936 del 1986.</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5. I disegni di legge di iniziativa del CNEL sono trasmessi dal suo presidente al Presidente del Senato della Repubblica, al Presidente della Camera dei deputati ed al Presidente del Consiglio dei ministri per il seguito di competenza. I disegni di legge sono formulati in uno o più articoli che possono dividersi in commi e sono corredati da una relazione tecnico-illustrativa che ne espone oggetto e finalità.</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15.</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Osservazioni e proposte, rapporti, relazioni, studi ed indagini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 xml:space="preserve">1. In materia di contributi all’elaborazione della legislazione di cui all’art. 10, comma 1, lettera </w:t>
      </w:r>
      <w:r w:rsidRPr="00F9673B">
        <w:rPr>
          <w:rFonts w:ascii="Corbel" w:hAnsi="Corbel" w:cs="TimesNewRomanPS-ItalicMT"/>
          <w:i/>
          <w:iCs/>
        </w:rPr>
        <w:t>g</w:t>
      </w:r>
      <w:proofErr w:type="gramStart"/>
      <w:r w:rsidRPr="00F9673B">
        <w:rPr>
          <w:rFonts w:ascii="Corbel" w:hAnsi="Corbel" w:cs="TimesNewRomanPS-ItalicMT"/>
          <w:i/>
          <w:iCs/>
        </w:rPr>
        <w:t xml:space="preserve">) </w:t>
      </w:r>
      <w:r w:rsidRPr="00F9673B">
        <w:rPr>
          <w:rFonts w:ascii="Corbel" w:hAnsi="Corbel" w:cs="TimesNewRomanPSMT"/>
        </w:rPr>
        <w:t>,</w:t>
      </w:r>
      <w:proofErr w:type="gramEnd"/>
      <w:r w:rsidRPr="00F9673B">
        <w:rPr>
          <w:rFonts w:ascii="Corbel" w:hAnsi="Corbel" w:cs="TimesNewRomanPSMT"/>
        </w:rPr>
        <w:t xml:space="preserve"> della legge n. 936 del 1986, si applicano in quanto compatibili, le procedure previste all’art. 14. I testi approvati sono inviati al Parlamento, al Governo e alle regioni.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2. Per l’istruttoria di atti di particolare rilievo, la commissione istruttoria può convocare in audizione soggetti specifici ed assicura il contraddittorio con le amministrazioni interessate, ove sia prevista un’attività di valutazione. Le amministrazioni pubbliche, gli enti, le società, le associazioni e organizzazioni di rappresentanza conferiscono al CNEL - ove richiesti - i dati e le elaborazioni necessarie per l’attività degli organi. Il Segretariato generale redige, di propria iniziativa o su sollecitazione degli organi, rassegne giuridiche, raccolte di dottrina, di studi e documentazione funzionale all’istruttoria di temi di cui al programma di attività. Previo parere dell’Ufficio di Presidenza, può predisporre libri verdi e libri bianchi, a supporto degli organi.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lastRenderedPageBreak/>
        <w:t>Art. 16.</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Comitato economico e sociale europeo, regioni ed enti locali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 xml:space="preserve">1. Nell’ambito del programma di attività, l’assemblea del CNEL dedica apposite sessioni all’esame dei pareri resi dal Comitato economico e sociale europeo e, su proposta del presidente e sentito il Consiglio di Presidenza, valuta la presa in considerazione di eventuali osservazioni e proposte correlate. Ciascuno degli atti di cui agli articoli 10, 10 </w:t>
      </w:r>
      <w:r w:rsidRPr="00F9673B">
        <w:rPr>
          <w:rFonts w:ascii="Corbel" w:hAnsi="Corbel" w:cs="TimesNewRomanPS-ItalicMT"/>
          <w:i/>
          <w:iCs/>
        </w:rPr>
        <w:t>-</w:t>
      </w:r>
      <w:proofErr w:type="gramStart"/>
      <w:r w:rsidRPr="00F9673B">
        <w:rPr>
          <w:rFonts w:ascii="Corbel" w:hAnsi="Corbel" w:cs="TimesNewRomanPS-ItalicMT"/>
          <w:i/>
          <w:iCs/>
        </w:rPr>
        <w:t xml:space="preserve">bis </w:t>
      </w:r>
      <w:r w:rsidRPr="00F9673B">
        <w:rPr>
          <w:rFonts w:ascii="Corbel" w:hAnsi="Corbel" w:cs="TimesNewRomanPSMT"/>
        </w:rPr>
        <w:t>,</w:t>
      </w:r>
      <w:proofErr w:type="gramEnd"/>
      <w:r w:rsidRPr="00F9673B">
        <w:rPr>
          <w:rFonts w:ascii="Corbel" w:hAnsi="Corbel" w:cs="TimesNewRomanPSMT"/>
        </w:rPr>
        <w:t xml:space="preserve"> 11 e 12 della legge 30 dicembre del 1986, n. 936, dà conto, nel preambolo, dell’esame dei pertinenti atti consultivi del Comitato economico sociale europeo. È sempre consentita la partecipazione dei membri del Comitato economico e sociale europeo alle assemblee del CNEL, a cui vengono inviati tutti gli atti deliberati dal Consiglio.</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2. Nell’ambito del medesimo programma di attività, l’assemblea del CNEL dedica apposite sessioni all’esame dei principali atti di programmazione economica e finanziaria delle regioni, promuovendo altresì accordi di collaborazione con le singole regioni, la Conferenza Stato-regioni, la Conferenza delle regioni e delle province autonome e le altre conferenze su tematiche specifiche in campo economico e sociale.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Il CNEL sviluppa altresì le tematiche relative alle politiche territoriali degli enti locali, invitando ai propri lavori anche i rappresentanti di UPI, ANCI ed UNCEM.</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TITOLO II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LE PROCEDURE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17.</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Attuazione del programma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1. Il segretario generale assicura l’attuazione del programma di cui all’art. 12 mediante l’assunzione di ogni iniziativa tesa all’ottimale dotazione degli uffici di adeguate risorse organizzative, strumentali e umane.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18.</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Procedure semplificate</w:t>
      </w:r>
    </w:p>
    <w:p w:rsidR="00F9673B" w:rsidRPr="00F9673B" w:rsidRDefault="00F9673B" w:rsidP="00F9673B">
      <w:pPr>
        <w:tabs>
          <w:tab w:val="left" w:pos="8325"/>
        </w:tabs>
        <w:autoSpaceDE w:val="0"/>
        <w:autoSpaceDN w:val="0"/>
        <w:adjustRightInd w:val="0"/>
        <w:spacing w:after="0" w:line="20" w:lineRule="atLeast"/>
        <w:jc w:val="both"/>
        <w:rPr>
          <w:rFonts w:ascii="Corbel" w:hAnsi="Corbel" w:cs="TimesNewRomanPSMT"/>
        </w:rPr>
      </w:pPr>
      <w:r w:rsidRPr="00F9673B">
        <w:rPr>
          <w:rFonts w:ascii="Corbel" w:hAnsi="Corbel" w:cs="TimesNewRomanPSMT"/>
        </w:rPr>
        <w:t xml:space="preserve">1. Il presidente valuta se adottare, per particolari e motivate </w:t>
      </w:r>
      <w:proofErr w:type="gramStart"/>
      <w:r w:rsidRPr="00F9673B">
        <w:rPr>
          <w:rFonts w:ascii="Corbel" w:hAnsi="Corbel" w:cs="TimesNewRomanPSMT"/>
        </w:rPr>
        <w:t>ragioni  di</w:t>
      </w:r>
      <w:proofErr w:type="gramEnd"/>
      <w:r w:rsidRPr="00F9673B">
        <w:rPr>
          <w:rFonts w:ascii="Corbel" w:hAnsi="Corbel" w:cs="TimesNewRomanPSMT"/>
        </w:rPr>
        <w:t xml:space="preserve"> urgenza, procedure semplificate rispetto a quelle previste nell’art. 8, convocando per la deliberazione il Consiglio di Presidenza, salvo ratifica dell’assemblea nella prima seduta utile. Le eventuali posizioni difformi espresse in assemblea vengono rese pubbliche sul sito web istituzionale, ove richiesto.</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19.</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Procedure rafforzate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1. Il CNEL, su proposta del presidente, sentito il Consiglio di Presidenza, può adottare una procedura istruttoria rafforzata, attraverso una o più delle seguenti modalità:</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ItalicMT"/>
          <w:i/>
          <w:iCs/>
        </w:rPr>
        <w:t xml:space="preserve">a) </w:t>
      </w:r>
      <w:r w:rsidRPr="00F9673B">
        <w:rPr>
          <w:rFonts w:ascii="Corbel" w:hAnsi="Corbel" w:cs="TimesNewRomanPSMT"/>
        </w:rPr>
        <w:t>consultazione degli organi delle associazioni rappresentate al CNEL;</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ItalicMT"/>
          <w:i/>
          <w:iCs/>
        </w:rPr>
        <w:t xml:space="preserve">b) </w:t>
      </w:r>
      <w:r w:rsidRPr="00F9673B">
        <w:rPr>
          <w:rFonts w:ascii="Corbel" w:hAnsi="Corbel" w:cs="TimesNewRomanPSMT"/>
        </w:rPr>
        <w:t>consultazione aperta a tutte le associazioni, anche a quelle non rappresentate al CNEL, competenti nelle materie da trattare.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2. Il Segretariato generale redige rassegne delle osservazioni pervenute, nel quadro della documentazione istruttoria da sottoporre all’assemblea.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20.</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Consultazione pubblica aperta a tutti i cittadini, attraverso il sito web istituzionale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1. Il programma di cui all’art. 12, comma 1, individua gli atti e le decisioni da adottare, in ragione della rilevanza dei soggetti destinatari e della materia trattata anche avuto riguardo alla dimensione territoriale. Il CNEL si impegna a attivare la consultazione pubblica aperta a tutti i cittadini, attraverso il sito web istituzionale, quale fase essenziale del processo decisionale.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2. Il CNEL promuove iniziative di consultazione pubblica nell’ambito di processi consultivi e sostiene le iniziative di partecipazione democratica dei cittadini, delle parti sociali e delle associazioni dei consumatori.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3. Nella pianificazione e nella conduzione delle consultazioni pubbliche si osservano i «principi generali per lo svolgimento delle consultazioni pubbliche presso il CNEL», approvati dall’assemblea.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4. Il CNEL assume le iniziative necessarie per dotarsi della disponibilità di una adeguata piattaforma informatica finalizzata alla conduzione diretta delle consultazioni pubbliche.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21.</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Associazioni e organizzazioni rappresentative di interessi collettivi e diffusi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1. Ai lavori delle commissioni del CNEL possono essere invitati associazioni e organizzazioni rappresentative di interessi collettivi e diffusi.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22.</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lastRenderedPageBreak/>
        <w:t>Consiglio di Presidenza in sede consultiva per la resa dei pareri ai sensi dell’art. 43, comma 10, del decreto legislativo 30 marzo 2001, n. 165.</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1. Il presidente del Consiglio nazionale dell’economia e del lavoro, ricevuta la richiesta presentata dal Ministro per la pubblica amministrazione nei termini e per le finalità di cui all’art. 43, comma 10, del decreto legislativo 30 marzo 2001, n. 165, convoca il Consiglio di Presidenza in sede consultiva ovvero, in casi di particolare urgenza, l’Ufficio di Presidenza in sede consultiva, esclusivamente per l’esame della richiesta stessa e della documentazione allegata, nominando contestualmente relatore uno dei consiglieri componenti.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2. Le determinazioni sono assunte con il voto favorevole della maggioranza dei componenti. Delle sedute è redatto verbale.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3. Nella prima seduta del Consiglio di Presidenza in sede consultiva, ove ne facciano istanza almeno tre componenti, il presidente provvede a formulare le richieste di integrazione istruttoria ritenute necessarie ai fini della resa del prescritto parere, anche con riferimento ad audizioni di componenti del Comitato paritetico di cui all’art. 43, comma 8, del decreto legislativo 30 marzo 2001, n. 165, istituito presso l’ARAN, ovvero</w:t>
      </w:r>
    </w:p>
    <w:p w:rsidR="00F9673B" w:rsidRPr="00F9673B" w:rsidRDefault="00F9673B" w:rsidP="00F9673B">
      <w:pPr>
        <w:autoSpaceDE w:val="0"/>
        <w:autoSpaceDN w:val="0"/>
        <w:adjustRightInd w:val="0"/>
        <w:spacing w:after="0" w:line="20" w:lineRule="atLeast"/>
        <w:jc w:val="both"/>
        <w:rPr>
          <w:rFonts w:ascii="Corbel" w:hAnsi="Corbel" w:cs="TimesNewRomanPSMT"/>
        </w:rPr>
      </w:pPr>
      <w:proofErr w:type="gramStart"/>
      <w:r w:rsidRPr="00F9673B">
        <w:rPr>
          <w:rFonts w:ascii="Corbel" w:hAnsi="Corbel" w:cs="TimesNewRomanPSMT"/>
        </w:rPr>
        <w:t>di</w:t>
      </w:r>
      <w:proofErr w:type="gramEnd"/>
      <w:r w:rsidRPr="00F9673B">
        <w:rPr>
          <w:rFonts w:ascii="Corbel" w:hAnsi="Corbel" w:cs="TimesNewRomanPSMT"/>
        </w:rPr>
        <w:t xml:space="preserve"> esperti nella materia della rappresentatività sindacale, con fissazione di un congruo termine utile al riscontro.</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4. Ove siano disposte integrazioni istruttorie, il presidente aggiorna la seduta a nuova data, disponendo la sospensione del termine di quindici giorni previsto per la resa del parere, dandone comunicazione al Ministro per la pubblica amministrazione.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5. Al completamento dell’istruttoria, il consigliere relatore redige la bozza di parere, dando conto nel preambolo di ogni attività espletata e delle motivazioni e considerazioni assunte dal Consiglio di Presidenza.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23.</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Approvazione e trasmissione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1. Il parere è approvato a maggioranza dei componenti del Consiglio di Presidenza in sede consultiva e inserito, a cura del presidente, all’ordine del giorno dell’assemblea.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2. Qualora l’assemblea sia convocata per un giorno tale da non consentire il rispetto del termine di quindici giorni previsto dall’art. 43, comma 10, del decreto legislativo 30 marzo 2001, n. 165, il presidente ne informa il Ministro della pubblica amministrazione.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3. L’assemblea delibera sul parere con la maggioranza di cui all’art. 2, comma 1, del presente regolamento.</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4. L’originale del parere, integrato con gli estremi della deliberazione assembleare, sottoscritto dal presidente e con il visto del segretario generale è, a cura di quest’ultimo, previa protocollazione, trasmesso al Ministro della pubblica amministrazione.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24.</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Consiglio di Presidenza in sede consultiva per la resa degli accertamenti in esito alla consultazione della banca dati e dell’archivio nazionale dei contratti collettivi di lavoro di cui all’art. 17 della legge 30 dicembre del 1986, n. 936.</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1. Il CNEL esegue gli accertamenti specifici delle consultazioni della banca dati e dell’archivio nazionale dei contratti collettivi di lavoro di cui all’art. 17 della legge 30 dicembre del 1986, n. 936, richiesti dagli organi costituzionali ovvero dalle organizzazioni sindacali dei lavoratori e dei datori di lavoro e degli enti ed istituzioni interessati, quale base comune di riferimento a fini di studio, decisionali ed operativi.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2. Il presidente del Consiglio nazionale dell’economia e del lavoro, ricevuta la richiesta presentata dai soggetti di cui al comma 1, convoca il Consiglio di Presidenza in sede consultiva ovvero, in casi di particolare urgenza, l’Ufficio di Presidenza in sede consultiva, per l’esame della richiesta stessa e della documentazione allegata sotto il profilo dell’ammissibilità, nominando contestualmente relatore uno dei componenti.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3. La decisione afferente l’ammissibilità della richiesta è assunta con il voto favorevole della maggioranza dei componenti. Delle sedute è redatto verbale.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4. Nel caso di inammissibilità della richiesta il presidente comunica la decisione del Consiglio, con nota a sua firma, al soggetto richiedente, allegando copia del verbale con le motivazioni della decisione.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5. Nel caso di richiesta ammissibile il presidente trasmette alla Commissione dell’informazione di cui all’art. 16 della legge 30 dicembre del 1986, n. 936, la richiesta stessa unitamente alla documentazione allegata ed al verbale di seduta del Consiglio.</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lastRenderedPageBreak/>
        <w:t xml:space="preserve">6. La Commissione dell’informazione, cui partecipano il relatore ed il dirigente preposto all’ufficio di supporto agli organi collegiali, alla prima seduta utile, specifica, in relazione al caso concreto, le direttive di cui al citato art. 16, comma 2, lettere </w:t>
      </w:r>
      <w:r w:rsidRPr="00F9673B">
        <w:rPr>
          <w:rFonts w:ascii="Corbel" w:hAnsi="Corbel" w:cs="TimesNewRomanPS-ItalicMT"/>
          <w:i/>
          <w:iCs/>
        </w:rPr>
        <w:t xml:space="preserve">d) </w:t>
      </w:r>
      <w:r w:rsidRPr="00F9673B">
        <w:rPr>
          <w:rFonts w:ascii="Corbel" w:hAnsi="Corbel" w:cs="TimesNewRomanPSMT"/>
        </w:rPr>
        <w:t xml:space="preserve">ed </w:t>
      </w:r>
      <w:r w:rsidRPr="00F9673B">
        <w:rPr>
          <w:rFonts w:ascii="Corbel" w:hAnsi="Corbel" w:cs="TimesNewRomanPS-ItalicMT"/>
          <w:i/>
          <w:iCs/>
        </w:rPr>
        <w:t xml:space="preserve">e) </w:t>
      </w:r>
      <w:r w:rsidRPr="00F9673B">
        <w:rPr>
          <w:rFonts w:ascii="Corbel" w:hAnsi="Corbel" w:cs="TimesNewRomanPSMT"/>
        </w:rPr>
        <w:t>, della legge 30 dicembre del 1986, n. 936 ed assegna un termine congruo per provvedere all’estrazione dei dati pertinenti dalla banca dati e dall’archivio nazionale dei contratti collettivi di lavoro di cui all’art. 17 della sopra citata legge.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7. Entro il termine di cui al comma 6, il dirigente preposto all’ufficio di supporto agli organi collegiali redige e sottoscrive un rapporto sulle risultanze della consultazione qualificata della banca dati e lo trasmette alla Commissione dell’informazione. La Commissione, verificata la coerenza del rapporto con le direttive impartite, lo trasmette al Consiglio di Presidenza.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8. Il Consiglio di Presidenza, esaminato il rapporto e svolte le eventuali osservazioni, dispone per l’invio del rapporto unitamente alla sintesi delle proprie valutazioni risultanti dal verbale di approvazione, al soggetto richiedente.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25.</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 xml:space="preserve">Archivio delle nomine presso organismi pubblici di cui all’art. 16, comma 2, lettera </w:t>
      </w:r>
      <w:r w:rsidRPr="00F9673B">
        <w:rPr>
          <w:rFonts w:ascii="Corbel" w:hAnsi="Corbel" w:cs="TimesNewRomanPSMT"/>
        </w:rPr>
        <w:t>f</w:t>
      </w:r>
      <w:proofErr w:type="gramStart"/>
      <w:r w:rsidRPr="00F9673B">
        <w:rPr>
          <w:rFonts w:ascii="Corbel" w:hAnsi="Corbel" w:cs="TimesNewRomanPSMT"/>
        </w:rPr>
        <w:t xml:space="preserve">) </w:t>
      </w:r>
      <w:r w:rsidRPr="00F9673B">
        <w:rPr>
          <w:rFonts w:ascii="Corbel" w:hAnsi="Corbel" w:cs="TimesNewRomanPS-ItalicMT"/>
          <w:i/>
          <w:iCs/>
        </w:rPr>
        <w:t>,</w:t>
      </w:r>
      <w:proofErr w:type="gramEnd"/>
      <w:r w:rsidRPr="00F9673B">
        <w:rPr>
          <w:rFonts w:ascii="Corbel" w:hAnsi="Corbel" w:cs="TimesNewRomanPS-ItalicMT"/>
          <w:i/>
          <w:iCs/>
        </w:rPr>
        <w:t xml:space="preserve"> legge 30 dicembre 1886, n. 936</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 xml:space="preserve">1. La Commissione dell’informazione procede, secondo quanto previsto dall’art. 16, comma 2, lettera </w:t>
      </w:r>
      <w:r w:rsidRPr="00F9673B">
        <w:rPr>
          <w:rFonts w:ascii="Corbel" w:hAnsi="Corbel" w:cs="TimesNewRomanPS-ItalicMT"/>
          <w:i/>
          <w:iCs/>
        </w:rPr>
        <w:t>f</w:t>
      </w:r>
      <w:proofErr w:type="gramStart"/>
      <w:r w:rsidRPr="00F9673B">
        <w:rPr>
          <w:rFonts w:ascii="Corbel" w:hAnsi="Corbel" w:cs="TimesNewRomanPS-ItalicMT"/>
          <w:i/>
          <w:iCs/>
        </w:rPr>
        <w:t xml:space="preserve">) </w:t>
      </w:r>
      <w:r w:rsidRPr="00F9673B">
        <w:rPr>
          <w:rFonts w:ascii="Corbel" w:hAnsi="Corbel" w:cs="TimesNewRomanPSMT"/>
        </w:rPr>
        <w:t>,</w:t>
      </w:r>
      <w:proofErr w:type="gramEnd"/>
      <w:r w:rsidRPr="00F9673B">
        <w:rPr>
          <w:rFonts w:ascii="Corbel" w:hAnsi="Corbel" w:cs="TimesNewRomanPSMT"/>
        </w:rPr>
        <w:t xml:space="preserve"> della legge 30 dicembre del 1986, n. 936, alla formazione e all’aggiornamento di un archivio degli organismi pubblici nei quali la legge prevede la rappresentanza delle categorie produttive al fine della pubblicazione annuale a cura del CNEL secondo le modalità di cui ai successivi commi.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2. La Commissione dell’informazione procede alla individuazione delle organizzazioni delle categorie produttive rappresentate negli organismi pubblici, informandone l’assemblea.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3. Il presidente del CNEL invita le organizzazioni così individuate a trasmettere entro il 31 ottobre di ogni anno l’elenco degli organismi pubblici nei quali ha proposto o designato propri rappresentanti con l’indicazione dei relativi nominativi ed a comunicare le eventuali variazioni in corso di anno.</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4. I dati così raccolti vengono archiviati presso il CNEL secondo le direttive della Commissione dell’informazione con riferimento agli organismi pubblici (col relativo ambito territoriale), alle categorie produttive, alle organizzazioni rappresentate e ai singoli nominativi e quindi memorizzati su supporto informatico.</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5. La Commissione può procedere alla verifica e alla integrazione dei dati trasmessi, chiedendo direttamente informazioni ai singoli organismi pubblici.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6. I dati raccolti nell’archivio vengono pubblicati annualmente e possono comunque essere richiesti da chi vi abbia interesse.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26.</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Designazione da parte del CNEL di componenti di organismi pubblici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 xml:space="preserve">1. Il CNEL procede alla designazione di componenti di organismi pubblici secondo quanto dispongono le leggi che gli conferiscono il relativo potere, con procedura definita dall’art. 13 della legge n. 936 del 1986 e dal regolamento approvato con decreto del Presidente della Repubblica pubblicato nella </w:t>
      </w:r>
      <w:r w:rsidRPr="00F9673B">
        <w:rPr>
          <w:rFonts w:ascii="Corbel" w:hAnsi="Corbel" w:cs="TimesNewRomanPS-ItalicMT"/>
          <w:i/>
          <w:iCs/>
        </w:rPr>
        <w:t xml:space="preserve">Gazzetta Ufficiale </w:t>
      </w:r>
      <w:r w:rsidRPr="00F9673B">
        <w:rPr>
          <w:rFonts w:ascii="Corbel" w:hAnsi="Corbel" w:cs="TimesNewRomanPSMT"/>
        </w:rPr>
        <w:t>del 29 settembre 1989.</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2. Due mesi prima della scadenza in carica dei designati ovvero su segnalazione dell’organismo partecipato da rappresentanti del CNEL, il presidente del CNEL ne dà comunicazione al Consiglio, i cui membri possono far pervenire al presidente le candidature che intendono proporre.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3. Il presidente, sentito il Consiglio di Presidenza, affida ad uno o ad entrambi i vice presidenti il compito di promuovere le iniziative necessarie al fine di giungere ad una intesa sulle candidature da presentare.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4. Il presidente convoca il Consiglio di Presidenza per la definizione delle candidature da presentare in assemblea. In caso di mancato accordo la decisione è rimessa all’assemblea.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5. Le deliberazioni del CNEL sono adottate dall’assemblea secondo le procedure definite all’art. 2.</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6. Le designazioni, unitamente all’esito delle votazioni dell’assemblea, sono trasmesse al Presidente del Consiglio o al Ministro competente entro dieci giorni dalla data della deliberazione.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7. I designati negli organismi pubblici nazionali riferiscono annualmente al presidente del CNEL sull’attività svolta negli organi di cui sono stati chiamati a far parte. Una relazione complessiva sulla suddetta attività verrà annualmente sottoposta alla assemblea.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27.</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Formazione dei documenti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lastRenderedPageBreak/>
        <w:t>1. Ciascuno degli atti di cui all’art. 10 della legge 30 dicembre del 1986, n. 936, in cui si sostanzia l’esercizio delle funzioni del CNEL è assunto all’esito di procedimenti che garantiscono il rispetto delle norme e dei principi tesi alla corretta formazione della volontà del Consiglio. La formazione, la trasmissione, la conservazione degli atti avviene nel rispetto delle disposizioni di cui al codice dell’amministrazione digitale di cui al decreto legislativo 7 marzo 2005, n. 82, e successive modificazioni ed integrazioni.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 xml:space="preserve">2. L’avvio di ciascuna attività finalizzata all’emanazione di atti espressione della volontà degli organi del CNEL richiede l’individuazione di un funzionario responsabile che cura l’apertura di un fascicolo in cui sono raccolte le verbalizzazioni di ciascuna seduta dell’organo, gli elaborati degli estensori o relatori eventualmente nominati dal presidente dell’organo istruttorio e di ogni documento istruttorio esaminato, garantendo ordine e reperibilità dei documenti al fine della contezza dell’ </w:t>
      </w:r>
      <w:r w:rsidRPr="00F9673B">
        <w:rPr>
          <w:rFonts w:ascii="Corbel" w:hAnsi="Corbel" w:cs="TimesNewRomanPS-ItalicMT"/>
          <w:i/>
          <w:iCs/>
        </w:rPr>
        <w:t xml:space="preserve">iter </w:t>
      </w:r>
      <w:r w:rsidRPr="00F9673B">
        <w:rPr>
          <w:rFonts w:ascii="Corbel" w:hAnsi="Corbel" w:cs="TimesNewRomanPSMT"/>
        </w:rPr>
        <w:t>di formazione dell’atto finale. Il fascicolo dovrà essere numerato con un codice composto dalla denominazione dell’organo, dalla data di apertura dello stesso e dalla sigla della tipologia di atto cui l’avvio dell’attività dell’organo è preordinato.</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3. La convocazione delle sedute dell’organo è accompagnata dalla esplicitazione di un puntuale ordine del giorno e dalla documentazione di supporto alla trattazione dello stesso.</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4. Il resoconto della seduta, redatto a cura del responsabile del fascicolo, deve dare contezza dei documenti esaminati, degli esiti della loro trattazione e riportare in intestazione il codice del fascicolo cui pertiene.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 xml:space="preserve">5. L’atto conclusivo </w:t>
      </w:r>
      <w:proofErr w:type="gramStart"/>
      <w:r w:rsidRPr="00F9673B">
        <w:rPr>
          <w:rFonts w:ascii="Corbel" w:hAnsi="Corbel" w:cs="TimesNewRomanPSMT"/>
        </w:rPr>
        <w:t xml:space="preserve">dell’ </w:t>
      </w:r>
      <w:r w:rsidRPr="00F9673B">
        <w:rPr>
          <w:rFonts w:ascii="Corbel" w:hAnsi="Corbel" w:cs="TimesNewRomanPS-ItalicMT"/>
          <w:i/>
          <w:iCs/>
        </w:rPr>
        <w:t>iter</w:t>
      </w:r>
      <w:proofErr w:type="gramEnd"/>
      <w:r w:rsidRPr="00F9673B">
        <w:rPr>
          <w:rFonts w:ascii="Corbel" w:hAnsi="Corbel" w:cs="TimesNewRomanPS-ItalicMT"/>
          <w:i/>
          <w:iCs/>
        </w:rPr>
        <w:t xml:space="preserve"> </w:t>
      </w:r>
      <w:r w:rsidRPr="00F9673B">
        <w:rPr>
          <w:rFonts w:ascii="Corbel" w:hAnsi="Corbel" w:cs="TimesNewRomanPSMT"/>
        </w:rPr>
        <w:t xml:space="preserve">procedimentale reca un preambolo in cui si dà conto, sulla scorta della consultazione del fascicolo, dell’ </w:t>
      </w:r>
      <w:r w:rsidRPr="00F9673B">
        <w:rPr>
          <w:rFonts w:ascii="Corbel" w:hAnsi="Corbel" w:cs="TimesNewRomanPS-ItalicMT"/>
          <w:i/>
          <w:iCs/>
        </w:rPr>
        <w:t xml:space="preserve">iter </w:t>
      </w:r>
      <w:r w:rsidRPr="00F9673B">
        <w:rPr>
          <w:rFonts w:ascii="Corbel" w:hAnsi="Corbel" w:cs="TimesNewRomanPSMT"/>
        </w:rPr>
        <w:t>stesso, redatto in bozza dal funzionario responsabile del fascicolo. Il documento acquista la sua rilevanza ed individualità con l’approvazione da parte dell’organo.</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6. Il responsabile del fascicolo cura la redazione dell’atto finale secondo la seguente struttura: intestazione, preambolo di cui costituisce contenuto indefettibile la citazione delle norme attributive dello specifico potere, dell’atto di impulso o iniziativa, delle sedute e delle operazioni svolte, dell’audizione dei relatori, dell’acquisizione dei pareri, della trasmissione ad altro organo per l’ulteriore corso, del dispositivo.</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 xml:space="preserve">7. L’atto conclusivo </w:t>
      </w:r>
      <w:proofErr w:type="gramStart"/>
      <w:r w:rsidRPr="00F9673B">
        <w:rPr>
          <w:rFonts w:ascii="Corbel" w:hAnsi="Corbel" w:cs="TimesNewRomanPSMT"/>
        </w:rPr>
        <w:t xml:space="preserve">dell’ </w:t>
      </w:r>
      <w:r w:rsidRPr="00F9673B">
        <w:rPr>
          <w:rFonts w:ascii="Corbel" w:hAnsi="Corbel" w:cs="TimesNewRomanPS-ItalicMT"/>
          <w:i/>
          <w:iCs/>
        </w:rPr>
        <w:t>iter</w:t>
      </w:r>
      <w:proofErr w:type="gramEnd"/>
      <w:r w:rsidRPr="00F9673B">
        <w:rPr>
          <w:rFonts w:ascii="Corbel" w:hAnsi="Corbel" w:cs="TimesNewRomanPS-ItalicMT"/>
          <w:i/>
          <w:iCs/>
        </w:rPr>
        <w:t xml:space="preserve"> </w:t>
      </w:r>
      <w:r w:rsidRPr="00F9673B">
        <w:rPr>
          <w:rFonts w:ascii="Corbel" w:hAnsi="Corbel" w:cs="TimesNewRomanPSMT"/>
        </w:rPr>
        <w:t>procedimentale è sottoposto, previa apposizione del visto di regolarità formale e procedurale da parte del segretario generale, alla sottoscrizione dei titolari del relativo potere di adozione.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8. Il deposito dell’atto si perfeziona con l’apposizione del codice fascicolo e protocollo e garantisce la conservazione, la reperibilità dello stesso nonché la completezza dell’archivio del Consiglio. Nei casi di atti approvati dall’assemblea, gli adempimenti di deposito dell’atto sono rimessi alla responsabilità del segretario dell’assemblea o di un funzionario da questi delegato.</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9. Quando i documenti del CNEL, ed in particolare quelli indicati negli articoli 10, 10</w:t>
      </w:r>
      <w:r w:rsidRPr="00F9673B">
        <w:rPr>
          <w:rFonts w:ascii="Corbel" w:hAnsi="Corbel" w:cs="TimesNewRomanPS-ItalicMT"/>
          <w:i/>
          <w:iCs/>
        </w:rPr>
        <w:t>-bis</w:t>
      </w:r>
      <w:r w:rsidRPr="00F9673B">
        <w:rPr>
          <w:rFonts w:ascii="Corbel" w:hAnsi="Corbel" w:cs="TimesNewRomanPSMT"/>
        </w:rPr>
        <w:t>, 11 e 12 della legge n. 936 del 1986 debbano, per legge o per valutazione autonoma dell’assemblea, essere trasmessi ad autorità o altri destinatari, essi sono trasposti in una adeguata forma grafica e tipografica, tale da garantire una unitaria, omogenea e costante identità visiva della produzione del CNEL.</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 xml:space="preserve">10. L’atto finale dotato di rilevanza esterna è divulgato, ove disposto, mediante la diffusione di un comunicato stampa e correlati comunicati sui </w:t>
      </w:r>
      <w:r w:rsidRPr="00F9673B">
        <w:rPr>
          <w:rFonts w:ascii="Corbel" w:hAnsi="Corbel" w:cs="TimesNewRomanPS-ItalicMT"/>
          <w:i/>
          <w:iCs/>
        </w:rPr>
        <w:t xml:space="preserve">social media </w:t>
      </w:r>
      <w:r w:rsidRPr="00F9673B">
        <w:rPr>
          <w:rFonts w:ascii="Corbel" w:hAnsi="Corbel" w:cs="TimesNewRomanPSMT"/>
        </w:rPr>
        <w:t>e, quindi, pubblicato in evidenza sul sito istituzionale a cura della Segreteria generale.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 xml:space="preserve">11. Completano </w:t>
      </w:r>
      <w:proofErr w:type="gramStart"/>
      <w:r w:rsidRPr="00F9673B">
        <w:rPr>
          <w:rFonts w:ascii="Corbel" w:hAnsi="Corbel" w:cs="TimesNewRomanPSMT"/>
        </w:rPr>
        <w:t xml:space="preserve">l’ </w:t>
      </w:r>
      <w:r w:rsidRPr="00F9673B">
        <w:rPr>
          <w:rFonts w:ascii="Corbel" w:hAnsi="Corbel" w:cs="TimesNewRomanPS-ItalicMT"/>
          <w:i/>
          <w:iCs/>
        </w:rPr>
        <w:t>iter</w:t>
      </w:r>
      <w:proofErr w:type="gramEnd"/>
      <w:r w:rsidRPr="00F9673B">
        <w:rPr>
          <w:rFonts w:ascii="Corbel" w:hAnsi="Corbel" w:cs="TimesNewRomanPS-ItalicMT"/>
          <w:i/>
          <w:iCs/>
        </w:rPr>
        <w:t xml:space="preserve"> </w:t>
      </w:r>
      <w:r w:rsidRPr="00F9673B">
        <w:rPr>
          <w:rFonts w:ascii="Corbel" w:hAnsi="Corbel" w:cs="TimesNewRomanPSMT"/>
        </w:rPr>
        <w:t xml:space="preserve">la trasmissione cartacea ai destinatari di legge, alle figure individuate come </w:t>
      </w:r>
      <w:r w:rsidRPr="00F9673B">
        <w:rPr>
          <w:rFonts w:ascii="Corbel" w:hAnsi="Corbel" w:cs="TimesNewRomanPS-ItalicMT"/>
          <w:i/>
          <w:iCs/>
        </w:rPr>
        <w:t xml:space="preserve">stakeholder </w:t>
      </w:r>
      <w:r w:rsidRPr="00F9673B">
        <w:rPr>
          <w:rFonts w:ascii="Corbel" w:hAnsi="Corbel" w:cs="TimesNewRomanPSMT"/>
        </w:rPr>
        <w:t xml:space="preserve">del CNEL in apposite </w:t>
      </w:r>
      <w:r w:rsidRPr="00F9673B">
        <w:rPr>
          <w:rFonts w:ascii="Corbel" w:hAnsi="Corbel" w:cs="TimesNewRomanPS-ItalicMT"/>
          <w:i/>
          <w:iCs/>
        </w:rPr>
        <w:t xml:space="preserve">mailing-list </w:t>
      </w:r>
      <w:r w:rsidRPr="00F9673B">
        <w:rPr>
          <w:rFonts w:ascii="Corbel" w:hAnsi="Corbel" w:cs="TimesNewRomanPSMT"/>
        </w:rPr>
        <w:t>a cura delle segreterie del presidente e del segretario generale, alle biblioteche degli organismi pubblici e privati di interesse e ad ogni altro destinatario indicato dall’organo che ha prodotto l’atto.</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28.</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Gratuito patrocinio</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1. Le richieste di utilizzo di locali del CNEL per lo svolgimento di eventi da parte di enti, associazioni, fondazioni ed altre organizzazioni, debbono essere inoltrate alla Segreteria generale che ne cura la registrazione in apposito prospetto da cui risulti il soggetto richiedente, la data di richiesta, la data e l’ora di svolgimento, la durata, l’oggetto specifico dell’evento, la stima del numero dei partecipanti ovvero degli invitati, i relatori, l’oggetto degli interventi, l’eventuale richiesta di patrocinio gratuito e la specificazione della vigenza attuale di una convenzione con il CNEL.</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2. Con il visto del segretario generale, le richieste e le informazioni sintetiche suddette sono sottoposte periodicamente al presidente il quale, acquisito l’avviso dei vice presidenti, assume le conseguenti determinazioni anche con riferimento alla concessione del patrocinio gratuito ed all’utilizzo del logo istituzionale.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lastRenderedPageBreak/>
        <w:t>3. Acquisita la disposizione scritta da parte del presidente, che dà atto dell’avviso dei vice presidenti e dello scrutinio dei criteri oggettivi e soggettivi di seguito specificati, il segretario generale, per il tramite dei suoi uffici, provvede alla verifica delle disponibilità, a concordare tempi e modalità dell’evento e ad autorizzare lo svolgimento dello stesso ovvero a comunicare il motivato diniego di autorizzazione.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4. Costituiscono requisiti soggettivi di ammissibilità delle richieste sopra definite l’essere, il soggetto richiedente: rappresentato nella consiliatura in carica; pubblica amministrazione ai sensi dell’art. 1, comma 2, del decreto legislativo n. 165 del 2001; parte di una specifica convenzione con il CNEL; soggetto privato per il quale ricorrano i requisiti oggettivi di seguito riportati.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5. Costituiscono requisiti oggettivi di ammissibilità delle richieste: la stretta attinenza o la compartecipazione istituzionale dell’oggetto dell’evento con le funzioni del CNEL, previste dalla legge o, comunque, oggetto di programmazione approvata dall’assemblea; l’assenza di finalità diretta o indiretta di lucro.</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6. Sono fatte salve deroghe ai criteri sopra esposti quando il presidente del CNEL, acquisito l’avviso dei vice presidenti, lo reputi opportuno, fatta salva in ogni caso l’adeguata motivazione risultante da atto scritto comunicata al segretario generale.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7. La decisione del segretario generale è redatta nella forma di determina che dispone anche sulla richiesta di patrocinio gratuito e di utilizzo del logo istituzionale del CNEL. Di detta determina verrà data comunicazione ai soggetti richiedenti a cura dalla Segreteria generale.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8. In casi di necessità ed urgenza, il segretario generale provvede ad avvisare per le vie brevi il presidente ed i vice presidenti, acquisendone l’orientamento, cui seguirà, alla prima riunione utile, la ratifica dell’atto segretariale.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9. Sul sito istituzionale del CNEL, opportunamente collocato nell’area «eventi» verrà inserito un riferimento telefonico e telematico, per «info», alla Segreteria generale.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 xml:space="preserve">10. Gli adempimenti conseguenti alla approvazione definitiva dello svolgimento di ciascun evento verranno posti in essere dalla struttura per il cerimoniale e dalle altre strutture (comunicazione e stampa, </w:t>
      </w:r>
      <w:proofErr w:type="gramStart"/>
      <w:r w:rsidRPr="00F9673B">
        <w:rPr>
          <w:rFonts w:ascii="Corbel" w:hAnsi="Corbel" w:cs="TimesNewRomanPS-ItalicMT"/>
          <w:i/>
          <w:iCs/>
        </w:rPr>
        <w:t xml:space="preserve">webmaster </w:t>
      </w:r>
      <w:r w:rsidRPr="00F9673B">
        <w:rPr>
          <w:rFonts w:ascii="Corbel" w:hAnsi="Corbel" w:cs="TimesNewRomanPSMT"/>
        </w:rPr>
        <w:t>,</w:t>
      </w:r>
      <w:proofErr w:type="gramEnd"/>
      <w:r w:rsidRPr="00F9673B">
        <w:rPr>
          <w:rFonts w:ascii="Corbel" w:hAnsi="Corbel" w:cs="TimesNewRomanPSMT"/>
        </w:rPr>
        <w:t xml:space="preserve"> accoglienza, sicurezza), coordinate dalla Segreteria generale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29.</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Collaborazioni in convenzione con enti e istituzioni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1. Le richieste, o proposte, di attivazione di convenzioni tra il CNEL e istituzioni pubbliche, aventi ad oggetto la mutua collaborazione tra detti soggetti nelle attività di interesse del CNEL o comunque correlate a quelle ricomprese nella programmazione annuale, sono indirizzate al presidente del CNEL.</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2. Ai fini delle valutazioni rimesse al presidente, l’ufficio competente curerà l’istruttoria preliminare acquisendo ogni elemento utile e redigendo un rapporto scritto contenente la descrizione dei contenuti della collaborazione e della correlata bozza di convenzione.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 xml:space="preserve">3. Acquisita la determinazione dell’Ufficio di Presidenza, il presidente del CNEL trasmette la convenzione sottoscritta al segretario generale che, con determina, la adotta impartendo ogni necessaria incombenza per la sua attuazione, ivi compresa la eventuale messa a disposizione di spazi e servizi logistici. Qualora l’Ufficio di Presidenza ritenga di segnalare aspetti di particolare rilevanza sulle proposte di collaborazione </w:t>
      </w:r>
      <w:r w:rsidRPr="00F9673B">
        <w:rPr>
          <w:rFonts w:ascii="Corbel" w:hAnsi="Corbel" w:cs="TimesNewRomanPS-ItalicMT"/>
          <w:i/>
          <w:iCs/>
        </w:rPr>
        <w:t xml:space="preserve">inter </w:t>
      </w:r>
      <w:r w:rsidRPr="00F9673B">
        <w:rPr>
          <w:rFonts w:ascii="Corbel" w:hAnsi="Corbel" w:cs="TimesNewRomanPSMT"/>
        </w:rPr>
        <w:t>istituzionale, formulerà osservazioni da trattarsi in uno specifico punto all’ordine del giorno della prima assemblea utile.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TITOLO III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ORGANIZZAZIONE AMMINISTRATIVA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30.</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Segretario generale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1. Il segretario generale esercita le funzioni che gli sono attribuite dalle leggi e dai regolamenti, sovraintende all’attività del Segretariato generale ed è responsabile della gestione amministrativa del CNEL.</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In particolare, il segretario generale: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ItalicMT"/>
          <w:i/>
          <w:iCs/>
        </w:rPr>
        <w:t xml:space="preserve">a) </w:t>
      </w:r>
      <w:r w:rsidRPr="00F9673B">
        <w:rPr>
          <w:rFonts w:ascii="Corbel" w:hAnsi="Corbel" w:cs="TimesNewRomanPSMT"/>
        </w:rPr>
        <w:t>impartisce direttive ai dirigenti di prima e seconda fascia da lui dipendenti, coordinandoli ai fini dell’efficacia dell’azione amministrativa ed esercitando anche potere sostitutivo in caso di inerzia dei responsabili;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ItalicMT"/>
          <w:i/>
          <w:iCs/>
        </w:rPr>
        <w:t xml:space="preserve">b) </w:t>
      </w:r>
      <w:r w:rsidRPr="00F9673B">
        <w:rPr>
          <w:rFonts w:ascii="Corbel" w:hAnsi="Corbel" w:cs="TimesNewRomanPSMT"/>
        </w:rPr>
        <w:t>esercita i poteri di spesa a lui attribuiti nei limiti degli stanziamenti di bilancio;</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ItalicMT"/>
          <w:i/>
          <w:iCs/>
        </w:rPr>
        <w:lastRenderedPageBreak/>
        <w:t xml:space="preserve">c) </w:t>
      </w:r>
      <w:r w:rsidRPr="00F9673B">
        <w:rPr>
          <w:rFonts w:ascii="Corbel" w:hAnsi="Corbel" w:cs="TimesNewRomanPSMT"/>
        </w:rPr>
        <w:t>esercita le funzioni di gestione delle risorse umane nonché quelle relative alla predisposizione e gestione del bilancio di previsione e del conto consuntivo. In ordine a tali funzioni sono istituiti, alle sue dirette dipendenze, l’Ufficio per la gestione delle risorse umane e quello di bilancio e ragioneria;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ItalicMT"/>
          <w:i/>
          <w:iCs/>
        </w:rPr>
        <w:t xml:space="preserve">d) </w:t>
      </w:r>
      <w:r w:rsidRPr="00F9673B">
        <w:rPr>
          <w:rFonts w:ascii="Corbel" w:hAnsi="Corbel" w:cs="TimesNewRomanPSMT"/>
        </w:rPr>
        <w:t>propone il conferimento degli incarichi di direzione degli uffici di prima fascia;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ItalicMT"/>
          <w:i/>
          <w:iCs/>
        </w:rPr>
        <w:t xml:space="preserve">e) </w:t>
      </w:r>
      <w:r w:rsidRPr="00F9673B">
        <w:rPr>
          <w:rFonts w:ascii="Corbel" w:hAnsi="Corbel" w:cs="TimesNewRomanPSMT"/>
        </w:rPr>
        <w:t>istituisce, in via temporanea e in relazione a specifici progetti, servizi esterni alle direzioni generali dandone preventiva comunicazione all’Ufficio di Presidenza;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ItalicMT"/>
          <w:i/>
          <w:iCs/>
        </w:rPr>
        <w:t xml:space="preserve">f) </w:t>
      </w:r>
      <w:r w:rsidRPr="00F9673B">
        <w:rPr>
          <w:rFonts w:ascii="Corbel" w:hAnsi="Corbel" w:cs="TimesNewRomanPSMT"/>
        </w:rPr>
        <w:t>dispone, su proposta dei dirigenti di prima fascia, il conferimento degli incarichi di responsabile degli uffici all’interno delle direzioni generali, dandone preventiva comunicazione all’Ufficio di Presidenza;</w:t>
      </w:r>
    </w:p>
    <w:p w:rsidR="00F9673B" w:rsidRPr="00F9673B" w:rsidRDefault="00F9673B" w:rsidP="00F9673B">
      <w:pPr>
        <w:tabs>
          <w:tab w:val="left" w:pos="7500"/>
        </w:tabs>
        <w:autoSpaceDE w:val="0"/>
        <w:autoSpaceDN w:val="0"/>
        <w:adjustRightInd w:val="0"/>
        <w:spacing w:after="0" w:line="20" w:lineRule="atLeast"/>
        <w:jc w:val="both"/>
        <w:rPr>
          <w:rFonts w:ascii="Corbel" w:hAnsi="Corbel" w:cs="TimesNewRomanPSMT"/>
        </w:rPr>
      </w:pPr>
      <w:r w:rsidRPr="00F9673B">
        <w:rPr>
          <w:rFonts w:ascii="Corbel" w:hAnsi="Corbel" w:cs="TimesNewRomanPS-ItalicMT"/>
          <w:i/>
          <w:iCs/>
        </w:rPr>
        <w:t xml:space="preserve">g) </w:t>
      </w:r>
      <w:r w:rsidRPr="00F9673B">
        <w:rPr>
          <w:rFonts w:ascii="Corbel" w:hAnsi="Corbel" w:cs="TimesNewRomanPSMT"/>
        </w:rPr>
        <w:t xml:space="preserve">provvede all’attribuzione, alle direzioni generali e agli </w:t>
      </w:r>
      <w:proofErr w:type="gramStart"/>
      <w:r w:rsidRPr="00F9673B">
        <w:rPr>
          <w:rFonts w:ascii="Corbel" w:hAnsi="Corbel" w:cs="TimesNewRomanPSMT"/>
        </w:rPr>
        <w:t>uffici</w:t>
      </w:r>
      <w:r>
        <w:rPr>
          <w:rFonts w:ascii="Corbel" w:hAnsi="Corbel" w:cs="TimesNewRomanPSMT"/>
        </w:rPr>
        <w:t xml:space="preserve"> </w:t>
      </w:r>
      <w:r w:rsidRPr="00F9673B">
        <w:rPr>
          <w:rFonts w:ascii="Corbel" w:hAnsi="Corbel" w:cs="TimesNewRomanPSMT"/>
        </w:rPr>
        <w:t xml:space="preserve"> da</w:t>
      </w:r>
      <w:proofErr w:type="gramEnd"/>
      <w:r w:rsidRPr="00F9673B">
        <w:rPr>
          <w:rFonts w:ascii="Corbel" w:hAnsi="Corbel" w:cs="TimesNewRomanPSMT"/>
        </w:rPr>
        <w:t xml:space="preserve"> lui dipendenti, delle risorse finanziarie necessarie per l’attuazione del programma loro assegnato;</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ItalicMT"/>
          <w:i/>
          <w:iCs/>
        </w:rPr>
        <w:t xml:space="preserve">h) </w:t>
      </w:r>
      <w:r w:rsidRPr="00F9673B">
        <w:rPr>
          <w:rFonts w:ascii="Corbel" w:hAnsi="Corbel" w:cs="TimesNewRomanPSMT"/>
        </w:rPr>
        <w:t>dispone l’assegnazione del personale alle direzioni generali e agli uffici non inseriti all’interno delle stesse;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ItalicMT"/>
          <w:i/>
          <w:iCs/>
        </w:rPr>
        <w:t xml:space="preserve">i) </w:t>
      </w:r>
      <w:r w:rsidRPr="00F9673B">
        <w:rPr>
          <w:rFonts w:ascii="Corbel" w:hAnsi="Corbel" w:cs="TimesNewRomanPSMT"/>
        </w:rPr>
        <w:t>definisce l’orario di servizio anche in relazione alle esigenze funzionali dell’assemblea, del presidente, dell’Ufficio di Presidenza e degli altri organi del Consiglio;</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ItalicMT"/>
          <w:i/>
          <w:iCs/>
        </w:rPr>
        <w:t xml:space="preserve">l) </w:t>
      </w:r>
      <w:r w:rsidRPr="00F9673B">
        <w:rPr>
          <w:rFonts w:ascii="Corbel" w:hAnsi="Corbel" w:cs="TimesNewRomanPSMT"/>
        </w:rPr>
        <w:t>collabora, unitamente ai dirigenti del Segretariato generale, alla predisposizione del Piano di prevenzione della corruzione del CNEL e relativi aggiornamenti;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ItalicMT"/>
          <w:i/>
          <w:iCs/>
        </w:rPr>
        <w:t xml:space="preserve">m) </w:t>
      </w:r>
      <w:r w:rsidRPr="00F9673B">
        <w:rPr>
          <w:rFonts w:ascii="Corbel" w:hAnsi="Corbel" w:cs="TimesNewRomanPSMT"/>
        </w:rPr>
        <w:t>vigila sull’osservanza, da parte del personale del Segretariato generale, del codice di comportamento dei dipendenti di cui al decreto del Presidente della Repubblica del 16 aprile 2013, n. 62.</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31.</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Segretariato generale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1. Il Segretariato generale del CNEL si articola in direzioni di livello dirigenziale di prima fascia e in uffici di livello dirigenziale di seconda fascia. Nell’ambito del Segretariato generale sono istituite una o più direzioni generali che, secondo competenze determinate ai sensi del successivo comma 2, provvedono principalmente all’attuazione del programma approvato dall’assemblea, agli affari generali e all’informazione, alla comunicazione e alla documentazione nonché alla gestione delle risorse strumentali.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2. La prima direzione generale è competente in materia di affari giuridici e costituzionali, affari generali ed informatica. È stazione appaltante e centro unico di attività contrattuale.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3. Le attribuzioni delle direzioni generali, la modifica di esse, l’istituzione di nuove direzioni generali in funzione di nuovi compiti attribuiti al CNEL e la soppressione delle direzioni medesime sono disciplinate con determinazione del presidente, su proposta del segretario generale, sentito l’Ufficio di Presidenza e previa comunicazione all’assemblea.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4. Gli incarichi di direzione generale sono conferiti su proposta del segretario generale con determinazione del presidente, sentito l’Ufficio di Presidenza. Gli uffici interni alle direzioni generali sono individuati e le relative attribuzioni disciplinate con determinazione del segretario generale, su proposta dei direttori di prima fascia, dandone preventiva comunicazione all’Ufficio di Presidenza.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5. Con la medesima procedura del comma precedente, il presidente può conferire ad uno dei direttori generali l’incarico di vice segretario generale.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32.</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Dirigenti preposti alle direzioni generali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1. I direttori generali curano l’organizzazione delle direzioni e ne dirigono l’attività secondo le disposizioni del segretario generale; provvedono all’assegnazione delle risorse finanziarie agli uffici della Direzione.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2. I direttori generali dirigono, coordinano e controllano l’attività dei dirigenti degli uffici della propria Direzione, anche con potere sostitutivo in caso di comprovata inerzia. Sono responsabili in via esclusiva, nell’ambito delle rispettive competenze, dell’attività amministrativa, della gestione e dei relativi risultati.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33.</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Direttori degli uffici di seconda fascia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1. Ai direttori degli uffici spetta la gestione delle risorse umane, finanziarie, tecniche e amministrative e di controllo loro assegnate.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2. I direttori degli uffici dirigono, coordinano e controllano l’attività dei servizi e dei responsabili dei procedimenti amministrativi che da essi dipendono, anche con poteri sostitutivi in caso di comprovata inerzia. Sono responsabili in via esclusiva, nell’ambito delle rispettive competenze, dell’attività amministrativa, della gestione e dei relativi risultati.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34.</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Struttura di segreteria del presidente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lastRenderedPageBreak/>
        <w:t>1. Per l’esercizio delle funzioni attribuitegli dalle leggi e dai regolamenti, il presidente del CNEL può avvalersi di una struttura di segreteria articolata in unità operative, avente esclusive competenze di supporto del presidente e di raccordo con il segretario generale.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 xml:space="preserve">2. Il personale della struttura, nel numero massimo di otto unità, è scelto dal presidente del CNEL </w:t>
      </w:r>
      <w:r w:rsidRPr="00F9673B">
        <w:rPr>
          <w:rFonts w:ascii="Corbel" w:hAnsi="Corbel" w:cs="TimesNewRomanPS-ItalicMT"/>
          <w:i/>
          <w:iCs/>
        </w:rPr>
        <w:t xml:space="preserve">intuitu </w:t>
      </w:r>
      <w:proofErr w:type="gramStart"/>
      <w:r w:rsidRPr="00F9673B">
        <w:rPr>
          <w:rFonts w:ascii="Corbel" w:hAnsi="Corbel" w:cs="TimesNewRomanPS-ItalicMT"/>
          <w:i/>
          <w:iCs/>
        </w:rPr>
        <w:t xml:space="preserve">personae </w:t>
      </w:r>
      <w:r w:rsidRPr="00F9673B">
        <w:rPr>
          <w:rFonts w:ascii="Corbel" w:hAnsi="Corbel" w:cs="TimesNewRomanPSMT"/>
        </w:rPr>
        <w:t>,</w:t>
      </w:r>
      <w:proofErr w:type="gramEnd"/>
      <w:r w:rsidRPr="00F9673B">
        <w:rPr>
          <w:rFonts w:ascii="Corbel" w:hAnsi="Corbel" w:cs="TimesNewRomanPSMT"/>
        </w:rPr>
        <w:t xml:space="preserve"> con contratti a tempo determinato di durata massima non superiore a quello del mandato presidenziale. Funzioni e trattamento economico di detto personale sono stabilite con determinazione del presidente, su conforme parere dell’Ufficio di Presidenza. Il trattamento economico è in ogni caso non superiore a quello corrisposto al personale dipendente dell’amministrazione che svolge funzioni equivalenti.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3. All’interno della struttura di segreteria l’eventuale conferimento di un incarico di livello dirigenziale avviene con le modalità e con le procedure previste dall’articolo 19, comma 6, del decreto legislativo n. 165 del 30 marzo 2001.</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35.</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Segreteria degli altri organi di Governance (vice presidenti, presidente delegato Giunta per il regolamento, consigliere segretario dell’assemblea).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 xml:space="preserve">1. Per l’esercizio dei compiti loro assegnati, gli organi di </w:t>
      </w:r>
      <w:r w:rsidRPr="00F9673B">
        <w:rPr>
          <w:rFonts w:ascii="Corbel" w:hAnsi="Corbel" w:cs="TimesNewRomanPS-ItalicMT"/>
          <w:i/>
          <w:iCs/>
        </w:rPr>
        <w:t xml:space="preserve">Governance </w:t>
      </w:r>
      <w:r w:rsidRPr="00F9673B">
        <w:rPr>
          <w:rFonts w:ascii="Corbel" w:hAnsi="Corbel" w:cs="TimesNewRomanPSMT"/>
        </w:rPr>
        <w:t>si avvalgono di una segreteria composta da due unità.</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36.</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Modalità di accesso</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1. I concorsi pubblici per l’accesso agli impieghi del CNEL sono banditi secondo la normativa vigente per l’assunzione agli impieghi nella pubblica amministrazione e in base al Piano triennale dei fabbisogni di personale.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37.</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Dotazione organica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1. Con determinazione del presidente, da emanarsi su proposta del segretario generale e previa informazione alle organizzazioni sindacali rappresentative, si procede alla predisposizione del Piano triennale dei fabbisogni, nei limiti delle risorse quantificate sulla base della spesa del personale. Le variazioni della dotazione organica in base ai fabbisogni programmati devono garantire la neutralità finanziaria e sono approvate con determinazione del presidente, su proposta del segretario generale e sentito l’Ufficio di Presidenza, previa informazione delle organizzazioni sindacali rappresentative.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38.</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Acquisizioni gestionali specialistiche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1. Per esigenze gestionali interne cui non si possa far fronte con  personale in servizio, il segretario generale può conferire con motivata determinazione, dandone preventiva comunicazione all’Ufficio di Presidenza e nei limiti di spesa annualmente fissati in bilancio, specifici incarichi individuali con contratti di lavoro autonomo ad esperti di particolare e comprovata specializzazione, anche universitaria, aventi carattere di temporaneità e previa verifica dell’impossibilità oggettiva di utilizzare le risorse umane disponibili all’interno del Segretariato.</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2. Il compenso commisurato alla prestazione e proporzionato al tipo di attività è, salvo motivate eccezioni e in caso di rapporti regolati da specifiche normative anche di settore, fino ad un massimo di euro 18.500,00 lordi annui per gli incarichi di alta professionalità e fino ad un massimo di euro 12.000,00 lordi annui per gli altri. Nello svolgimento dell’attività, l’incaricato dovrà assicurare il rispetto delle norme contenute nel codice di comportamento dei dipendenti pubblici (decreto del Presidente della Repubblica n. 62 del 16 aprile 2013).</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39.</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Accordi inter istituzionali e patrocini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 xml:space="preserve">1. In relazione al programma di attività possono essere stipulati accordi </w:t>
      </w:r>
      <w:r w:rsidRPr="00F9673B">
        <w:rPr>
          <w:rFonts w:ascii="Corbel" w:hAnsi="Corbel" w:cs="TimesNewRomanPS-ItalicMT"/>
          <w:i/>
          <w:iCs/>
        </w:rPr>
        <w:t xml:space="preserve">inter </w:t>
      </w:r>
      <w:r w:rsidRPr="00F9673B">
        <w:rPr>
          <w:rFonts w:ascii="Corbel" w:hAnsi="Corbel" w:cs="TimesNewRomanPSMT"/>
        </w:rPr>
        <w:t>istituzionali ai sensi dell’art. 15 della legge del 7 agosto 1990, n. 241, e contratti di servizio ai sensi del decreto legislativo del 18 aprile 2016, n. 50 e successive modificazioni ed integrazioni.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2. Il presidente, su parere conforme dell’Ufficio di Presidenza, può concedere il patrocinio e l’utilizzo del logo istituzionale del CNEL ad iniziative di interesse del Consiglio.</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3. Il presidente, con propria determinazione, su conforme parere del Consiglio di Presidenza, può attribuire uno o più premi nazionali e altri attestati di benemerenza ad eccellenze del sistema produttivo e del lavoro.</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40.</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Poteri di indirizzo nei confronti dell’A.R.A.N.</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lastRenderedPageBreak/>
        <w:t>1. Il CNEL esercita il potere di indirizzo nei confronti dell’A.R.A.N. e le altre competenze in materia di procedure di contrattazione collettiva relativa al personale del Segretariato generale, ai sensi della normativa vigente.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41.</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Formazione del personale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1. Il Segretariato generale del CNEL organizza apposite attività di formazione, aggiornamento e perfezionamento del personale, utilizzando strutture pubbliche e private ed anche le piattaforme formative degli ordini professionali, al fine di favorire uno sviluppo professionale dei dipendenti finalizzato all’attuazione dei compiti e del programma di attività del Consiglio.</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2. Il piano formativo, predisposto dal segretario generale su proposta dei dirigenti di prima e seconda fascia e avvalendosi dell’Ufficio gestione risorse umane, ha durata annuale. Esso è approvato previa consultazione delle organizzazioni sindacali rappresentative.</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42.</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Borse di studio, tirocini, visiting fellowship</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 xml:space="preserve">1. Il CNEL promuove una intensa collaborazione con il sistema universitario e i centri di programmazione e ricerca su temi economici e sociali, attivando anche borse di studio </w:t>
      </w:r>
      <w:r w:rsidRPr="00F9673B">
        <w:rPr>
          <w:rFonts w:ascii="Corbel" w:hAnsi="Corbel" w:cs="TimesNewRomanPS-ItalicMT"/>
          <w:i/>
          <w:iCs/>
        </w:rPr>
        <w:t xml:space="preserve">post </w:t>
      </w:r>
      <w:r w:rsidRPr="00F9673B">
        <w:rPr>
          <w:rFonts w:ascii="Corbel" w:hAnsi="Corbel" w:cs="TimesNewRomanPSMT"/>
        </w:rPr>
        <w:t>laurea nell’ambito delle tematiche attinenti all’economia e al lavoro in riferimento agli obiettivi programmatici del Consiglio.</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2. Le borse di studio sono riservate a coloro che siano in possesso di dottorato di ricerca o master di primo o secondo livello, non abbiano superato il trentacinquesimo anno di età e non siano dipendenti pubblici o privati.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 xml:space="preserve">3. I tirocini curriculari sono attivati con accordi </w:t>
      </w:r>
      <w:r w:rsidRPr="00F9673B">
        <w:rPr>
          <w:rFonts w:ascii="Corbel" w:hAnsi="Corbel" w:cs="TimesNewRomanPS-ItalicMT"/>
          <w:i/>
          <w:iCs/>
        </w:rPr>
        <w:t xml:space="preserve">inter </w:t>
      </w:r>
      <w:r w:rsidRPr="00F9673B">
        <w:rPr>
          <w:rFonts w:ascii="Corbel" w:hAnsi="Corbel" w:cs="TimesNewRomanPSMT"/>
        </w:rPr>
        <w:t xml:space="preserve">istituzionali o con procedure di evidenza pubblica da regolamentare con appositi provvedimenti. Il segretario generale può stipulare accordi con imprese ed enti per l’attivazione di tirocini formativi ai sensi della vigente normativa; può altresì attivare programmi, di durata determinata, di </w:t>
      </w:r>
      <w:r w:rsidRPr="00F9673B">
        <w:rPr>
          <w:rFonts w:ascii="Corbel" w:hAnsi="Corbel" w:cs="TimesNewRomanPS-ItalicMT"/>
          <w:i/>
          <w:iCs/>
        </w:rPr>
        <w:t xml:space="preserve">visiting fellowship </w:t>
      </w:r>
      <w:r w:rsidRPr="00F9673B">
        <w:rPr>
          <w:rFonts w:ascii="Corbel" w:hAnsi="Corbel" w:cs="TimesNewRomanPSMT"/>
        </w:rPr>
        <w:t>in relazione agli obiettivi programmatici del Consiglio.</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43.</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Interventi assistenziali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1. In favore del personale in servizio presso il CNEL, possono essere previsti interventi assistenziali sulla base dei criteri definiti in sede di contrattazione integrativa.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Art. 44.</w:t>
      </w:r>
    </w:p>
    <w:p w:rsidR="00F9673B" w:rsidRPr="00F9673B" w:rsidRDefault="00F9673B" w:rsidP="00F9673B">
      <w:pPr>
        <w:autoSpaceDE w:val="0"/>
        <w:autoSpaceDN w:val="0"/>
        <w:adjustRightInd w:val="0"/>
        <w:spacing w:after="0" w:line="20" w:lineRule="atLeast"/>
        <w:jc w:val="both"/>
        <w:rPr>
          <w:rFonts w:ascii="Corbel" w:hAnsi="Corbel" w:cs="TimesNewRomanPS-ItalicMT"/>
          <w:i/>
          <w:iCs/>
        </w:rPr>
      </w:pPr>
      <w:r w:rsidRPr="00F9673B">
        <w:rPr>
          <w:rFonts w:ascii="Corbel" w:hAnsi="Corbel" w:cs="TimesNewRomanPS-ItalicMT"/>
          <w:i/>
          <w:iCs/>
        </w:rPr>
        <w:t>Norme transitorie e abrogazioni</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1. Sono abrogate le disposizioni di cui al regolamento per l’affidamento degli incarichi di ricerca di cui all’art. 19, comma 3, della legge del 30 dicembre del 1986, n. 936, approvato dall’assemblea del CNEL nella seduta del 9 aprile 2008.</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 xml:space="preserve">2. Dall’entrata in vigore del presente regolamento sono abrogati: il regolamento degli organi del Consiglio nazionale dell’economia e del lavoro nel testo approvato dall’assemblea nella seduta del 12 luglio 2018; il regolamento di organizzazione approvato dall’assemblea nella seduta del 18 settembre 2018; il regolamento recante ulteriori norme in materia di designazione di componenti in organismi pubblici con procedura definita dall’art. 13 della legge n. 936 del 1986 e dal regolamento approvato con decreto del Presidente della Repubblica pubblicato nella </w:t>
      </w:r>
      <w:r w:rsidRPr="00F9673B">
        <w:rPr>
          <w:rFonts w:ascii="Corbel" w:hAnsi="Corbel" w:cs="TimesNewRomanPS-ItalicMT"/>
          <w:i/>
          <w:iCs/>
        </w:rPr>
        <w:t xml:space="preserve">Gazzetta Ufficiale </w:t>
      </w:r>
      <w:r w:rsidRPr="00F9673B">
        <w:rPr>
          <w:rFonts w:ascii="Corbel" w:hAnsi="Corbel" w:cs="TimesNewRomanPSMT"/>
        </w:rPr>
        <w:t>del 29 settembre 1989; il regolamento per la resa di parere ai sensi dell’art. 43, comma 10, del decreto legislativo 30 marzo 2001, n. 165, approvato dall’assemblea nella seduta del 27 febbraio 2019.</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 xml:space="preserve">3. Il presente regolamento è pubblicato nella </w:t>
      </w:r>
      <w:r w:rsidRPr="00F9673B">
        <w:rPr>
          <w:rFonts w:ascii="Corbel" w:hAnsi="Corbel" w:cs="TimesNewRomanPS-ItalicMT"/>
          <w:i/>
          <w:iCs/>
        </w:rPr>
        <w:t xml:space="preserve">Gazzetta Ufficiale </w:t>
      </w:r>
      <w:r w:rsidRPr="00F9673B">
        <w:rPr>
          <w:rFonts w:ascii="Corbel" w:hAnsi="Corbel" w:cs="TimesNewRomanPSMT"/>
        </w:rPr>
        <w:t>della Repubblica italiana.</w:t>
      </w:r>
    </w:p>
    <w:p w:rsidR="00F9673B" w:rsidRPr="00F9673B" w:rsidRDefault="00F9673B" w:rsidP="00F9673B">
      <w:pPr>
        <w:autoSpaceDE w:val="0"/>
        <w:autoSpaceDN w:val="0"/>
        <w:adjustRightInd w:val="0"/>
        <w:spacing w:after="0" w:line="20" w:lineRule="atLeast"/>
        <w:jc w:val="both"/>
        <w:rPr>
          <w:rFonts w:ascii="Corbel" w:hAnsi="Corbel" w:cs="TimesNewRomanPSMT"/>
        </w:rPr>
      </w:pPr>
      <w:r w:rsidRPr="00F9673B">
        <w:rPr>
          <w:rFonts w:ascii="Corbel" w:hAnsi="Corbel" w:cs="TimesNewRomanPSMT"/>
        </w:rPr>
        <w:t>4. Con l’entrata in vigore delle disposizioni del presente regolamento cessa di avere efficacia ogni precedente disposizione con esse incompatibili.</w:t>
      </w:r>
    </w:p>
    <w:p w:rsidR="00F9673B" w:rsidRPr="00F9673B" w:rsidRDefault="00F9673B" w:rsidP="00F9673B">
      <w:pPr>
        <w:autoSpaceDE w:val="0"/>
        <w:autoSpaceDN w:val="0"/>
        <w:adjustRightInd w:val="0"/>
        <w:spacing w:after="0" w:line="20" w:lineRule="atLeast"/>
        <w:jc w:val="both"/>
        <w:rPr>
          <w:rFonts w:ascii="Corbel" w:hAnsi="Corbel" w:cs="BookAntiqua"/>
        </w:rPr>
      </w:pPr>
    </w:p>
    <w:p w:rsidR="00F9673B" w:rsidRPr="00F9673B" w:rsidRDefault="00F9673B" w:rsidP="00F9673B">
      <w:pPr>
        <w:autoSpaceDE w:val="0"/>
        <w:autoSpaceDN w:val="0"/>
        <w:adjustRightInd w:val="0"/>
        <w:spacing w:after="0" w:line="20" w:lineRule="atLeast"/>
        <w:jc w:val="both"/>
        <w:rPr>
          <w:rFonts w:ascii="Corbel" w:hAnsi="Corbel" w:cs="BookAntiqua"/>
        </w:rPr>
      </w:pP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CODICE ETICO DEI CONSIGLIERI DEL CNEL E DI QUANTI DESIGNATI DALLO</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STESSO PRESSO ALTRI ORGANISMI PUBBLICI</w:t>
      </w:r>
    </w:p>
    <w:p w:rsidR="00F9673B" w:rsidRPr="00F9673B" w:rsidRDefault="00F9673B" w:rsidP="00F9673B">
      <w:pPr>
        <w:autoSpaceDE w:val="0"/>
        <w:autoSpaceDN w:val="0"/>
        <w:adjustRightInd w:val="0"/>
        <w:spacing w:after="0" w:line="20" w:lineRule="atLeast"/>
        <w:jc w:val="both"/>
        <w:rPr>
          <w:rFonts w:ascii="Corbel" w:hAnsi="Corbel" w:cs="BookAntiqua,Bold"/>
          <w:b/>
          <w:bCs/>
        </w:rPr>
      </w:pPr>
      <w:r w:rsidRPr="00F9673B">
        <w:rPr>
          <w:rFonts w:ascii="Corbel" w:hAnsi="Corbel" w:cs="BookAntiqua,Bold"/>
          <w:b/>
          <w:bCs/>
        </w:rPr>
        <w:t>Articolo 1</w:t>
      </w:r>
    </w:p>
    <w:p w:rsidR="00F9673B" w:rsidRPr="00F9673B" w:rsidRDefault="00F9673B" w:rsidP="00F9673B">
      <w:pPr>
        <w:autoSpaceDE w:val="0"/>
        <w:autoSpaceDN w:val="0"/>
        <w:adjustRightInd w:val="0"/>
        <w:spacing w:after="0" w:line="20" w:lineRule="atLeast"/>
        <w:jc w:val="both"/>
        <w:rPr>
          <w:rFonts w:ascii="Corbel" w:hAnsi="Corbel" w:cs="BookAntiqua,Italic"/>
          <w:i/>
          <w:iCs/>
        </w:rPr>
      </w:pPr>
      <w:r w:rsidRPr="00F9673B">
        <w:rPr>
          <w:rFonts w:ascii="Corbel" w:hAnsi="Corbel" w:cs="BookAntiqua,Italic"/>
          <w:i/>
          <w:iCs/>
        </w:rPr>
        <w:t>(Status di Consigliere del CNEL)</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1. Il presente Codice etico reca i principi guida di comportamento dei</w:t>
      </w:r>
      <w:r>
        <w:rPr>
          <w:rFonts w:ascii="Corbel" w:hAnsi="Corbel" w:cs="BookAntiqua"/>
        </w:rPr>
        <w:t xml:space="preserve"> </w:t>
      </w:r>
      <w:r w:rsidRPr="00F9673B">
        <w:rPr>
          <w:rFonts w:ascii="Corbel" w:hAnsi="Corbel" w:cs="BookAntiqua"/>
        </w:rPr>
        <w:t>Consiglieri del CNEL e di quanti designati dallo stesso presso altri</w:t>
      </w:r>
      <w:r>
        <w:rPr>
          <w:rFonts w:ascii="Corbel" w:hAnsi="Corbel" w:cs="BookAntiqua"/>
        </w:rPr>
        <w:t xml:space="preserve"> </w:t>
      </w:r>
      <w:r w:rsidRPr="00F9673B">
        <w:rPr>
          <w:rFonts w:ascii="Corbel" w:hAnsi="Corbel" w:cs="BookAntiqua"/>
        </w:rPr>
        <w:t>Organismi pubblici, nell’esercizio delle funzioni attribuitegli dalla</w:t>
      </w:r>
      <w:r>
        <w:rPr>
          <w:rFonts w:ascii="Corbel" w:hAnsi="Corbel" w:cs="BookAntiqua"/>
        </w:rPr>
        <w:t xml:space="preserve"> </w:t>
      </w:r>
      <w:r w:rsidRPr="00F9673B">
        <w:rPr>
          <w:rFonts w:ascii="Corbel" w:hAnsi="Corbel" w:cs="BookAntiqua"/>
        </w:rPr>
        <w:t>Costituzione, dalle leggi e dai Regolamenti.</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lastRenderedPageBreak/>
        <w:t>2. Lo status di Consigliere del CNEL comporta una peculiare</w:t>
      </w:r>
      <w:r>
        <w:rPr>
          <w:rFonts w:ascii="Corbel" w:hAnsi="Corbel" w:cs="BookAntiqua"/>
        </w:rPr>
        <w:t xml:space="preserve"> </w:t>
      </w:r>
      <w:r w:rsidRPr="00F9673B">
        <w:rPr>
          <w:rFonts w:ascii="Corbel" w:hAnsi="Corbel" w:cs="BookAntiqua"/>
        </w:rPr>
        <w:t>responsabilità che discende direttamente dalla collocazione del CNEL</w:t>
      </w:r>
      <w:r>
        <w:rPr>
          <w:rFonts w:ascii="Corbel" w:hAnsi="Corbel" w:cs="BookAntiqua"/>
        </w:rPr>
        <w:t xml:space="preserve"> </w:t>
      </w:r>
      <w:r w:rsidRPr="00F9673B">
        <w:rPr>
          <w:rFonts w:ascii="Corbel" w:hAnsi="Corbel" w:cs="BookAntiqua"/>
        </w:rPr>
        <w:t>nell’Ordinamento della Repubblica tra gli Organi Ausiliari dello Stato</w:t>
      </w:r>
      <w:r>
        <w:rPr>
          <w:rFonts w:ascii="Corbel" w:hAnsi="Corbel" w:cs="BookAntiqua"/>
        </w:rPr>
        <w:t xml:space="preserve"> </w:t>
      </w:r>
      <w:r w:rsidRPr="00F9673B">
        <w:rPr>
          <w:rFonts w:ascii="Corbel" w:hAnsi="Corbel" w:cs="BookAntiqua"/>
        </w:rPr>
        <w:t>previsti dalla Costituzione.</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3. L’attività dei Consiglieri deve essere conforme alla posizione di</w:t>
      </w:r>
      <w:r>
        <w:rPr>
          <w:rFonts w:ascii="Corbel" w:hAnsi="Corbel" w:cs="BookAntiqua"/>
        </w:rPr>
        <w:t xml:space="preserve"> </w:t>
      </w:r>
      <w:r w:rsidRPr="00F9673B">
        <w:rPr>
          <w:rFonts w:ascii="Corbel" w:hAnsi="Corbel" w:cs="BookAntiqua"/>
        </w:rPr>
        <w:t>indipendenza ed autonomia costituzionale riconosciuta al CNEL dal</w:t>
      </w:r>
      <w:r>
        <w:rPr>
          <w:rFonts w:ascii="Corbel" w:hAnsi="Corbel" w:cs="BookAntiqua"/>
        </w:rPr>
        <w:t xml:space="preserve"> </w:t>
      </w:r>
      <w:r w:rsidRPr="00F9673B">
        <w:rPr>
          <w:rFonts w:ascii="Corbel" w:hAnsi="Corbel" w:cs="BookAntiqua"/>
        </w:rPr>
        <w:t>vigente quadro ordinamentale.</w:t>
      </w:r>
    </w:p>
    <w:p w:rsidR="00F9673B" w:rsidRPr="00F9673B" w:rsidRDefault="00F9673B" w:rsidP="00F9673B">
      <w:pPr>
        <w:autoSpaceDE w:val="0"/>
        <w:autoSpaceDN w:val="0"/>
        <w:adjustRightInd w:val="0"/>
        <w:spacing w:after="0" w:line="20" w:lineRule="atLeast"/>
        <w:jc w:val="both"/>
        <w:rPr>
          <w:rFonts w:ascii="Corbel" w:hAnsi="Corbel" w:cs="BookAntiqua,Bold"/>
          <w:b/>
          <w:bCs/>
        </w:rPr>
      </w:pPr>
      <w:r w:rsidRPr="00F9673B">
        <w:rPr>
          <w:rFonts w:ascii="Corbel" w:hAnsi="Corbel" w:cs="BookAntiqua,Bold"/>
          <w:b/>
          <w:bCs/>
        </w:rPr>
        <w:t>Articolo 2</w:t>
      </w:r>
    </w:p>
    <w:p w:rsidR="00F9673B" w:rsidRPr="00F9673B" w:rsidRDefault="00F9673B" w:rsidP="00F9673B">
      <w:pPr>
        <w:autoSpaceDE w:val="0"/>
        <w:autoSpaceDN w:val="0"/>
        <w:adjustRightInd w:val="0"/>
        <w:spacing w:after="0" w:line="20" w:lineRule="atLeast"/>
        <w:jc w:val="both"/>
        <w:rPr>
          <w:rFonts w:ascii="Corbel" w:hAnsi="Corbel" w:cs="BookAntiqua,Italic"/>
          <w:i/>
          <w:iCs/>
        </w:rPr>
      </w:pPr>
      <w:r w:rsidRPr="00F9673B">
        <w:rPr>
          <w:rFonts w:ascii="Corbel" w:hAnsi="Corbel" w:cs="BookAntiqua,Italic"/>
          <w:i/>
          <w:iCs/>
        </w:rPr>
        <w:t>(Disposizioni generali)</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1. Il Consigliere del CNEL e quanti designati dallo stesso presso altri</w:t>
      </w:r>
      <w:r>
        <w:rPr>
          <w:rFonts w:ascii="Corbel" w:hAnsi="Corbel" w:cs="BookAntiqua"/>
        </w:rPr>
        <w:t xml:space="preserve"> </w:t>
      </w:r>
      <w:r w:rsidRPr="00F9673B">
        <w:rPr>
          <w:rFonts w:ascii="Corbel" w:hAnsi="Corbel" w:cs="BookAntiqua"/>
        </w:rPr>
        <w:t>Organismi pubblici, si impegnano a rispettare il Codice etico al momento</w:t>
      </w:r>
      <w:r>
        <w:rPr>
          <w:rFonts w:ascii="Corbel" w:hAnsi="Corbel" w:cs="BookAntiqua"/>
        </w:rPr>
        <w:t xml:space="preserve"> </w:t>
      </w:r>
      <w:r w:rsidRPr="00F9673B">
        <w:rPr>
          <w:rFonts w:ascii="Corbel" w:hAnsi="Corbel" w:cs="BookAntiqua"/>
        </w:rPr>
        <w:t>dell’assunzione dell’incarico e a tenere una condotta ispirata ai principi di</w:t>
      </w:r>
      <w:r>
        <w:rPr>
          <w:rFonts w:ascii="Corbel" w:hAnsi="Corbel" w:cs="BookAntiqua"/>
        </w:rPr>
        <w:t xml:space="preserve"> </w:t>
      </w:r>
      <w:r w:rsidRPr="00F9673B">
        <w:rPr>
          <w:rFonts w:ascii="Corbel" w:hAnsi="Corbel" w:cs="BookAntiqua"/>
        </w:rPr>
        <w:t>integrità, trasparenza, diligenza e responsabilità.</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2. L’attività dei Consiglieri deve essere improntata a fiducia e</w:t>
      </w:r>
      <w:r>
        <w:rPr>
          <w:rFonts w:ascii="Corbel" w:hAnsi="Corbel" w:cs="BookAntiqua"/>
        </w:rPr>
        <w:t xml:space="preserve"> </w:t>
      </w:r>
      <w:r w:rsidRPr="00F9673B">
        <w:rPr>
          <w:rFonts w:ascii="Corbel" w:hAnsi="Corbel" w:cs="BookAntiqua"/>
        </w:rPr>
        <w:t>collaborazione, anche al fine di favorire la più ampia convergenza nei</w:t>
      </w:r>
      <w:r>
        <w:rPr>
          <w:rFonts w:ascii="Corbel" w:hAnsi="Corbel" w:cs="BookAntiqua"/>
        </w:rPr>
        <w:t xml:space="preserve"> </w:t>
      </w:r>
      <w:r w:rsidRPr="00F9673B">
        <w:rPr>
          <w:rFonts w:ascii="Corbel" w:hAnsi="Corbel" w:cs="BookAntiqua"/>
        </w:rPr>
        <w:t>processi deliberativi.</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3. Il Consigliere del CNEL conforma la propria attività al criterio della più</w:t>
      </w:r>
      <w:r>
        <w:rPr>
          <w:rFonts w:ascii="Corbel" w:hAnsi="Corbel" w:cs="BookAntiqua"/>
        </w:rPr>
        <w:t xml:space="preserve"> </w:t>
      </w:r>
      <w:r w:rsidRPr="00F9673B">
        <w:rPr>
          <w:rFonts w:ascii="Corbel" w:hAnsi="Corbel" w:cs="BookAntiqua"/>
        </w:rPr>
        <w:t>ampia partecipazione ai lavori dell’Istituzione.</w:t>
      </w:r>
    </w:p>
    <w:p w:rsidR="00F9673B" w:rsidRPr="00F9673B" w:rsidRDefault="00F9673B" w:rsidP="00F9673B">
      <w:pPr>
        <w:autoSpaceDE w:val="0"/>
        <w:autoSpaceDN w:val="0"/>
        <w:adjustRightInd w:val="0"/>
        <w:spacing w:after="0" w:line="20" w:lineRule="atLeast"/>
        <w:jc w:val="both"/>
        <w:rPr>
          <w:rFonts w:ascii="Corbel" w:hAnsi="Corbel" w:cs="BookAntiqua,Bold"/>
          <w:b/>
          <w:bCs/>
        </w:rPr>
      </w:pPr>
      <w:r w:rsidRPr="00F9673B">
        <w:rPr>
          <w:rFonts w:ascii="Corbel" w:hAnsi="Corbel" w:cs="BookAntiqua,Bold"/>
          <w:b/>
          <w:bCs/>
        </w:rPr>
        <w:t>Articolo 3</w:t>
      </w:r>
    </w:p>
    <w:p w:rsidR="00F9673B" w:rsidRPr="00F9673B" w:rsidRDefault="00F9673B" w:rsidP="00F9673B">
      <w:pPr>
        <w:autoSpaceDE w:val="0"/>
        <w:autoSpaceDN w:val="0"/>
        <w:adjustRightInd w:val="0"/>
        <w:spacing w:after="0" w:line="20" w:lineRule="atLeast"/>
        <w:jc w:val="both"/>
        <w:rPr>
          <w:rFonts w:ascii="Corbel" w:hAnsi="Corbel" w:cs="BookAntiqua,Italic"/>
          <w:i/>
          <w:iCs/>
        </w:rPr>
      </w:pPr>
      <w:r w:rsidRPr="00F9673B">
        <w:rPr>
          <w:rFonts w:ascii="Corbel" w:hAnsi="Corbel" w:cs="BookAntiqua,Italic"/>
          <w:i/>
          <w:iCs/>
        </w:rPr>
        <w:t>(Doveri dei Consiglieri)</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1. Il Consigliere è tenuto a partecipare con assiduità ai lavori</w:t>
      </w:r>
      <w:r>
        <w:rPr>
          <w:rFonts w:ascii="Corbel" w:hAnsi="Corbel" w:cs="BookAntiqua"/>
        </w:rPr>
        <w:t xml:space="preserve"> </w:t>
      </w:r>
      <w:r w:rsidRPr="00F9673B">
        <w:rPr>
          <w:rFonts w:ascii="Corbel" w:hAnsi="Corbel" w:cs="BookAntiqua"/>
        </w:rPr>
        <w:t>dell’Assemblea del CNEL e degli Organi istruttori ai quali è assegnato,</w:t>
      </w:r>
      <w:r>
        <w:rPr>
          <w:rFonts w:ascii="Corbel" w:hAnsi="Corbel" w:cs="BookAntiqua"/>
        </w:rPr>
        <w:t xml:space="preserve"> </w:t>
      </w:r>
      <w:r w:rsidRPr="00F9673B">
        <w:rPr>
          <w:rFonts w:ascii="Corbel" w:hAnsi="Corbel" w:cs="BookAntiqua"/>
        </w:rPr>
        <w:t>anche attraverso lo strumento di delega previsto.</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2. In caso di conflitto di interessi, ossia quando uno specifico interesse</w:t>
      </w:r>
      <w:r>
        <w:rPr>
          <w:rFonts w:ascii="Corbel" w:hAnsi="Corbel" w:cs="BookAntiqua"/>
        </w:rPr>
        <w:t xml:space="preserve"> </w:t>
      </w:r>
      <w:r w:rsidRPr="00F9673B">
        <w:rPr>
          <w:rFonts w:ascii="Corbel" w:hAnsi="Corbel" w:cs="BookAntiqua"/>
        </w:rPr>
        <w:t>privato potrebbe influenzare indebitamente l’esercizio delle proprie</w:t>
      </w:r>
      <w:r>
        <w:rPr>
          <w:rFonts w:ascii="Corbel" w:hAnsi="Corbel" w:cs="BookAntiqua"/>
        </w:rPr>
        <w:t xml:space="preserve"> </w:t>
      </w:r>
      <w:r w:rsidRPr="00F9673B">
        <w:rPr>
          <w:rFonts w:ascii="Corbel" w:hAnsi="Corbel" w:cs="BookAntiqua"/>
        </w:rPr>
        <w:t>funzioni, ciascun Consigliere o designato dal CNEL presso altri</w:t>
      </w:r>
      <w:r>
        <w:rPr>
          <w:rFonts w:ascii="Corbel" w:hAnsi="Corbel" w:cs="BookAntiqua"/>
        </w:rPr>
        <w:t xml:space="preserve"> </w:t>
      </w:r>
      <w:r w:rsidRPr="00F9673B">
        <w:rPr>
          <w:rFonts w:ascii="Corbel" w:hAnsi="Corbel" w:cs="BookAntiqua"/>
        </w:rPr>
        <w:t>Organismi lo segnala ed assume i necessari comportamenti atti a</w:t>
      </w:r>
      <w:r>
        <w:rPr>
          <w:rFonts w:ascii="Corbel" w:hAnsi="Corbel" w:cs="BookAntiqua"/>
        </w:rPr>
        <w:t xml:space="preserve"> </w:t>
      </w:r>
      <w:r w:rsidRPr="00F9673B">
        <w:rPr>
          <w:rFonts w:ascii="Corbel" w:hAnsi="Corbel" w:cs="BookAntiqua"/>
        </w:rPr>
        <w:t>rimuoverlo.</w:t>
      </w:r>
    </w:p>
    <w:p w:rsidR="00F9673B" w:rsidRPr="00F9673B" w:rsidRDefault="00F9673B" w:rsidP="00F9673B">
      <w:pPr>
        <w:autoSpaceDE w:val="0"/>
        <w:autoSpaceDN w:val="0"/>
        <w:adjustRightInd w:val="0"/>
        <w:spacing w:after="0" w:line="20" w:lineRule="atLeast"/>
        <w:jc w:val="both"/>
        <w:rPr>
          <w:rFonts w:ascii="Corbel" w:hAnsi="Corbel" w:cs="BookAntiqua,Bold"/>
          <w:b/>
          <w:bCs/>
        </w:rPr>
      </w:pPr>
      <w:r w:rsidRPr="00F9673B">
        <w:rPr>
          <w:rFonts w:ascii="Corbel" w:hAnsi="Corbel" w:cs="BookAntiqua,Bold"/>
          <w:b/>
          <w:bCs/>
        </w:rPr>
        <w:t>Articolo 4</w:t>
      </w:r>
    </w:p>
    <w:p w:rsidR="00F9673B" w:rsidRPr="00F9673B" w:rsidRDefault="00F9673B" w:rsidP="00F9673B">
      <w:pPr>
        <w:autoSpaceDE w:val="0"/>
        <w:autoSpaceDN w:val="0"/>
        <w:adjustRightInd w:val="0"/>
        <w:spacing w:after="0" w:line="20" w:lineRule="atLeast"/>
        <w:jc w:val="both"/>
        <w:rPr>
          <w:rFonts w:ascii="Corbel" w:hAnsi="Corbel" w:cs="BookAntiqua,Italic"/>
          <w:i/>
          <w:iCs/>
        </w:rPr>
      </w:pPr>
      <w:r w:rsidRPr="00F9673B">
        <w:rPr>
          <w:rFonts w:ascii="Corbel" w:hAnsi="Corbel" w:cs="BookAntiqua,Italic"/>
          <w:i/>
          <w:iCs/>
        </w:rPr>
        <w:t>(Doveri dei Consiglieri in occasione di eventi esterni)</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1. Qualora sia in missione o partecipi a congressi, manifestazioni,</w:t>
      </w:r>
      <w:r>
        <w:rPr>
          <w:rFonts w:ascii="Corbel" w:hAnsi="Corbel" w:cs="BookAntiqua"/>
        </w:rPr>
        <w:t xml:space="preserve"> </w:t>
      </w:r>
      <w:r w:rsidRPr="00F9673B">
        <w:rPr>
          <w:rFonts w:ascii="Corbel" w:hAnsi="Corbel" w:cs="BookAntiqua"/>
        </w:rPr>
        <w:t>seminari per conto del CNEL, il Consigliere è tenuto ad esprimere la</w:t>
      </w:r>
      <w:r>
        <w:rPr>
          <w:rFonts w:ascii="Corbel" w:hAnsi="Corbel" w:cs="BookAntiqua"/>
        </w:rPr>
        <w:t xml:space="preserve"> </w:t>
      </w:r>
      <w:r w:rsidRPr="00F9673B">
        <w:rPr>
          <w:rFonts w:ascii="Corbel" w:hAnsi="Corbel" w:cs="BookAntiqua"/>
        </w:rPr>
        <w:t>posizione e gli orientamenti del CNEL stesso.</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PRINCIPI GENERALI</w:t>
      </w:r>
      <w:r>
        <w:rPr>
          <w:rFonts w:ascii="Corbel" w:hAnsi="Corbel" w:cs="BookAntiqua"/>
        </w:rPr>
        <w:t xml:space="preserve"> </w:t>
      </w:r>
      <w:r w:rsidRPr="00F9673B">
        <w:rPr>
          <w:rFonts w:ascii="Corbel" w:hAnsi="Corbel" w:cs="BookAntiqua"/>
        </w:rPr>
        <w:t>PER LO SVOLGIMENTO DELLE CONSULTAZIONI PUBBLICHE PRESSO IL CNEL</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INTRODUZIONE</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Il presente documento fornisce i principi generali che definiscono i</w:t>
      </w:r>
      <w:r>
        <w:rPr>
          <w:rFonts w:ascii="Corbel" w:hAnsi="Corbel" w:cs="BookAntiqua"/>
        </w:rPr>
        <w:t xml:space="preserve"> </w:t>
      </w:r>
      <w:r w:rsidRPr="00F9673B">
        <w:rPr>
          <w:rFonts w:ascii="Corbel" w:hAnsi="Corbel" w:cs="BookAntiqua"/>
        </w:rPr>
        <w:t>processi di consultazione pubblica a cura del Consiglio Nazionale</w:t>
      </w:r>
      <w:r>
        <w:rPr>
          <w:rFonts w:ascii="Corbel" w:hAnsi="Corbel" w:cs="BookAntiqua"/>
        </w:rPr>
        <w:t xml:space="preserve"> </w:t>
      </w:r>
      <w:r w:rsidRPr="00F9673B">
        <w:rPr>
          <w:rFonts w:ascii="Corbel" w:hAnsi="Corbel" w:cs="BookAntiqua"/>
        </w:rPr>
        <w:t>dell'Economia e del Lavoro.</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Il documento è stato redatto sulla base delle linee guida sulla</w:t>
      </w:r>
      <w:r>
        <w:rPr>
          <w:rFonts w:ascii="Corbel" w:hAnsi="Corbel" w:cs="BookAntiqua"/>
        </w:rPr>
        <w:t xml:space="preserve"> </w:t>
      </w:r>
      <w:r w:rsidRPr="00F9673B">
        <w:rPr>
          <w:rFonts w:ascii="Corbel" w:hAnsi="Corbel" w:cs="BookAntiqua"/>
        </w:rPr>
        <w:t>consultazione pubblica, presentate il 9 marzo 2017 dal Dipartimento della</w:t>
      </w:r>
      <w:r>
        <w:rPr>
          <w:rFonts w:ascii="Corbel" w:hAnsi="Corbel" w:cs="BookAntiqua"/>
        </w:rPr>
        <w:t xml:space="preserve"> </w:t>
      </w:r>
      <w:r w:rsidRPr="00F9673B">
        <w:rPr>
          <w:rFonts w:ascii="Corbel" w:hAnsi="Corbel" w:cs="BookAntiqua"/>
        </w:rPr>
        <w:t>Funzione pubblica, nell'ambito della partecipazione italiana all'iniziativa</w:t>
      </w:r>
      <w:r>
        <w:rPr>
          <w:rFonts w:ascii="Corbel" w:hAnsi="Corbel" w:cs="BookAntiqua"/>
        </w:rPr>
        <w:t xml:space="preserve"> </w:t>
      </w:r>
      <w:r w:rsidRPr="00F9673B">
        <w:rPr>
          <w:rFonts w:ascii="Corbel" w:hAnsi="Corbel" w:cs="BookAntiqua"/>
        </w:rPr>
        <w:t xml:space="preserve">internazionale </w:t>
      </w:r>
      <w:r w:rsidRPr="00F9673B">
        <w:rPr>
          <w:rFonts w:ascii="Corbel" w:hAnsi="Corbel" w:cs="BookAntiqua,Italic"/>
          <w:i/>
          <w:iCs/>
        </w:rPr>
        <w:t>Open Government Partnership</w:t>
      </w:r>
      <w:r w:rsidRPr="00F9673B">
        <w:rPr>
          <w:rFonts w:ascii="Corbel" w:hAnsi="Corbel" w:cs="BookAntiqua"/>
        </w:rPr>
        <w:t>.</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Le indicazioni riportate nel documento sono di natura generale e</w:t>
      </w:r>
      <w:r>
        <w:rPr>
          <w:rFonts w:ascii="Corbel" w:hAnsi="Corbel" w:cs="BookAntiqua"/>
        </w:rPr>
        <w:t xml:space="preserve"> </w:t>
      </w:r>
      <w:r w:rsidRPr="00F9673B">
        <w:rPr>
          <w:rFonts w:ascii="Corbel" w:hAnsi="Corbel" w:cs="BookAntiqua"/>
        </w:rPr>
        <w:t>potranno essere integrate da altri documenti che approfondiscano i</w:t>
      </w:r>
      <w:r>
        <w:rPr>
          <w:rFonts w:ascii="Corbel" w:hAnsi="Corbel" w:cs="BookAntiqua"/>
        </w:rPr>
        <w:t xml:space="preserve"> </w:t>
      </w:r>
      <w:r w:rsidRPr="00F9673B">
        <w:rPr>
          <w:rFonts w:ascii="Corbel" w:hAnsi="Corbel" w:cs="BookAntiqua"/>
        </w:rPr>
        <w:t>modelli di consultazione adatti a particolari casi.</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 xml:space="preserve">In accordo con i principi di trasparenza, partecipazione e </w:t>
      </w:r>
      <w:r w:rsidRPr="00F9673B">
        <w:rPr>
          <w:rFonts w:ascii="Corbel" w:hAnsi="Corbel" w:cs="BookAntiqua,Italic"/>
          <w:i/>
          <w:iCs/>
        </w:rPr>
        <w:t>accountability</w:t>
      </w:r>
      <w:r w:rsidRPr="00F9673B">
        <w:rPr>
          <w:rFonts w:ascii="Corbel" w:hAnsi="Corbel" w:cs="BookAntiqua"/>
        </w:rPr>
        <w:t>, il</w:t>
      </w:r>
      <w:r>
        <w:rPr>
          <w:rFonts w:ascii="Corbel" w:hAnsi="Corbel" w:cs="BookAntiqua"/>
        </w:rPr>
        <w:t xml:space="preserve"> </w:t>
      </w:r>
      <w:r w:rsidRPr="00F9673B">
        <w:rPr>
          <w:rFonts w:ascii="Corbel" w:hAnsi="Corbel" w:cs="BookAntiqua"/>
        </w:rPr>
        <w:t>processo di consultazione pubblica prevede 3 fasi:</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1. una fase iniziale in cui redige il documento oggetto della consultazione,</w:t>
      </w:r>
      <w:r>
        <w:rPr>
          <w:rFonts w:ascii="Corbel" w:hAnsi="Corbel" w:cs="BookAntiqua"/>
        </w:rPr>
        <w:t xml:space="preserve"> </w:t>
      </w:r>
      <w:r w:rsidRPr="00F9673B">
        <w:rPr>
          <w:rFonts w:ascii="Corbel" w:hAnsi="Corbel" w:cs="BookAntiqua"/>
        </w:rPr>
        <w:t>a cura degli Organi di vertice del CNEL (Presidenza, Segretariato</w:t>
      </w:r>
      <w:r>
        <w:rPr>
          <w:rFonts w:ascii="Corbel" w:hAnsi="Corbel" w:cs="BookAntiqua"/>
        </w:rPr>
        <w:t xml:space="preserve"> </w:t>
      </w:r>
      <w:r w:rsidRPr="00F9673B">
        <w:rPr>
          <w:rFonts w:ascii="Corbel" w:hAnsi="Corbel" w:cs="BookAntiqua"/>
        </w:rPr>
        <w:t>generale, Direzione generale per il programma);</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2. una fase di consultazione pubblica con le Parti sociali rappresentate al</w:t>
      </w:r>
      <w:r>
        <w:rPr>
          <w:rFonts w:ascii="Corbel" w:hAnsi="Corbel" w:cs="BookAntiqua"/>
        </w:rPr>
        <w:t xml:space="preserve"> </w:t>
      </w:r>
      <w:r w:rsidRPr="00F9673B">
        <w:rPr>
          <w:rFonts w:ascii="Corbel" w:hAnsi="Corbel" w:cs="BookAntiqua"/>
        </w:rPr>
        <w:t>CNEL, con le Associazioni dei consumatori e con i cittadini;</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3. una fase di presentazione dei risultati delle consultazioni pubbliche.</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PRINCIPI GENERALI</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1. IMPEGNO</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L'apertura di un processo decisionale è uno dei valori che ispira l'attività</w:t>
      </w:r>
      <w:r>
        <w:rPr>
          <w:rFonts w:ascii="Corbel" w:hAnsi="Corbel" w:cs="BookAntiqua"/>
        </w:rPr>
        <w:t xml:space="preserve"> </w:t>
      </w:r>
      <w:r w:rsidRPr="00F9673B">
        <w:rPr>
          <w:rFonts w:ascii="Corbel" w:hAnsi="Corbel" w:cs="BookAntiqua"/>
        </w:rPr>
        <w:t>dal CNEL e il risultato di una decisione condivisa dal Consiglio, dai</w:t>
      </w:r>
      <w:r>
        <w:rPr>
          <w:rFonts w:ascii="Corbel" w:hAnsi="Corbel" w:cs="BookAntiqua"/>
        </w:rPr>
        <w:t xml:space="preserve"> </w:t>
      </w:r>
      <w:r w:rsidRPr="00F9673B">
        <w:rPr>
          <w:rFonts w:ascii="Corbel" w:hAnsi="Corbel" w:cs="BookAntiqua"/>
        </w:rPr>
        <w:t>dirigenti e dai funzionari che si impegnano a garantire il rispetto dei</w:t>
      </w:r>
      <w:r>
        <w:rPr>
          <w:rFonts w:ascii="Corbel" w:hAnsi="Corbel" w:cs="BookAntiqua"/>
        </w:rPr>
        <w:t xml:space="preserve"> </w:t>
      </w:r>
      <w:r w:rsidRPr="00F9673B">
        <w:rPr>
          <w:rFonts w:ascii="Corbel" w:hAnsi="Corbel" w:cs="BookAntiqua"/>
        </w:rPr>
        <w:t>principi generali per le consultazioni pubbliche e l'inclusione dei risultati</w:t>
      </w:r>
      <w:r>
        <w:rPr>
          <w:rFonts w:ascii="Corbel" w:hAnsi="Corbel" w:cs="BookAntiqua"/>
        </w:rPr>
        <w:t xml:space="preserve"> </w:t>
      </w:r>
      <w:r w:rsidRPr="00F9673B">
        <w:rPr>
          <w:rFonts w:ascii="Corbel" w:hAnsi="Corbel" w:cs="BookAntiqua"/>
        </w:rPr>
        <w:t>della consultazione nel processo decisionale, vale a dire nell'ambito</w:t>
      </w:r>
      <w:r>
        <w:rPr>
          <w:rFonts w:ascii="Corbel" w:hAnsi="Corbel" w:cs="BookAntiqua"/>
        </w:rPr>
        <w:t xml:space="preserve"> </w:t>
      </w:r>
      <w:r w:rsidRPr="00F9673B">
        <w:rPr>
          <w:rFonts w:ascii="Corbel" w:hAnsi="Corbel" w:cs="BookAntiqua"/>
        </w:rPr>
        <w:t>dell'attività propositiva e consultiva proprie del Consiglio, ai sensi</w:t>
      </w:r>
      <w:r>
        <w:rPr>
          <w:rFonts w:ascii="Corbel" w:hAnsi="Corbel" w:cs="BookAntiqua"/>
        </w:rPr>
        <w:t xml:space="preserve"> </w:t>
      </w:r>
      <w:r w:rsidRPr="00F9673B">
        <w:rPr>
          <w:rFonts w:ascii="Corbel" w:hAnsi="Corbel" w:cs="BookAntiqua"/>
        </w:rPr>
        <w:t>dell'articolo 99 della Costituzione.</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Il CNEL si impegna a considerare la consultazione come una fase</w:t>
      </w:r>
      <w:r>
        <w:rPr>
          <w:rFonts w:ascii="Corbel" w:hAnsi="Corbel" w:cs="BookAntiqua"/>
        </w:rPr>
        <w:t xml:space="preserve"> </w:t>
      </w:r>
      <w:r w:rsidRPr="00F9673B">
        <w:rPr>
          <w:rFonts w:ascii="Corbel" w:hAnsi="Corbel" w:cs="BookAntiqua"/>
        </w:rPr>
        <w:t>essenziale del processo decisionale e a ricorrervi in relazione alla materia</w:t>
      </w:r>
      <w:r>
        <w:rPr>
          <w:rFonts w:ascii="Corbel" w:hAnsi="Corbel" w:cs="BookAntiqua"/>
        </w:rPr>
        <w:t xml:space="preserve"> </w:t>
      </w:r>
      <w:r w:rsidRPr="00F9673B">
        <w:rPr>
          <w:rFonts w:ascii="Corbel" w:hAnsi="Corbel" w:cs="BookAntiqua"/>
        </w:rPr>
        <w:t>trattata e alla rilevanza della decisione per il territorio e per i destinatari; a</w:t>
      </w:r>
      <w:r>
        <w:rPr>
          <w:rFonts w:ascii="Corbel" w:hAnsi="Corbel" w:cs="BookAntiqua"/>
        </w:rPr>
        <w:t xml:space="preserve"> </w:t>
      </w:r>
      <w:r w:rsidRPr="00F9673B">
        <w:rPr>
          <w:rFonts w:ascii="Corbel" w:hAnsi="Corbel" w:cs="BookAntiqua"/>
        </w:rPr>
        <w:t>tal fine si impegna anche a determinare quali provvedimenti, per la loro</w:t>
      </w:r>
      <w:r>
        <w:rPr>
          <w:rFonts w:ascii="Corbel" w:hAnsi="Corbel" w:cs="BookAntiqua"/>
        </w:rPr>
        <w:t xml:space="preserve"> </w:t>
      </w:r>
      <w:r w:rsidRPr="00F9673B">
        <w:rPr>
          <w:rFonts w:ascii="Corbel" w:hAnsi="Corbel" w:cs="BookAntiqua"/>
        </w:rPr>
        <w:t>natura e rilevanza, devono essere oggetto di consultazione, dandone</w:t>
      </w:r>
      <w:r>
        <w:rPr>
          <w:rFonts w:ascii="Corbel" w:hAnsi="Corbel" w:cs="BookAntiqua"/>
        </w:rPr>
        <w:t xml:space="preserve"> </w:t>
      </w:r>
      <w:r w:rsidRPr="00F9673B">
        <w:rPr>
          <w:rFonts w:ascii="Corbel" w:hAnsi="Corbel" w:cs="BookAntiqua"/>
        </w:rPr>
        <w:t>adeguata pubblicità; il CNEL promuove e accoglie l'iniziativa dal basso e</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lastRenderedPageBreak/>
        <w:t>l'innovazione nei processi consultivi, e sostiene le iniziative di</w:t>
      </w:r>
      <w:r>
        <w:rPr>
          <w:rFonts w:ascii="Corbel" w:hAnsi="Corbel" w:cs="BookAntiqua"/>
        </w:rPr>
        <w:t xml:space="preserve"> </w:t>
      </w:r>
      <w:r w:rsidRPr="00F9673B">
        <w:rPr>
          <w:rFonts w:ascii="Corbel" w:hAnsi="Corbel" w:cs="BookAntiqua"/>
        </w:rPr>
        <w:t>partecipazione dei cittadini, delle Parti sociali e delle associazioni dei</w:t>
      </w:r>
      <w:r>
        <w:rPr>
          <w:rFonts w:ascii="Corbel" w:hAnsi="Corbel" w:cs="BookAntiqua"/>
        </w:rPr>
        <w:t xml:space="preserve"> </w:t>
      </w:r>
      <w:r w:rsidRPr="00F9673B">
        <w:rPr>
          <w:rFonts w:ascii="Corbel" w:hAnsi="Corbel" w:cs="BookAntiqua"/>
        </w:rPr>
        <w:t>consumatori; il CNEL impegna adeguate risorse (finanziarie, logistiche,</w:t>
      </w:r>
      <w:r>
        <w:rPr>
          <w:rFonts w:ascii="Corbel" w:hAnsi="Corbel" w:cs="BookAntiqua"/>
        </w:rPr>
        <w:t xml:space="preserve"> </w:t>
      </w:r>
      <w:r w:rsidRPr="00F9673B">
        <w:rPr>
          <w:rFonts w:ascii="Corbel" w:hAnsi="Corbel" w:cs="BookAntiqua"/>
        </w:rPr>
        <w:t>tecnologiche e umane) affinché la consultazione risulti essere efficace; il</w:t>
      </w:r>
      <w:r>
        <w:rPr>
          <w:rFonts w:ascii="Corbel" w:hAnsi="Corbel" w:cs="BookAntiqua"/>
        </w:rPr>
        <w:t xml:space="preserve"> </w:t>
      </w:r>
      <w:r w:rsidRPr="00F9673B">
        <w:rPr>
          <w:rFonts w:ascii="Corbel" w:hAnsi="Corbel" w:cs="BookAntiqua"/>
        </w:rPr>
        <w:t>CNEL crea un' adeguata preparazione organizzativa per i processi di</w:t>
      </w:r>
      <w:r>
        <w:rPr>
          <w:rFonts w:ascii="Corbel" w:hAnsi="Corbel" w:cs="BookAntiqua"/>
        </w:rPr>
        <w:t xml:space="preserve"> </w:t>
      </w:r>
      <w:r w:rsidRPr="00F9673B">
        <w:rPr>
          <w:rFonts w:ascii="Corbel" w:hAnsi="Corbel" w:cs="BookAntiqua"/>
        </w:rPr>
        <w:t>consultazione, attraverso lo sviluppo di una cultura della partecipazione</w:t>
      </w:r>
      <w:r>
        <w:rPr>
          <w:rFonts w:ascii="Corbel" w:hAnsi="Corbel" w:cs="BookAntiqua"/>
        </w:rPr>
        <w:t xml:space="preserve"> </w:t>
      </w:r>
      <w:r w:rsidRPr="00F9673B">
        <w:rPr>
          <w:rFonts w:ascii="Corbel" w:hAnsi="Corbel" w:cs="BookAntiqua"/>
        </w:rPr>
        <w:t>e l'acquisizione di competenze per gestire tali processi e la formazione di</w:t>
      </w:r>
      <w:r>
        <w:rPr>
          <w:rFonts w:ascii="Corbel" w:hAnsi="Corbel" w:cs="BookAntiqua"/>
        </w:rPr>
        <w:t xml:space="preserve"> </w:t>
      </w:r>
      <w:r w:rsidRPr="00F9673B">
        <w:rPr>
          <w:rFonts w:ascii="Corbel" w:hAnsi="Corbel" w:cs="BookAntiqua"/>
        </w:rPr>
        <w:t>reti di collaborazione per lo scambio delle buone pratiche tra soggetti</w:t>
      </w:r>
      <w:r>
        <w:rPr>
          <w:rFonts w:ascii="Corbel" w:hAnsi="Corbel" w:cs="BookAntiqua"/>
        </w:rPr>
        <w:t xml:space="preserve"> </w:t>
      </w:r>
      <w:r w:rsidRPr="00F9673B">
        <w:rPr>
          <w:rFonts w:ascii="Corbel" w:hAnsi="Corbel" w:cs="BookAntiqua"/>
        </w:rPr>
        <w:t>pubblici e privati; il CNEL si impegna, quando necessario, a ricorrere a</w:t>
      </w:r>
      <w:r>
        <w:rPr>
          <w:rFonts w:ascii="Corbel" w:hAnsi="Corbel" w:cs="BookAntiqua"/>
        </w:rPr>
        <w:t xml:space="preserve"> </w:t>
      </w:r>
      <w:r w:rsidRPr="00F9673B">
        <w:rPr>
          <w:rFonts w:ascii="Corbel" w:hAnsi="Corbel" w:cs="BookAntiqua"/>
        </w:rPr>
        <w:t>figure tecniche, terze ed indipendenti, con competenze professionali</w:t>
      </w:r>
      <w:r>
        <w:rPr>
          <w:rFonts w:ascii="Corbel" w:hAnsi="Corbel" w:cs="BookAntiqua"/>
        </w:rPr>
        <w:t xml:space="preserve"> </w:t>
      </w:r>
      <w:r w:rsidRPr="00F9673B">
        <w:rPr>
          <w:rFonts w:ascii="Corbel" w:hAnsi="Corbel" w:cs="BookAntiqua"/>
        </w:rPr>
        <w:t>specifiche nella gestione dei processi consultivi; il CNEL, per quanto</w:t>
      </w:r>
      <w:r>
        <w:rPr>
          <w:rFonts w:ascii="Corbel" w:hAnsi="Corbel" w:cs="BookAntiqua"/>
        </w:rPr>
        <w:t xml:space="preserve"> </w:t>
      </w:r>
      <w:r w:rsidRPr="00F9673B">
        <w:rPr>
          <w:rFonts w:ascii="Corbel" w:hAnsi="Corbel" w:cs="BookAntiqua"/>
        </w:rPr>
        <w:t>possibile, si impegna a favorire la partecipazione delle associazioni</w:t>
      </w:r>
      <w:r>
        <w:rPr>
          <w:rFonts w:ascii="Corbel" w:hAnsi="Corbel" w:cs="BookAntiqua"/>
        </w:rPr>
        <w:t xml:space="preserve"> </w:t>
      </w:r>
      <w:r w:rsidRPr="00F9673B">
        <w:rPr>
          <w:rFonts w:ascii="Corbel" w:hAnsi="Corbel" w:cs="BookAntiqua"/>
        </w:rPr>
        <w:t>rappresentate nel CNEL e di altre associazioni rappresentative nelle</w:t>
      </w:r>
      <w:r>
        <w:rPr>
          <w:rFonts w:ascii="Corbel" w:hAnsi="Corbel" w:cs="BookAntiqua"/>
        </w:rPr>
        <w:t xml:space="preserve"> </w:t>
      </w:r>
      <w:r w:rsidRPr="00F9673B">
        <w:rPr>
          <w:rFonts w:ascii="Corbel" w:hAnsi="Corbel" w:cs="BookAntiqua"/>
        </w:rPr>
        <w:t>specifiche materie oggetto di consultazione, nonché di tutti i soggetti che</w:t>
      </w:r>
      <w:r>
        <w:rPr>
          <w:rFonts w:ascii="Corbel" w:hAnsi="Corbel" w:cs="BookAntiqua"/>
        </w:rPr>
        <w:t xml:space="preserve"> </w:t>
      </w:r>
      <w:r w:rsidRPr="00F9673B">
        <w:rPr>
          <w:rFonts w:ascii="Corbel" w:hAnsi="Corbel" w:cs="BookAntiqua"/>
        </w:rPr>
        <w:t>contribuiscono a formare un ecosistema partecipativo e responsabile, al</w:t>
      </w:r>
      <w:r>
        <w:rPr>
          <w:rFonts w:ascii="Corbel" w:hAnsi="Corbel" w:cs="BookAntiqua"/>
        </w:rPr>
        <w:t xml:space="preserve"> </w:t>
      </w:r>
      <w:r w:rsidRPr="00F9673B">
        <w:rPr>
          <w:rFonts w:ascii="Corbel" w:hAnsi="Corbel" w:cs="BookAntiqua"/>
        </w:rPr>
        <w:t>fine di moltiplicare presso la società civile le occasioni di dibattito sui</w:t>
      </w:r>
      <w:r>
        <w:rPr>
          <w:rFonts w:ascii="Corbel" w:hAnsi="Corbel" w:cs="BookAntiqua"/>
        </w:rPr>
        <w:t xml:space="preserve"> </w:t>
      </w:r>
      <w:r w:rsidRPr="00F9673B">
        <w:rPr>
          <w:rFonts w:ascii="Corbel" w:hAnsi="Corbel" w:cs="BookAntiqua"/>
        </w:rPr>
        <w:t>temi oggetto di consultazione; il CNEL sceglie il tipo di strumenti da</w:t>
      </w:r>
      <w:r>
        <w:rPr>
          <w:rFonts w:ascii="Corbel" w:hAnsi="Corbel" w:cs="BookAntiqua"/>
        </w:rPr>
        <w:t xml:space="preserve"> </w:t>
      </w:r>
      <w:r w:rsidRPr="00F9673B">
        <w:rPr>
          <w:rFonts w:ascii="Corbel" w:hAnsi="Corbel" w:cs="BookAntiqua"/>
        </w:rPr>
        <w:t>utilizzare per la consultazione (</w:t>
      </w:r>
      <w:r w:rsidRPr="00F9673B">
        <w:rPr>
          <w:rFonts w:ascii="Corbel" w:hAnsi="Corbel" w:cs="BookAntiqua,Italic"/>
          <w:i/>
          <w:iCs/>
        </w:rPr>
        <w:t>off line/on line</w:t>
      </w:r>
      <w:r w:rsidRPr="00F9673B">
        <w:rPr>
          <w:rFonts w:ascii="Corbel" w:hAnsi="Corbel" w:cs="BookAntiqua"/>
        </w:rPr>
        <w:t>) più adeguato ai contenuti e</w:t>
      </w:r>
      <w:r>
        <w:rPr>
          <w:rFonts w:ascii="Corbel" w:hAnsi="Corbel" w:cs="BookAntiqua"/>
        </w:rPr>
        <w:t xml:space="preserve"> </w:t>
      </w:r>
      <w:r w:rsidRPr="00F9673B">
        <w:rPr>
          <w:rFonts w:ascii="Corbel" w:hAnsi="Corbel" w:cs="BookAntiqua"/>
        </w:rPr>
        <w:t>alla portata delle decisioni pubbliche per cui si chiede la partecipazione.</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2. CHIAREZZA</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Gli obiettivi della consultazione, così come l'oggetto, i destinatari, i ruoli e</w:t>
      </w:r>
      <w:r>
        <w:rPr>
          <w:rFonts w:ascii="Corbel" w:hAnsi="Corbel" w:cs="BookAntiqua"/>
        </w:rPr>
        <w:t xml:space="preserve"> </w:t>
      </w:r>
      <w:r w:rsidRPr="00F9673B">
        <w:rPr>
          <w:rFonts w:ascii="Corbel" w:hAnsi="Corbel" w:cs="BookAntiqua"/>
        </w:rPr>
        <w:t>i metodi devono essere definiti chiaramente prima dell'avvio della</w:t>
      </w:r>
      <w:r>
        <w:rPr>
          <w:rFonts w:ascii="Corbel" w:hAnsi="Corbel" w:cs="BookAntiqua"/>
        </w:rPr>
        <w:t xml:space="preserve"> </w:t>
      </w:r>
      <w:r w:rsidRPr="00F9673B">
        <w:rPr>
          <w:rFonts w:ascii="Corbel" w:hAnsi="Corbel" w:cs="BookAntiqua"/>
        </w:rPr>
        <w:t>consultazione; al fine di favorire una partecipazione la più informata</w:t>
      </w:r>
      <w:r>
        <w:rPr>
          <w:rFonts w:ascii="Corbel" w:hAnsi="Corbel" w:cs="BookAntiqua"/>
        </w:rPr>
        <w:t xml:space="preserve"> </w:t>
      </w:r>
      <w:r w:rsidRPr="00F9673B">
        <w:rPr>
          <w:rFonts w:ascii="Corbel" w:hAnsi="Corbel" w:cs="BookAntiqua"/>
        </w:rPr>
        <w:t>possibile, il processo di consultazione deve essere corredato da</w:t>
      </w:r>
      <w:r>
        <w:rPr>
          <w:rFonts w:ascii="Corbel" w:hAnsi="Corbel" w:cs="BookAntiqua"/>
        </w:rPr>
        <w:t xml:space="preserve"> </w:t>
      </w:r>
      <w:r w:rsidRPr="00F9673B">
        <w:rPr>
          <w:rFonts w:ascii="Corbel" w:hAnsi="Corbel" w:cs="BookAntiqua"/>
        </w:rPr>
        <w:t>informazioni pertinenti, complete e facili da comprendere anche per chi</w:t>
      </w:r>
      <w:r>
        <w:rPr>
          <w:rFonts w:ascii="Corbel" w:hAnsi="Corbel" w:cs="BookAntiqua"/>
        </w:rPr>
        <w:t xml:space="preserve"> </w:t>
      </w:r>
      <w:r w:rsidRPr="00F9673B">
        <w:rPr>
          <w:rFonts w:ascii="Corbel" w:hAnsi="Corbel" w:cs="BookAntiqua"/>
        </w:rPr>
        <w:t>non possiede le competenze tecniche.</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Il CNEL deve esplicitamente definire in anticipo come verrà considerato</w:t>
      </w:r>
      <w:r>
        <w:rPr>
          <w:rFonts w:ascii="Corbel" w:hAnsi="Corbel" w:cs="BookAntiqua"/>
        </w:rPr>
        <w:t xml:space="preserve"> </w:t>
      </w:r>
      <w:r w:rsidRPr="00F9673B">
        <w:rPr>
          <w:rFonts w:ascii="Corbel" w:hAnsi="Corbel" w:cs="BookAntiqua"/>
        </w:rPr>
        <w:t>l'esito della consultazione, vale a dire se questo sarà vincolante per l'</w:t>
      </w:r>
      <w:r>
        <w:rPr>
          <w:rFonts w:ascii="Corbel" w:hAnsi="Corbel" w:cs="BookAntiqua"/>
        </w:rPr>
        <w:t xml:space="preserve"> </w:t>
      </w:r>
      <w:r w:rsidRPr="00F9673B">
        <w:rPr>
          <w:rFonts w:ascii="Corbel" w:hAnsi="Corbel" w:cs="BookAntiqua"/>
        </w:rPr>
        <w:t>adozione dei provvedimenti conseguenti (disegni di legge, pareri,</w:t>
      </w:r>
      <w:r>
        <w:rPr>
          <w:rFonts w:ascii="Corbel" w:hAnsi="Corbel" w:cs="BookAntiqua"/>
        </w:rPr>
        <w:t xml:space="preserve"> </w:t>
      </w:r>
      <w:r w:rsidRPr="00F9673B">
        <w:rPr>
          <w:rFonts w:ascii="Corbel" w:hAnsi="Corbel" w:cs="BookAntiqua"/>
        </w:rPr>
        <w:t>osservazioni e proposte, rapporti, relazioni, studi e indagini); la</w:t>
      </w:r>
      <w:r>
        <w:rPr>
          <w:rFonts w:ascii="Corbel" w:hAnsi="Corbel" w:cs="BookAntiqua"/>
        </w:rPr>
        <w:t xml:space="preserve"> </w:t>
      </w:r>
      <w:r w:rsidRPr="00F9673B">
        <w:rPr>
          <w:rFonts w:ascii="Corbel" w:hAnsi="Corbel" w:cs="BookAntiqua"/>
        </w:rPr>
        <w:t>consultazione e tutta la documentazione informativa a suo corredo</w:t>
      </w:r>
      <w:r>
        <w:rPr>
          <w:rFonts w:ascii="Corbel" w:hAnsi="Corbel" w:cs="BookAntiqua"/>
        </w:rPr>
        <w:t xml:space="preserve"> </w:t>
      </w:r>
      <w:r w:rsidRPr="00F9673B">
        <w:rPr>
          <w:rFonts w:ascii="Corbel" w:hAnsi="Corbel" w:cs="BookAntiqua"/>
        </w:rPr>
        <w:t>devono essere formulate in un linguaggio facile da comprendere, chiaro e</w:t>
      </w:r>
      <w:r>
        <w:rPr>
          <w:rFonts w:ascii="Corbel" w:hAnsi="Corbel" w:cs="BookAntiqua"/>
        </w:rPr>
        <w:t xml:space="preserve"> </w:t>
      </w:r>
      <w:r w:rsidRPr="00F9673B">
        <w:rPr>
          <w:rFonts w:ascii="Corbel" w:hAnsi="Corbel" w:cs="BookAntiqua"/>
        </w:rPr>
        <w:t>adeguato ai potenziali partecipanti; nel caso di materie complesse il</w:t>
      </w:r>
      <w:r>
        <w:rPr>
          <w:rFonts w:ascii="Corbel" w:hAnsi="Corbel" w:cs="BookAntiqua"/>
        </w:rPr>
        <w:t xml:space="preserve"> </w:t>
      </w:r>
      <w:r w:rsidRPr="00F9673B">
        <w:rPr>
          <w:rFonts w:ascii="Corbel" w:hAnsi="Corbel" w:cs="BookAntiqua"/>
        </w:rPr>
        <w:t>CNEL si impegna a produrre anche delle sintesi non tecniche in stile</w:t>
      </w:r>
      <w:r>
        <w:rPr>
          <w:rFonts w:ascii="Corbel" w:hAnsi="Corbel" w:cs="BookAntiqua"/>
        </w:rPr>
        <w:t xml:space="preserve"> </w:t>
      </w:r>
      <w:r w:rsidRPr="00F9673B">
        <w:rPr>
          <w:rFonts w:ascii="Corbel" w:hAnsi="Corbel" w:cs="BookAntiqua"/>
        </w:rPr>
        <w:t>divulgativo; i quesiti della consultazione devono essere formulati in un</w:t>
      </w:r>
      <w:r>
        <w:rPr>
          <w:rFonts w:ascii="Corbel" w:hAnsi="Corbel" w:cs="BookAntiqua"/>
        </w:rPr>
        <w:t xml:space="preserve"> </w:t>
      </w:r>
      <w:r w:rsidRPr="00F9673B">
        <w:rPr>
          <w:rFonts w:ascii="Corbel" w:hAnsi="Corbel" w:cs="BookAntiqua"/>
        </w:rPr>
        <w:t>linguaggio chiaro e adeguato, attraverso frasi concise e brevi; la</w:t>
      </w:r>
      <w:r>
        <w:rPr>
          <w:rFonts w:ascii="Corbel" w:hAnsi="Corbel" w:cs="BookAntiqua"/>
        </w:rPr>
        <w:t xml:space="preserve"> </w:t>
      </w:r>
      <w:r w:rsidRPr="00F9673B">
        <w:rPr>
          <w:rFonts w:ascii="Corbel" w:hAnsi="Corbel" w:cs="BookAntiqua"/>
        </w:rPr>
        <w:t>consultazione e i materiali informativi associati devono essere comunicati</w:t>
      </w:r>
      <w:r>
        <w:rPr>
          <w:rFonts w:ascii="Corbel" w:hAnsi="Corbel" w:cs="BookAntiqua"/>
        </w:rPr>
        <w:t xml:space="preserve"> </w:t>
      </w:r>
      <w:r w:rsidRPr="00F9673B">
        <w:rPr>
          <w:rFonts w:ascii="Corbel" w:hAnsi="Corbel" w:cs="BookAntiqua"/>
        </w:rPr>
        <w:t>e diffusi attraverso modalità tali da rendere edotti e coinvolgere i</w:t>
      </w:r>
      <w:r>
        <w:rPr>
          <w:rFonts w:ascii="Corbel" w:hAnsi="Corbel" w:cs="BookAntiqua"/>
        </w:rPr>
        <w:t xml:space="preserve"> </w:t>
      </w:r>
      <w:r w:rsidRPr="00F9673B">
        <w:rPr>
          <w:rFonts w:ascii="Corbel" w:hAnsi="Corbel" w:cs="BookAntiqua"/>
        </w:rPr>
        <w:t>partecipanti nella formulazione di proposte e commenti; tutti i materiali</w:t>
      </w:r>
      <w:r>
        <w:rPr>
          <w:rFonts w:ascii="Corbel" w:hAnsi="Corbel" w:cs="BookAntiqua"/>
        </w:rPr>
        <w:t xml:space="preserve"> </w:t>
      </w:r>
      <w:r w:rsidRPr="00F9673B">
        <w:rPr>
          <w:rFonts w:ascii="Corbel" w:hAnsi="Corbel" w:cs="BookAntiqua"/>
        </w:rPr>
        <w:t>informativi associati alla consultazione devono riportare i dati</w:t>
      </w:r>
      <w:r>
        <w:rPr>
          <w:rFonts w:ascii="Corbel" w:hAnsi="Corbel" w:cs="BookAntiqua"/>
        </w:rPr>
        <w:t xml:space="preserve"> </w:t>
      </w:r>
      <w:r w:rsidRPr="00F9673B">
        <w:rPr>
          <w:rFonts w:ascii="Corbel" w:hAnsi="Corbel" w:cs="BookAntiqua"/>
        </w:rPr>
        <w:t>riguardanti chi li ha prodotti, quando e come sono stati elaborati, a quali</w:t>
      </w:r>
      <w:r>
        <w:rPr>
          <w:rFonts w:ascii="Corbel" w:hAnsi="Corbel" w:cs="BookAntiqua"/>
        </w:rPr>
        <w:t xml:space="preserve"> </w:t>
      </w:r>
      <w:r w:rsidRPr="00F9673B">
        <w:rPr>
          <w:rFonts w:ascii="Corbel" w:hAnsi="Corbel" w:cs="BookAntiqua"/>
        </w:rPr>
        <w:t>fonti di dati fanno riferimento;</w:t>
      </w:r>
      <w:r>
        <w:rPr>
          <w:rFonts w:ascii="Corbel" w:hAnsi="Corbel" w:cs="BookAntiqua"/>
        </w:rPr>
        <w:t xml:space="preserve"> </w:t>
      </w:r>
      <w:r w:rsidRPr="00F9673B">
        <w:rPr>
          <w:rFonts w:ascii="Corbel" w:hAnsi="Corbel" w:cs="BookAntiqua"/>
        </w:rPr>
        <w:t>la divisione delle responsabilità e dei ruoli tra CNEL e partecipanti alla</w:t>
      </w:r>
      <w:r>
        <w:rPr>
          <w:rFonts w:ascii="Corbel" w:hAnsi="Corbel" w:cs="BookAntiqua"/>
        </w:rPr>
        <w:t xml:space="preserve"> </w:t>
      </w:r>
      <w:r w:rsidRPr="00F9673B">
        <w:rPr>
          <w:rFonts w:ascii="Corbel" w:hAnsi="Corbel" w:cs="BookAntiqua"/>
        </w:rPr>
        <w:t>consultazione è resa esplicita chiaramente prima dell'avvio della</w:t>
      </w:r>
      <w:r>
        <w:rPr>
          <w:rFonts w:ascii="Corbel" w:hAnsi="Corbel" w:cs="BookAntiqua"/>
        </w:rPr>
        <w:t xml:space="preserve"> </w:t>
      </w:r>
      <w:r w:rsidRPr="00F9673B">
        <w:rPr>
          <w:rFonts w:ascii="Corbel" w:hAnsi="Corbel" w:cs="BookAntiqua"/>
        </w:rPr>
        <w:t>consultazione; gli indicatori quantitativi e qualitativi e le metodologie per</w:t>
      </w:r>
      <w:r>
        <w:rPr>
          <w:rFonts w:ascii="Corbel" w:hAnsi="Corbel" w:cs="BookAntiqua"/>
        </w:rPr>
        <w:t xml:space="preserve"> </w:t>
      </w:r>
      <w:r w:rsidRPr="00F9673B">
        <w:rPr>
          <w:rFonts w:ascii="Corbel" w:hAnsi="Corbel" w:cs="BookAntiqua"/>
        </w:rPr>
        <w:t>la valutazione finale della consultazione sono definiti chiaramente nella</w:t>
      </w:r>
      <w:r>
        <w:rPr>
          <w:rFonts w:ascii="Corbel" w:hAnsi="Corbel" w:cs="BookAntiqua"/>
        </w:rPr>
        <w:t xml:space="preserve"> </w:t>
      </w:r>
      <w:r w:rsidRPr="00F9673B">
        <w:rPr>
          <w:rFonts w:ascii="Corbel" w:hAnsi="Corbel" w:cs="BookAntiqua"/>
        </w:rPr>
        <w:t>fase iniziale e resi pubblici.</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3. TRASPARENZA</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Tutte le fasi, gli aspetti e i costi del processo di consultazione sono resi</w:t>
      </w:r>
      <w:r>
        <w:rPr>
          <w:rFonts w:ascii="Corbel" w:hAnsi="Corbel" w:cs="BookAntiqua"/>
        </w:rPr>
        <w:t xml:space="preserve"> </w:t>
      </w:r>
      <w:r w:rsidRPr="00F9673B">
        <w:rPr>
          <w:rFonts w:ascii="Corbel" w:hAnsi="Corbel" w:cs="BookAntiqua"/>
        </w:rPr>
        <w:t>pubblici, non solo per la platea dei diretti interessati alla materia oggetto</w:t>
      </w:r>
      <w:r>
        <w:rPr>
          <w:rFonts w:ascii="Corbel" w:hAnsi="Corbel" w:cs="BookAntiqua"/>
        </w:rPr>
        <w:t xml:space="preserve"> </w:t>
      </w:r>
      <w:r w:rsidRPr="00F9673B">
        <w:rPr>
          <w:rFonts w:ascii="Corbel" w:hAnsi="Corbel" w:cs="BookAntiqua"/>
        </w:rPr>
        <w:t>di consultazione, ma per tutti i cittadini.</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Le attività di comunicazione accompagnano e supportano la</w:t>
      </w:r>
      <w:r>
        <w:rPr>
          <w:rFonts w:ascii="Corbel" w:hAnsi="Corbel" w:cs="BookAntiqua"/>
        </w:rPr>
        <w:t xml:space="preserve"> </w:t>
      </w:r>
      <w:r w:rsidRPr="00F9673B">
        <w:rPr>
          <w:rFonts w:ascii="Corbel" w:hAnsi="Corbel" w:cs="BookAntiqua"/>
        </w:rPr>
        <w:t>consultazione lungo le fasi di progettazione, svolgimento e valutazione,</w:t>
      </w:r>
      <w:r>
        <w:rPr>
          <w:rFonts w:ascii="Corbel" w:hAnsi="Corbel" w:cs="BookAntiqua"/>
        </w:rPr>
        <w:t xml:space="preserve"> </w:t>
      </w:r>
      <w:r w:rsidRPr="00F9673B">
        <w:rPr>
          <w:rFonts w:ascii="Corbel" w:hAnsi="Corbel" w:cs="BookAntiqua"/>
        </w:rPr>
        <w:t>al fine di rendere effettivo il diritto alla partecipazione, favorire il</w:t>
      </w:r>
      <w:r>
        <w:rPr>
          <w:rFonts w:ascii="Corbel" w:hAnsi="Corbel" w:cs="BookAntiqua"/>
        </w:rPr>
        <w:t xml:space="preserve"> </w:t>
      </w:r>
      <w:r w:rsidRPr="00F9673B">
        <w:rPr>
          <w:rFonts w:ascii="Corbel" w:hAnsi="Corbel" w:cs="BookAntiqua"/>
        </w:rPr>
        <w:t>coinvolgimento attivo e migliorare la qualità dei processi consultivi; il</w:t>
      </w:r>
      <w:r>
        <w:rPr>
          <w:rFonts w:ascii="Corbel" w:hAnsi="Corbel" w:cs="BookAntiqua"/>
        </w:rPr>
        <w:t xml:space="preserve"> </w:t>
      </w:r>
      <w:r w:rsidRPr="00F9673B">
        <w:rPr>
          <w:rFonts w:ascii="Corbel" w:hAnsi="Corbel" w:cs="BookAntiqua"/>
        </w:rPr>
        <w:t>CNEL rende pubblico l'esito della consultazione, al termine di essa ed al</w:t>
      </w:r>
      <w:r>
        <w:rPr>
          <w:rFonts w:ascii="Corbel" w:hAnsi="Corbel" w:cs="BookAntiqua"/>
        </w:rPr>
        <w:t xml:space="preserve"> </w:t>
      </w:r>
      <w:r w:rsidRPr="00F9673B">
        <w:rPr>
          <w:rFonts w:ascii="Corbel" w:hAnsi="Corbel" w:cs="BookAntiqua"/>
        </w:rPr>
        <w:t>termine di ogni fase per i processi consultivi più complessi, attraverso un</w:t>
      </w:r>
      <w:r>
        <w:rPr>
          <w:rFonts w:ascii="Corbel" w:hAnsi="Corbel" w:cs="BookAntiqua"/>
        </w:rPr>
        <w:t xml:space="preserve"> </w:t>
      </w:r>
      <w:r w:rsidRPr="00F9673B">
        <w:rPr>
          <w:rFonts w:ascii="Corbel" w:hAnsi="Corbel" w:cs="BookAntiqua"/>
        </w:rPr>
        <w:t>rapporto di sintesi; il rapporto, oltre a riassumere le posizioni raccolte,</w:t>
      </w:r>
      <w:r>
        <w:rPr>
          <w:rFonts w:ascii="Corbel" w:hAnsi="Corbel" w:cs="BookAntiqua"/>
        </w:rPr>
        <w:t xml:space="preserve"> </w:t>
      </w:r>
      <w:r w:rsidRPr="00F9673B">
        <w:rPr>
          <w:rFonts w:ascii="Corbel" w:hAnsi="Corbel" w:cs="BookAntiqua"/>
        </w:rPr>
        <w:t>chiarisce come queste influenzeranno la decisione finale e rende noti i</w:t>
      </w:r>
      <w:r>
        <w:rPr>
          <w:rFonts w:ascii="Corbel" w:hAnsi="Corbel" w:cs="BookAntiqua"/>
        </w:rPr>
        <w:t xml:space="preserve"> </w:t>
      </w:r>
      <w:r w:rsidRPr="00F9673B">
        <w:rPr>
          <w:rFonts w:ascii="Corbel" w:hAnsi="Corbel" w:cs="BookAntiqua"/>
        </w:rPr>
        <w:t>motivi per cui, eventualmente, non potranno essere accolte; il CNEL</w:t>
      </w:r>
      <w:r>
        <w:rPr>
          <w:rFonts w:ascii="Corbel" w:hAnsi="Corbel" w:cs="BookAntiqua"/>
        </w:rPr>
        <w:t xml:space="preserve"> </w:t>
      </w:r>
      <w:r w:rsidRPr="00F9673B">
        <w:rPr>
          <w:rFonts w:ascii="Corbel" w:hAnsi="Corbel" w:cs="BookAntiqua"/>
        </w:rPr>
        <w:t>rende pubblici tutti i documenti a corredo della consultazione, nonché le</w:t>
      </w:r>
      <w:r>
        <w:rPr>
          <w:rFonts w:ascii="Corbel" w:hAnsi="Corbel" w:cs="BookAntiqua"/>
        </w:rPr>
        <w:t xml:space="preserve"> </w:t>
      </w:r>
      <w:r w:rsidRPr="00F9673B">
        <w:rPr>
          <w:rFonts w:ascii="Corbel" w:hAnsi="Corbel" w:cs="BookAntiqua"/>
        </w:rPr>
        <w:t>posizioni espresse dai partecipanti, i loro commenti e le loro proposte, sia</w:t>
      </w:r>
      <w:r>
        <w:rPr>
          <w:rFonts w:ascii="Corbel" w:hAnsi="Corbel" w:cs="BookAntiqua"/>
        </w:rPr>
        <w:t xml:space="preserve"> </w:t>
      </w:r>
      <w:r w:rsidRPr="00F9673B">
        <w:rPr>
          <w:rFonts w:ascii="Corbel" w:hAnsi="Corbel" w:cs="BookAntiqua"/>
        </w:rPr>
        <w:t>in formato integrale che attraverso rapporti di sintesi, in modo da favorire</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un livello adeguato e diffuso di controllo; la documentazione deve essere</w:t>
      </w:r>
      <w:r>
        <w:rPr>
          <w:rFonts w:ascii="Corbel" w:hAnsi="Corbel" w:cs="BookAntiqua"/>
        </w:rPr>
        <w:t xml:space="preserve"> </w:t>
      </w:r>
      <w:r w:rsidRPr="00F9673B">
        <w:rPr>
          <w:rFonts w:ascii="Corbel" w:hAnsi="Corbel" w:cs="BookAntiqua"/>
        </w:rPr>
        <w:t>resa disponibile in formati digitali tali da permetterne la condivisione, il</w:t>
      </w:r>
      <w:r>
        <w:rPr>
          <w:rFonts w:ascii="Corbel" w:hAnsi="Corbel" w:cs="BookAntiqua"/>
        </w:rPr>
        <w:t xml:space="preserve"> </w:t>
      </w:r>
      <w:r w:rsidRPr="00F9673B">
        <w:rPr>
          <w:rFonts w:ascii="Corbel" w:hAnsi="Corbel" w:cs="BookAntiqua"/>
        </w:rPr>
        <w:t>riuso e la permanenza nel tempo (5 anni); il CNEL garantisce la</w:t>
      </w:r>
      <w:r>
        <w:rPr>
          <w:rFonts w:ascii="Corbel" w:hAnsi="Corbel" w:cs="BookAntiqua"/>
        </w:rPr>
        <w:t xml:space="preserve"> </w:t>
      </w:r>
      <w:r w:rsidRPr="00F9673B">
        <w:rPr>
          <w:rFonts w:ascii="Corbel" w:hAnsi="Corbel" w:cs="BookAntiqua"/>
        </w:rPr>
        <w:t>trasparenza sui partecipanti alla consultazione, pubblicando informazioni</w:t>
      </w:r>
      <w:r>
        <w:rPr>
          <w:rFonts w:ascii="Corbel" w:hAnsi="Corbel" w:cs="BookAntiqua"/>
        </w:rPr>
        <w:t xml:space="preserve"> </w:t>
      </w:r>
      <w:r w:rsidRPr="00F9673B">
        <w:rPr>
          <w:rFonts w:ascii="Corbel" w:hAnsi="Corbel" w:cs="BookAntiqua"/>
        </w:rPr>
        <w:t>in forma aggregata (es.: numero di partecipanti, numero dei commenti</w:t>
      </w:r>
      <w:r>
        <w:rPr>
          <w:rFonts w:ascii="Corbel" w:hAnsi="Corbel" w:cs="BookAntiqua"/>
        </w:rPr>
        <w:t xml:space="preserve"> </w:t>
      </w:r>
      <w:r w:rsidRPr="00F9673B">
        <w:rPr>
          <w:rFonts w:ascii="Corbel" w:hAnsi="Corbel" w:cs="BookAntiqua"/>
        </w:rPr>
        <w:t>pervenuti, natura dei partecipanti, caratteristiche anagrafiche dei</w:t>
      </w:r>
      <w:r>
        <w:rPr>
          <w:rFonts w:ascii="Corbel" w:hAnsi="Corbel" w:cs="BookAntiqua"/>
        </w:rPr>
        <w:t xml:space="preserve"> </w:t>
      </w:r>
      <w:r w:rsidRPr="00F9673B">
        <w:rPr>
          <w:rFonts w:ascii="Corbel" w:hAnsi="Corbel" w:cs="BookAntiqua"/>
        </w:rPr>
        <w:t>partecipanti, etc.) e, dove questo non comporti una violazione della</w:t>
      </w:r>
      <w:r>
        <w:rPr>
          <w:rFonts w:ascii="Corbel" w:hAnsi="Corbel" w:cs="BookAntiqua"/>
        </w:rPr>
        <w:t xml:space="preserve"> </w:t>
      </w:r>
      <w:r w:rsidRPr="00F9673B">
        <w:rPr>
          <w:rFonts w:ascii="Corbel" w:hAnsi="Corbel" w:cs="BookAntiqua,Italic"/>
          <w:i/>
          <w:iCs/>
        </w:rPr>
        <w:t>privacy</w:t>
      </w:r>
      <w:r w:rsidRPr="00F9673B">
        <w:rPr>
          <w:rFonts w:ascii="Corbel" w:hAnsi="Corbel" w:cs="BookAntiqua"/>
        </w:rPr>
        <w:t>, in forma puntuale; il CNEL rende pubblici in un documento a</w:t>
      </w:r>
      <w:r>
        <w:rPr>
          <w:rFonts w:ascii="Corbel" w:hAnsi="Corbel" w:cs="BookAntiqua"/>
        </w:rPr>
        <w:t xml:space="preserve"> </w:t>
      </w:r>
      <w:r w:rsidRPr="00F9673B">
        <w:rPr>
          <w:rFonts w:ascii="Corbel" w:hAnsi="Corbel" w:cs="BookAntiqua"/>
        </w:rPr>
        <w:t>corredo della consultazione tutti i nomi ed i profili professionali dei</w:t>
      </w:r>
      <w:r>
        <w:rPr>
          <w:rFonts w:ascii="Corbel" w:hAnsi="Corbel" w:cs="BookAntiqua"/>
        </w:rPr>
        <w:t xml:space="preserve"> </w:t>
      </w:r>
      <w:r w:rsidRPr="00F9673B">
        <w:rPr>
          <w:rFonts w:ascii="Corbel" w:hAnsi="Corbel" w:cs="BookAntiqua"/>
        </w:rPr>
        <w:t>funzionari e dei consulenti che sono coinvolti a vario titolo</w:t>
      </w:r>
      <w:r>
        <w:rPr>
          <w:rFonts w:ascii="Corbel" w:hAnsi="Corbel" w:cs="BookAntiqua"/>
        </w:rPr>
        <w:t xml:space="preserve"> </w:t>
      </w:r>
      <w:r w:rsidRPr="00F9673B">
        <w:rPr>
          <w:rFonts w:ascii="Corbel" w:hAnsi="Corbel" w:cs="BookAntiqua"/>
        </w:rPr>
        <w:t>nell'organizzazione della consultazione.</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4. SOSTEGNO ALLA PARTECIPAZIONE</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lastRenderedPageBreak/>
        <w:t>La consapevolezza dell'importanza dei processi di consultazione deve</w:t>
      </w:r>
      <w:r>
        <w:rPr>
          <w:rFonts w:ascii="Corbel" w:hAnsi="Corbel" w:cs="BookAntiqua"/>
        </w:rPr>
        <w:t xml:space="preserve"> </w:t>
      </w:r>
      <w:r w:rsidRPr="00F9673B">
        <w:rPr>
          <w:rFonts w:ascii="Corbel" w:hAnsi="Corbel" w:cs="BookAntiqua"/>
        </w:rPr>
        <w:t>essere sostenuta anche mediante attività di informazione, comunicazione</w:t>
      </w:r>
      <w:r>
        <w:rPr>
          <w:rFonts w:ascii="Corbel" w:hAnsi="Corbel" w:cs="BookAntiqua"/>
        </w:rPr>
        <w:t xml:space="preserve"> </w:t>
      </w:r>
      <w:r w:rsidRPr="00F9673B">
        <w:rPr>
          <w:rFonts w:ascii="Corbel" w:hAnsi="Corbel" w:cs="BookAntiqua"/>
        </w:rPr>
        <w:t>ed educazione volte ad accrescere la partecipazione e la collaborazione di</w:t>
      </w:r>
      <w:r>
        <w:rPr>
          <w:rFonts w:ascii="Corbel" w:hAnsi="Corbel" w:cs="BookAntiqua"/>
        </w:rPr>
        <w:t xml:space="preserve"> </w:t>
      </w:r>
      <w:r w:rsidRPr="00F9673B">
        <w:rPr>
          <w:rFonts w:ascii="Corbel" w:hAnsi="Corbel" w:cs="BookAntiqua"/>
        </w:rPr>
        <w:t>cittadini, imprese e loro associazioni.</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Il CNEL promuove la creazione, al suo interno e con tutti i soggetti</w:t>
      </w:r>
      <w:r>
        <w:rPr>
          <w:rFonts w:ascii="Corbel" w:hAnsi="Corbel" w:cs="BookAntiqua"/>
        </w:rPr>
        <w:t xml:space="preserve"> </w:t>
      </w:r>
      <w:r w:rsidRPr="00F9673B">
        <w:rPr>
          <w:rFonts w:ascii="Corbel" w:hAnsi="Corbel" w:cs="BookAntiqua"/>
        </w:rPr>
        <w:t>coinvolti, di comunità attive e consapevoli capaci di sviluppare un</w:t>
      </w:r>
      <w:r>
        <w:rPr>
          <w:rFonts w:ascii="Corbel" w:hAnsi="Corbel" w:cs="BookAntiqua"/>
        </w:rPr>
        <w:t xml:space="preserve"> </w:t>
      </w:r>
      <w:r w:rsidRPr="00F9673B">
        <w:rPr>
          <w:rFonts w:ascii="Corbel" w:hAnsi="Corbel" w:cs="BookAntiqua"/>
        </w:rPr>
        <w:t xml:space="preserve">dibattito, </w:t>
      </w:r>
      <w:r w:rsidRPr="00F9673B">
        <w:rPr>
          <w:rFonts w:ascii="Corbel" w:hAnsi="Corbel" w:cs="BookAntiqua,Italic"/>
          <w:i/>
          <w:iCs/>
        </w:rPr>
        <w:t xml:space="preserve">on line </w:t>
      </w:r>
      <w:r w:rsidRPr="00F9673B">
        <w:rPr>
          <w:rFonts w:ascii="Corbel" w:hAnsi="Corbel" w:cs="BookAntiqua"/>
        </w:rPr>
        <w:t xml:space="preserve">e </w:t>
      </w:r>
      <w:r w:rsidRPr="00F9673B">
        <w:rPr>
          <w:rFonts w:ascii="Corbel" w:hAnsi="Corbel" w:cs="BookAntiqua,Italic"/>
          <w:i/>
          <w:iCs/>
        </w:rPr>
        <w:t>off line</w:t>
      </w:r>
      <w:r w:rsidRPr="00F9673B">
        <w:rPr>
          <w:rFonts w:ascii="Corbel" w:hAnsi="Corbel" w:cs="BookAntiqua"/>
        </w:rPr>
        <w:t>, maturo e non polarizzato e di formulare</w:t>
      </w:r>
      <w:r>
        <w:rPr>
          <w:rFonts w:ascii="Corbel" w:hAnsi="Corbel" w:cs="BookAntiqua"/>
        </w:rPr>
        <w:t xml:space="preserve"> </w:t>
      </w:r>
      <w:r w:rsidRPr="00F9673B">
        <w:rPr>
          <w:rFonts w:ascii="Corbel" w:hAnsi="Corbel" w:cs="BookAntiqua"/>
        </w:rPr>
        <w:t>proposte e commenti; il CNEL può considerare di coinvolgere i</w:t>
      </w:r>
      <w:r>
        <w:rPr>
          <w:rFonts w:ascii="Corbel" w:hAnsi="Corbel" w:cs="BookAntiqua"/>
        </w:rPr>
        <w:t xml:space="preserve"> </w:t>
      </w:r>
      <w:r w:rsidRPr="00F9673B">
        <w:rPr>
          <w:rFonts w:ascii="Corbel" w:hAnsi="Corbel" w:cs="BookAntiqua"/>
        </w:rPr>
        <w:t>destinatari della consultazione nella individuazione delle modalità di</w:t>
      </w:r>
      <w:r>
        <w:rPr>
          <w:rFonts w:ascii="Corbel" w:hAnsi="Corbel" w:cs="BookAntiqua"/>
        </w:rPr>
        <w:t xml:space="preserve"> </w:t>
      </w:r>
      <w:r w:rsidRPr="00F9673B">
        <w:rPr>
          <w:rFonts w:ascii="Corbel" w:hAnsi="Corbel" w:cs="BookAntiqua"/>
        </w:rPr>
        <w:t>realizzazione della consultazione al fine di costruire un quadro di</w:t>
      </w:r>
      <w:r>
        <w:rPr>
          <w:rFonts w:ascii="Corbel" w:hAnsi="Corbel" w:cs="BookAntiqua"/>
        </w:rPr>
        <w:t xml:space="preserve"> </w:t>
      </w:r>
      <w:r w:rsidRPr="00F9673B">
        <w:rPr>
          <w:rFonts w:ascii="Corbel" w:hAnsi="Corbel" w:cs="BookAntiqua"/>
        </w:rPr>
        <w:t>riferimento condiviso che garantisca legittimazione alla partecipazione e</w:t>
      </w:r>
      <w:r>
        <w:rPr>
          <w:rFonts w:ascii="Corbel" w:hAnsi="Corbel" w:cs="BookAntiqua"/>
        </w:rPr>
        <w:t xml:space="preserve"> </w:t>
      </w:r>
      <w:r w:rsidRPr="00F9673B">
        <w:rPr>
          <w:rFonts w:ascii="Corbel" w:hAnsi="Corbel" w:cs="BookAntiqua"/>
        </w:rPr>
        <w:t>la fiducia reciproca; il CNEL adotta, con adeguate risorse umane ed</w:t>
      </w:r>
      <w:r>
        <w:rPr>
          <w:rFonts w:ascii="Corbel" w:hAnsi="Corbel" w:cs="BookAntiqua"/>
        </w:rPr>
        <w:t xml:space="preserve"> </w:t>
      </w:r>
      <w:r w:rsidRPr="00F9673B">
        <w:rPr>
          <w:rFonts w:ascii="Corbel" w:hAnsi="Corbel" w:cs="BookAntiqua"/>
        </w:rPr>
        <w:t>economiche, le iniziative (</w:t>
      </w:r>
      <w:r w:rsidRPr="00F9673B">
        <w:rPr>
          <w:rFonts w:ascii="Corbel" w:hAnsi="Corbel" w:cs="BookAntiqua,Italic"/>
          <w:i/>
          <w:iCs/>
        </w:rPr>
        <w:t>off line</w:t>
      </w:r>
      <w:r w:rsidRPr="00F9673B">
        <w:rPr>
          <w:rFonts w:ascii="Corbel" w:hAnsi="Corbel" w:cs="BookAntiqua"/>
        </w:rPr>
        <w:t>) e le tecnologie (</w:t>
      </w:r>
      <w:r w:rsidRPr="00F9673B">
        <w:rPr>
          <w:rFonts w:ascii="Corbel" w:hAnsi="Corbel" w:cs="BookAntiqua,Italic"/>
          <w:i/>
          <w:iCs/>
        </w:rPr>
        <w:t>on line</w:t>
      </w:r>
      <w:r w:rsidRPr="00F9673B">
        <w:rPr>
          <w:rFonts w:ascii="Corbel" w:hAnsi="Corbel" w:cs="BookAntiqua"/>
        </w:rPr>
        <w:t>) necessarie per</w:t>
      </w:r>
      <w:r>
        <w:rPr>
          <w:rFonts w:ascii="Corbel" w:hAnsi="Corbel" w:cs="BookAntiqua"/>
        </w:rPr>
        <w:t xml:space="preserve"> </w:t>
      </w:r>
      <w:r w:rsidRPr="00F9673B">
        <w:rPr>
          <w:rFonts w:ascii="Corbel" w:hAnsi="Corbel" w:cs="BookAntiqua"/>
        </w:rPr>
        <w:t>permettere un'effettiva partecipazione prima, durante e dopo il processo</w:t>
      </w:r>
      <w:r>
        <w:rPr>
          <w:rFonts w:ascii="Corbel" w:hAnsi="Corbel" w:cs="BookAntiqua"/>
        </w:rPr>
        <w:t xml:space="preserve"> </w:t>
      </w:r>
      <w:r w:rsidRPr="00F9673B">
        <w:rPr>
          <w:rFonts w:ascii="Corbel" w:hAnsi="Corbel" w:cs="BookAntiqua"/>
        </w:rPr>
        <w:t>di consultazione; il CNEL promuove la cultura della partecipazione,</w:t>
      </w:r>
      <w:r>
        <w:rPr>
          <w:rFonts w:ascii="Corbel" w:hAnsi="Corbel" w:cs="BookAntiqua"/>
        </w:rPr>
        <w:t xml:space="preserve"> </w:t>
      </w:r>
      <w:r w:rsidRPr="00F9673B">
        <w:rPr>
          <w:rFonts w:ascii="Corbel" w:hAnsi="Corbel" w:cs="BookAntiqua"/>
        </w:rPr>
        <w:t>dell'integrità e del monitoraggio civico nelle scuole mediante corsi e</w:t>
      </w:r>
      <w:r>
        <w:rPr>
          <w:rFonts w:ascii="Corbel" w:hAnsi="Corbel" w:cs="BookAntiqua"/>
        </w:rPr>
        <w:t xml:space="preserve"> </w:t>
      </w:r>
      <w:r w:rsidRPr="00F9673B">
        <w:rPr>
          <w:rFonts w:ascii="Corbel" w:hAnsi="Corbel" w:cs="BookAntiqua"/>
        </w:rPr>
        <w:t>moduli formativi specifici ed incentiva la creazione di reti di relazioni tra</w:t>
      </w:r>
      <w:r>
        <w:rPr>
          <w:rFonts w:ascii="Corbel" w:hAnsi="Corbel" w:cs="BookAntiqua"/>
        </w:rPr>
        <w:t xml:space="preserve"> </w:t>
      </w:r>
      <w:r w:rsidRPr="00F9673B">
        <w:rPr>
          <w:rFonts w:ascii="Corbel" w:hAnsi="Corbel" w:cs="BookAntiqua"/>
        </w:rPr>
        <w:t>la scuola ed i soggetti pubblici e privati dedicati a tale compito; il CNEL</w:t>
      </w:r>
      <w:r>
        <w:rPr>
          <w:rFonts w:ascii="Corbel" w:hAnsi="Corbel" w:cs="BookAntiqua"/>
        </w:rPr>
        <w:t xml:space="preserve"> </w:t>
      </w:r>
      <w:r w:rsidRPr="00F9673B">
        <w:rPr>
          <w:rFonts w:ascii="Corbel" w:hAnsi="Corbel" w:cs="BookAntiqua"/>
        </w:rPr>
        <w:t>può mettere a disposizione gratuitamente i luoghi pubblici per</w:t>
      </w:r>
      <w:r>
        <w:rPr>
          <w:rFonts w:ascii="Corbel" w:hAnsi="Corbel" w:cs="BookAntiqua"/>
        </w:rPr>
        <w:t xml:space="preserve"> </w:t>
      </w:r>
      <w:r w:rsidRPr="00F9673B">
        <w:rPr>
          <w:rFonts w:ascii="Corbel" w:hAnsi="Corbel" w:cs="BookAntiqua"/>
        </w:rPr>
        <w:t>permettere ai cittadini di sviluppare forme di dialogo diretto tra loro e</w:t>
      </w:r>
      <w:r>
        <w:rPr>
          <w:rFonts w:ascii="Corbel" w:hAnsi="Corbel" w:cs="BookAntiqua"/>
        </w:rPr>
        <w:t xml:space="preserve"> </w:t>
      </w:r>
      <w:r w:rsidRPr="00F9673B">
        <w:rPr>
          <w:rFonts w:ascii="Corbel" w:hAnsi="Corbel" w:cs="BookAntiqua"/>
        </w:rPr>
        <w:t>con l'amministrazione; il CNEL, anche mediante il ricorso alle sue risorse</w:t>
      </w:r>
      <w:r>
        <w:rPr>
          <w:rFonts w:ascii="Corbel" w:hAnsi="Corbel" w:cs="BookAntiqua"/>
        </w:rPr>
        <w:t xml:space="preserve"> </w:t>
      </w:r>
      <w:r w:rsidRPr="00F9673B">
        <w:rPr>
          <w:rFonts w:ascii="Corbel" w:hAnsi="Corbel" w:cs="BookAntiqua"/>
        </w:rPr>
        <w:t>interne, attiva una comunicazione volta a mettere in risalto e riconosce il</w:t>
      </w:r>
      <w:r>
        <w:rPr>
          <w:rFonts w:ascii="Corbel" w:hAnsi="Corbel" w:cs="BookAntiqua"/>
        </w:rPr>
        <w:t xml:space="preserve"> </w:t>
      </w:r>
      <w:r w:rsidRPr="00F9673B">
        <w:rPr>
          <w:rFonts w:ascii="Corbel" w:hAnsi="Corbel" w:cs="BookAntiqua"/>
        </w:rPr>
        <w:t>valore aggiunto del risultato ottenuto tramite la partecipazione al</w:t>
      </w:r>
      <w:r>
        <w:rPr>
          <w:rFonts w:ascii="Corbel" w:hAnsi="Corbel" w:cs="BookAntiqua"/>
        </w:rPr>
        <w:t xml:space="preserve"> </w:t>
      </w:r>
      <w:r w:rsidRPr="00F9673B">
        <w:rPr>
          <w:rFonts w:ascii="Corbel" w:hAnsi="Corbel" w:cs="BookAntiqua"/>
        </w:rPr>
        <w:t>processo decisionale mediante la consultazione; a tal fine il CNEL</w:t>
      </w:r>
      <w:r>
        <w:rPr>
          <w:rFonts w:ascii="Corbel" w:hAnsi="Corbel" w:cs="BookAntiqua"/>
        </w:rPr>
        <w:t xml:space="preserve"> </w:t>
      </w:r>
      <w:r w:rsidRPr="00F9673B">
        <w:rPr>
          <w:rFonts w:ascii="Corbel" w:hAnsi="Corbel" w:cs="BookAntiqua"/>
        </w:rPr>
        <w:t>individua ed elabora appositi indicatori.</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5. PRIVACY</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 xml:space="preserve">La consultazione pubblica deve garantire il rispetto della </w:t>
      </w:r>
      <w:r w:rsidRPr="00F9673B">
        <w:rPr>
          <w:rFonts w:ascii="Corbel" w:hAnsi="Corbel" w:cs="BookAntiqua,Italic"/>
          <w:i/>
          <w:iCs/>
        </w:rPr>
        <w:t xml:space="preserve">privacy </w:t>
      </w:r>
      <w:r w:rsidRPr="00F9673B">
        <w:rPr>
          <w:rFonts w:ascii="Corbel" w:hAnsi="Corbel" w:cs="BookAntiqua"/>
        </w:rPr>
        <w:t>dei</w:t>
      </w:r>
      <w:r>
        <w:rPr>
          <w:rFonts w:ascii="Corbel" w:hAnsi="Corbel" w:cs="BookAntiqua"/>
        </w:rPr>
        <w:t xml:space="preserve"> </w:t>
      </w:r>
      <w:r w:rsidRPr="00F9673B">
        <w:rPr>
          <w:rFonts w:ascii="Corbel" w:hAnsi="Corbel" w:cs="BookAntiqua"/>
        </w:rPr>
        <w:t>partecipanti.</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Tutte le fasi del processo di consultazione sono realizzate in modo da</w:t>
      </w:r>
      <w:r>
        <w:rPr>
          <w:rFonts w:ascii="Corbel" w:hAnsi="Corbel" w:cs="BookAntiqua"/>
        </w:rPr>
        <w:t xml:space="preserve"> </w:t>
      </w:r>
      <w:r w:rsidRPr="00F9673B">
        <w:rPr>
          <w:rFonts w:ascii="Corbel" w:hAnsi="Corbel" w:cs="BookAntiqua"/>
        </w:rPr>
        <w:t xml:space="preserve">rispettare le norme nazionali in tema di </w:t>
      </w:r>
      <w:r w:rsidRPr="00F9673B">
        <w:rPr>
          <w:rFonts w:ascii="Corbel" w:hAnsi="Corbel" w:cs="BookAntiqua,Italic"/>
          <w:i/>
          <w:iCs/>
        </w:rPr>
        <w:t>privacy</w:t>
      </w:r>
      <w:r w:rsidRPr="00F9673B">
        <w:rPr>
          <w:rFonts w:ascii="Corbel" w:hAnsi="Corbel" w:cs="BookAntiqua"/>
        </w:rPr>
        <w:t>; in particolare il</w:t>
      </w:r>
      <w:r>
        <w:rPr>
          <w:rFonts w:ascii="Corbel" w:hAnsi="Corbel" w:cs="BookAntiqua"/>
        </w:rPr>
        <w:t xml:space="preserve"> </w:t>
      </w:r>
      <w:r w:rsidRPr="00F9673B">
        <w:rPr>
          <w:rFonts w:ascii="Corbel" w:hAnsi="Corbel" w:cs="BookAntiqua"/>
        </w:rPr>
        <w:t>trattamento dei dati personali da parte del CNEL deve avvenire in</w:t>
      </w:r>
      <w:r>
        <w:rPr>
          <w:rFonts w:ascii="Corbel" w:hAnsi="Corbel" w:cs="BookAntiqua"/>
        </w:rPr>
        <w:t xml:space="preserve"> </w:t>
      </w:r>
      <w:r w:rsidRPr="00F9673B">
        <w:rPr>
          <w:rFonts w:ascii="Corbel" w:hAnsi="Corbel" w:cs="BookAntiqua"/>
        </w:rPr>
        <w:t>conformità alla normativa vigente, con particolare riferimento, fra l'altro,</w:t>
      </w:r>
      <w:r>
        <w:rPr>
          <w:rFonts w:ascii="Corbel" w:hAnsi="Corbel" w:cs="BookAntiqua"/>
        </w:rPr>
        <w:t xml:space="preserve"> </w:t>
      </w:r>
      <w:r w:rsidRPr="00F9673B">
        <w:rPr>
          <w:rFonts w:ascii="Corbel" w:hAnsi="Corbel" w:cs="BookAntiqua"/>
        </w:rPr>
        <w:t>al rispetto dei principi di necessità, pertinenza e non eccedenza; il CNEL</w:t>
      </w:r>
      <w:r>
        <w:rPr>
          <w:rFonts w:ascii="Corbel" w:hAnsi="Corbel" w:cs="BookAntiqua"/>
        </w:rPr>
        <w:t xml:space="preserve"> </w:t>
      </w:r>
      <w:r w:rsidRPr="00F9673B">
        <w:rPr>
          <w:rFonts w:ascii="Corbel" w:hAnsi="Corbel" w:cs="BookAntiqua"/>
        </w:rPr>
        <w:t>definisce in anticipo il grado di anonimato e il corrispondente livello di</w:t>
      </w:r>
      <w:r>
        <w:rPr>
          <w:rFonts w:ascii="Corbel" w:hAnsi="Corbel" w:cs="BookAntiqua"/>
        </w:rPr>
        <w:t xml:space="preserve"> </w:t>
      </w:r>
      <w:r w:rsidRPr="00F9673B">
        <w:rPr>
          <w:rFonts w:ascii="Corbel" w:hAnsi="Corbel" w:cs="BookAntiqua"/>
        </w:rPr>
        <w:t>autenticazione richiesto per partecipare alla consultazione e lo rende</w:t>
      </w:r>
      <w:r>
        <w:rPr>
          <w:rFonts w:ascii="Corbel" w:hAnsi="Corbel" w:cs="BookAntiqua"/>
        </w:rPr>
        <w:t xml:space="preserve"> </w:t>
      </w:r>
      <w:r w:rsidRPr="00F9673B">
        <w:rPr>
          <w:rFonts w:ascii="Corbel" w:hAnsi="Corbel" w:cs="BookAntiqua"/>
        </w:rPr>
        <w:t>noto; l'intervallo di possibili gradi di anonimato inizia dall'autenticazione</w:t>
      </w:r>
      <w:r>
        <w:rPr>
          <w:rFonts w:ascii="Corbel" w:hAnsi="Corbel" w:cs="BookAntiqua"/>
        </w:rPr>
        <w:t xml:space="preserve"> </w:t>
      </w:r>
      <w:r w:rsidRPr="00F9673B">
        <w:rPr>
          <w:rFonts w:ascii="Corbel" w:hAnsi="Corbel" w:cs="BookAntiqua"/>
        </w:rPr>
        <w:t xml:space="preserve">con pseudonimo (solo tramite </w:t>
      </w:r>
      <w:r w:rsidRPr="00F9673B">
        <w:rPr>
          <w:rFonts w:ascii="Corbel" w:hAnsi="Corbel" w:cs="BookAntiqua,Italic"/>
          <w:i/>
          <w:iCs/>
        </w:rPr>
        <w:t>mail on line</w:t>
      </w:r>
      <w:r w:rsidRPr="00F9673B">
        <w:rPr>
          <w:rFonts w:ascii="Corbel" w:hAnsi="Corbel" w:cs="BookAntiqua"/>
        </w:rPr>
        <w:t>) fino all'autenticazione forte (ad</w:t>
      </w:r>
      <w:r>
        <w:rPr>
          <w:rFonts w:ascii="Corbel" w:hAnsi="Corbel" w:cs="BookAntiqua"/>
        </w:rPr>
        <w:t xml:space="preserve"> </w:t>
      </w:r>
      <w:r w:rsidRPr="00F9673B">
        <w:rPr>
          <w:rFonts w:ascii="Corbel" w:hAnsi="Corbel" w:cs="BookAntiqua"/>
        </w:rPr>
        <w:t xml:space="preserve">es: </w:t>
      </w:r>
      <w:r w:rsidRPr="00F9673B">
        <w:rPr>
          <w:rFonts w:ascii="Corbel" w:hAnsi="Corbel" w:cs="BookAntiqua,Italic"/>
          <w:i/>
          <w:iCs/>
        </w:rPr>
        <w:t xml:space="preserve">off line </w:t>
      </w:r>
      <w:r w:rsidRPr="00F9673B">
        <w:rPr>
          <w:rFonts w:ascii="Corbel" w:hAnsi="Corbel" w:cs="BookAntiqua"/>
        </w:rPr>
        <w:t xml:space="preserve">con documento e </w:t>
      </w:r>
      <w:r w:rsidRPr="00F9673B">
        <w:rPr>
          <w:rFonts w:ascii="Corbel" w:hAnsi="Corbel" w:cs="BookAntiqua,Italic"/>
          <w:i/>
          <w:iCs/>
        </w:rPr>
        <w:t xml:space="preserve">on line </w:t>
      </w:r>
      <w:r w:rsidRPr="00F9673B">
        <w:rPr>
          <w:rFonts w:ascii="Corbel" w:hAnsi="Corbel" w:cs="BookAntiqua"/>
        </w:rPr>
        <w:t>con SPID); il CNEL identifica, nella</w:t>
      </w:r>
      <w:r>
        <w:rPr>
          <w:rFonts w:ascii="Corbel" w:hAnsi="Corbel" w:cs="BookAntiqua"/>
        </w:rPr>
        <w:t xml:space="preserve"> </w:t>
      </w:r>
      <w:r w:rsidRPr="00F9673B">
        <w:rPr>
          <w:rFonts w:ascii="Corbel" w:hAnsi="Corbel" w:cs="BookAntiqua"/>
        </w:rPr>
        <w:t>fase di ideazione della consultazione, quali informazioni registra e</w:t>
      </w:r>
      <w:r>
        <w:rPr>
          <w:rFonts w:ascii="Corbel" w:hAnsi="Corbel" w:cs="BookAntiqua"/>
        </w:rPr>
        <w:t xml:space="preserve"> </w:t>
      </w:r>
      <w:r w:rsidRPr="00F9673B">
        <w:rPr>
          <w:rFonts w:ascii="Corbel" w:hAnsi="Corbel" w:cs="BookAntiqua"/>
        </w:rPr>
        <w:t>mantiene e per quanto tempo, anche in accordo con il grado di anonimato</w:t>
      </w:r>
      <w:r>
        <w:rPr>
          <w:rFonts w:ascii="Corbel" w:hAnsi="Corbel" w:cs="BookAntiqua"/>
        </w:rPr>
        <w:t xml:space="preserve"> </w:t>
      </w:r>
      <w:r w:rsidRPr="00F9673B">
        <w:rPr>
          <w:rFonts w:ascii="Corbel" w:hAnsi="Corbel" w:cs="BookAntiqua"/>
        </w:rPr>
        <w:t xml:space="preserve">che si richiede; il CNEL rende pubbliche le politiche di </w:t>
      </w:r>
      <w:r w:rsidRPr="00F9673B">
        <w:rPr>
          <w:rFonts w:ascii="Corbel" w:hAnsi="Corbel" w:cs="BookAntiqua,Italic"/>
          <w:i/>
          <w:iCs/>
        </w:rPr>
        <w:t xml:space="preserve">privacy </w:t>
      </w:r>
      <w:r w:rsidRPr="00F9673B">
        <w:rPr>
          <w:rFonts w:ascii="Corbel" w:hAnsi="Corbel" w:cs="BookAntiqua"/>
        </w:rPr>
        <w:t>relative ad</w:t>
      </w:r>
      <w:r>
        <w:rPr>
          <w:rFonts w:ascii="Corbel" w:hAnsi="Corbel" w:cs="BookAntiqua"/>
        </w:rPr>
        <w:t xml:space="preserve"> </w:t>
      </w:r>
      <w:r w:rsidRPr="00F9673B">
        <w:rPr>
          <w:rFonts w:ascii="Corbel" w:hAnsi="Corbel" w:cs="BookAntiqua"/>
        </w:rPr>
        <w:t>ogni modalità di coinvolgimento prevista dalla consultazione, fornendo</w:t>
      </w:r>
      <w:r>
        <w:rPr>
          <w:rFonts w:ascii="Corbel" w:hAnsi="Corbel" w:cs="BookAntiqua"/>
        </w:rPr>
        <w:t xml:space="preserve"> </w:t>
      </w:r>
      <w:r w:rsidRPr="00F9673B">
        <w:rPr>
          <w:rFonts w:ascii="Corbel" w:hAnsi="Corbel" w:cs="BookAntiqua"/>
        </w:rPr>
        <w:t>la dovuta informativa per il trattamento dei dati personali e acquisendo il</w:t>
      </w:r>
      <w:r>
        <w:rPr>
          <w:rFonts w:ascii="Corbel" w:hAnsi="Corbel" w:cs="BookAntiqua"/>
        </w:rPr>
        <w:t xml:space="preserve"> </w:t>
      </w:r>
      <w:r w:rsidRPr="00F9673B">
        <w:rPr>
          <w:rFonts w:ascii="Corbel" w:hAnsi="Corbel" w:cs="BookAntiqua"/>
        </w:rPr>
        <w:t>necessario consenso, in modo che il partecipante possa conoscere in</w:t>
      </w:r>
      <w:r>
        <w:rPr>
          <w:rFonts w:ascii="Corbel" w:hAnsi="Corbel" w:cs="BookAntiqua"/>
        </w:rPr>
        <w:t xml:space="preserve"> </w:t>
      </w:r>
      <w:r w:rsidRPr="00F9673B">
        <w:rPr>
          <w:rFonts w:ascii="Corbel" w:hAnsi="Corbel" w:cs="BookAntiqua"/>
        </w:rPr>
        <w:t>anticipo quali informazioni sono raccolte, per quanto tempo e come</w:t>
      </w:r>
      <w:r>
        <w:rPr>
          <w:rFonts w:ascii="Corbel" w:hAnsi="Corbel" w:cs="BookAntiqua"/>
        </w:rPr>
        <w:t xml:space="preserve"> </w:t>
      </w:r>
      <w:r w:rsidRPr="00F9673B">
        <w:rPr>
          <w:rFonts w:ascii="Corbel" w:hAnsi="Corbel" w:cs="BookAntiqua"/>
        </w:rPr>
        <w:t>saranno gestite ed usate; il CNEL consente ai partecipanti, ove possibile,</w:t>
      </w:r>
      <w:r>
        <w:rPr>
          <w:rFonts w:ascii="Corbel" w:hAnsi="Corbel" w:cs="BookAntiqua"/>
        </w:rPr>
        <w:t xml:space="preserve"> </w:t>
      </w:r>
      <w:r w:rsidRPr="00F9673B">
        <w:rPr>
          <w:rFonts w:ascii="Corbel" w:hAnsi="Corbel" w:cs="BookAntiqua"/>
        </w:rPr>
        <w:t>di scegliere se pubblicare i propri dati identificativi o meno nella</w:t>
      </w:r>
      <w:r>
        <w:rPr>
          <w:rFonts w:ascii="Corbel" w:hAnsi="Corbel" w:cs="BookAntiqua"/>
        </w:rPr>
        <w:t xml:space="preserve"> </w:t>
      </w:r>
      <w:r w:rsidRPr="00F9673B">
        <w:rPr>
          <w:rFonts w:ascii="Corbel" w:hAnsi="Corbel" w:cs="BookAntiqua"/>
        </w:rPr>
        <w:t>reportistica relativa alla consultazione; il CNEL evidenzia e diffonde le</w:t>
      </w:r>
      <w:r>
        <w:rPr>
          <w:rFonts w:ascii="Corbel" w:hAnsi="Corbel" w:cs="BookAntiqua"/>
        </w:rPr>
        <w:t xml:space="preserve"> </w:t>
      </w:r>
      <w:r w:rsidRPr="00F9673B">
        <w:rPr>
          <w:rFonts w:ascii="Corbel" w:hAnsi="Corbel" w:cs="BookAntiqua"/>
        </w:rPr>
        <w:t>regole di comportamento e i termini di uso per la consultazione a cui i</w:t>
      </w:r>
      <w:r>
        <w:rPr>
          <w:rFonts w:ascii="Corbel" w:hAnsi="Corbel" w:cs="BookAntiqua"/>
        </w:rPr>
        <w:t xml:space="preserve"> </w:t>
      </w:r>
      <w:r w:rsidRPr="00F9673B">
        <w:rPr>
          <w:rFonts w:ascii="Corbel" w:hAnsi="Corbel" w:cs="BookAntiqua"/>
        </w:rPr>
        <w:t>partecipanti sono soggetti (moderazione, rimozioni di contenuti non</w:t>
      </w:r>
      <w:r>
        <w:rPr>
          <w:rFonts w:ascii="Corbel" w:hAnsi="Corbel" w:cs="BookAntiqua"/>
        </w:rPr>
        <w:t xml:space="preserve"> </w:t>
      </w:r>
      <w:r w:rsidRPr="00F9673B">
        <w:rPr>
          <w:rFonts w:ascii="Corbel" w:hAnsi="Corbel" w:cs="BookAntiqua"/>
        </w:rPr>
        <w:t>appropriati, rimozioni di violazioni dei diritti di terzi, etc).</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6. IMPARZIALITÀ</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La consultazione pubblica deve essere progettata e realizzata garantendo</w:t>
      </w:r>
      <w:r>
        <w:rPr>
          <w:rFonts w:ascii="Corbel" w:hAnsi="Corbel" w:cs="BookAntiqua"/>
        </w:rPr>
        <w:t xml:space="preserve"> </w:t>
      </w:r>
      <w:r w:rsidRPr="00F9673B">
        <w:rPr>
          <w:rFonts w:ascii="Corbel" w:hAnsi="Corbel" w:cs="BookAntiqua"/>
        </w:rPr>
        <w:t>l'imparzialità del processo in modo tale da perseguire l'interesse generale.</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Il CNEL deve essere guidato esclusivamente da interessi espliciti e</w:t>
      </w:r>
      <w:r>
        <w:rPr>
          <w:rFonts w:ascii="Corbel" w:hAnsi="Corbel" w:cs="BookAntiqua"/>
        </w:rPr>
        <w:t xml:space="preserve"> </w:t>
      </w:r>
      <w:r w:rsidRPr="00F9673B">
        <w:rPr>
          <w:rFonts w:ascii="Corbel" w:hAnsi="Corbel" w:cs="BookAntiqua"/>
        </w:rPr>
        <w:t>dichiarati durante l'intero processo di consultazione; a tal fine può dotarsi</w:t>
      </w:r>
      <w:r>
        <w:rPr>
          <w:rFonts w:ascii="Corbel" w:hAnsi="Corbel" w:cs="BookAntiqua"/>
        </w:rPr>
        <w:t xml:space="preserve"> </w:t>
      </w:r>
      <w:r w:rsidRPr="00F9673B">
        <w:rPr>
          <w:rFonts w:ascii="Corbel" w:hAnsi="Corbel" w:cs="BookAntiqua"/>
        </w:rPr>
        <w:t>di figure di garanzia interne, o coinvolgere soggetti terzi indipendenti, in</w:t>
      </w:r>
      <w:r>
        <w:rPr>
          <w:rFonts w:ascii="Corbel" w:hAnsi="Corbel" w:cs="BookAntiqua"/>
        </w:rPr>
        <w:t xml:space="preserve"> </w:t>
      </w:r>
      <w:r w:rsidRPr="00F9673B">
        <w:rPr>
          <w:rFonts w:ascii="Corbel" w:hAnsi="Corbel" w:cs="BookAntiqua"/>
        </w:rPr>
        <w:t>grado di monitorare l'imparzialità del processo consultivo; la platea dei</w:t>
      </w:r>
      <w:r>
        <w:rPr>
          <w:rFonts w:ascii="Corbel" w:hAnsi="Corbel" w:cs="BookAntiqua"/>
        </w:rPr>
        <w:t xml:space="preserve"> </w:t>
      </w:r>
      <w:r w:rsidRPr="00F9673B">
        <w:rPr>
          <w:rFonts w:ascii="Corbel" w:hAnsi="Corbel" w:cs="BookAntiqua"/>
        </w:rPr>
        <w:t>soggetti chiamati a partecipare alla consultazione deve comprendere tutti</w:t>
      </w:r>
      <w:r>
        <w:rPr>
          <w:rFonts w:ascii="Corbel" w:hAnsi="Corbel" w:cs="BookAntiqua"/>
        </w:rPr>
        <w:t xml:space="preserve"> </w:t>
      </w:r>
      <w:r w:rsidRPr="00F9673B">
        <w:rPr>
          <w:rFonts w:ascii="Corbel" w:hAnsi="Corbel" w:cs="BookAntiqua"/>
        </w:rPr>
        <w:t>potenziali interessati alla materia oggetto di consultazione, sia quelli</w:t>
      </w:r>
      <w:r>
        <w:rPr>
          <w:rFonts w:ascii="Corbel" w:hAnsi="Corbel" w:cs="BookAntiqua"/>
        </w:rPr>
        <w:t xml:space="preserve"> </w:t>
      </w:r>
      <w:r w:rsidRPr="00F9673B">
        <w:rPr>
          <w:rFonts w:ascii="Corbel" w:hAnsi="Corbel" w:cs="BookAntiqua"/>
        </w:rPr>
        <w:t>interessati direttamente che indirettamente dalla decisione pubblica; i</w:t>
      </w:r>
      <w:r>
        <w:rPr>
          <w:rFonts w:ascii="Corbel" w:hAnsi="Corbel" w:cs="BookAntiqua"/>
        </w:rPr>
        <w:t xml:space="preserve"> </w:t>
      </w:r>
      <w:r w:rsidRPr="00F9673B">
        <w:rPr>
          <w:rFonts w:ascii="Corbel" w:hAnsi="Corbel" w:cs="BookAntiqua"/>
        </w:rPr>
        <w:t>quesiti sono formulati in una modalità neutra tale da non condizionare i</w:t>
      </w:r>
      <w:r>
        <w:rPr>
          <w:rFonts w:ascii="Corbel" w:hAnsi="Corbel" w:cs="BookAntiqua"/>
        </w:rPr>
        <w:t xml:space="preserve"> </w:t>
      </w:r>
      <w:r w:rsidRPr="00F9673B">
        <w:rPr>
          <w:rFonts w:ascii="Corbel" w:hAnsi="Corbel" w:cs="BookAntiqua"/>
        </w:rPr>
        <w:t>giudizi verso un esito predeterminato; l'analisi dei dati e delle</w:t>
      </w:r>
      <w:r>
        <w:rPr>
          <w:rFonts w:ascii="Corbel" w:hAnsi="Corbel" w:cs="BookAntiqua"/>
        </w:rPr>
        <w:t xml:space="preserve"> </w:t>
      </w:r>
      <w:r w:rsidRPr="00F9673B">
        <w:rPr>
          <w:rFonts w:ascii="Corbel" w:hAnsi="Corbel" w:cs="BookAntiqua"/>
        </w:rPr>
        <w:t>informazioni reperite attraverso la consultazione deve essere effettuata in</w:t>
      </w:r>
      <w:r>
        <w:rPr>
          <w:rFonts w:ascii="Corbel" w:hAnsi="Corbel" w:cs="BookAntiqua"/>
        </w:rPr>
        <w:t xml:space="preserve"> </w:t>
      </w:r>
      <w:r w:rsidRPr="00F9673B">
        <w:rPr>
          <w:rFonts w:ascii="Corbel" w:hAnsi="Corbel" w:cs="BookAntiqua"/>
        </w:rPr>
        <w:t>modo neutro, completo e trasparente.</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7. INCLUSIONE</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Il CNEL deve garantire che la partecipazione al processo di consultazione</w:t>
      </w:r>
      <w:r>
        <w:rPr>
          <w:rFonts w:ascii="Corbel" w:hAnsi="Corbel" w:cs="BookAntiqua"/>
        </w:rPr>
        <w:t xml:space="preserve"> </w:t>
      </w:r>
      <w:r w:rsidRPr="00F9673B">
        <w:rPr>
          <w:rFonts w:ascii="Corbel" w:hAnsi="Corbel" w:cs="BookAntiqua"/>
        </w:rPr>
        <w:t>sia il più possibile accessibile, inclusiva e aperta, assicurando uguale</w:t>
      </w:r>
      <w:r>
        <w:rPr>
          <w:rFonts w:ascii="Corbel" w:hAnsi="Corbel" w:cs="BookAntiqua"/>
        </w:rPr>
        <w:t xml:space="preserve"> </w:t>
      </w:r>
      <w:r w:rsidRPr="00F9673B">
        <w:rPr>
          <w:rFonts w:ascii="Corbel" w:hAnsi="Corbel" w:cs="BookAntiqua"/>
        </w:rPr>
        <w:t>possibilità di partecipare a tutte le persone interessate.</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Il CNEL, in funzione della portata della consultazione, accoglie i bisogni</w:t>
      </w:r>
      <w:r>
        <w:rPr>
          <w:rFonts w:ascii="Corbel" w:hAnsi="Corbel" w:cs="BookAntiqua"/>
        </w:rPr>
        <w:t xml:space="preserve"> </w:t>
      </w:r>
      <w:r w:rsidRPr="00F9673B">
        <w:rPr>
          <w:rFonts w:ascii="Corbel" w:hAnsi="Corbel" w:cs="BookAntiqua"/>
        </w:rPr>
        <w:t>di tutte le categorie dei potenziali interessati e prevede le opportune</w:t>
      </w:r>
      <w:r>
        <w:rPr>
          <w:rFonts w:ascii="Corbel" w:hAnsi="Corbel" w:cs="BookAntiqua"/>
        </w:rPr>
        <w:t xml:space="preserve"> </w:t>
      </w:r>
      <w:r w:rsidRPr="00F9673B">
        <w:rPr>
          <w:rFonts w:ascii="Corbel" w:hAnsi="Corbel" w:cs="BookAntiqua"/>
        </w:rPr>
        <w:t>misure per permettere la loro partecipazione, riconoscendo il valore</w:t>
      </w:r>
      <w:r>
        <w:rPr>
          <w:rFonts w:ascii="Corbel" w:hAnsi="Corbel" w:cs="BookAntiqua"/>
        </w:rPr>
        <w:t xml:space="preserve"> </w:t>
      </w:r>
      <w:r w:rsidRPr="00F9673B">
        <w:rPr>
          <w:rFonts w:ascii="Corbel" w:hAnsi="Corbel" w:cs="BookAntiqua"/>
        </w:rPr>
        <w:t>intrinseco di ciascun contributo; la scelta degli strumenti da usare per</w:t>
      </w:r>
      <w:r>
        <w:rPr>
          <w:rFonts w:ascii="Corbel" w:hAnsi="Corbel" w:cs="BookAntiqua"/>
        </w:rPr>
        <w:t xml:space="preserve"> </w:t>
      </w:r>
      <w:r w:rsidRPr="00F9673B">
        <w:rPr>
          <w:rFonts w:ascii="Corbel" w:hAnsi="Corbel" w:cs="BookAntiqua"/>
        </w:rPr>
        <w:t>realizzare la consultazione non deve pregiudicare la partecipazione di</w:t>
      </w:r>
      <w:r>
        <w:rPr>
          <w:rFonts w:ascii="Corbel" w:hAnsi="Corbel" w:cs="BookAntiqua"/>
        </w:rPr>
        <w:t xml:space="preserve"> </w:t>
      </w:r>
      <w:r w:rsidRPr="00F9673B">
        <w:rPr>
          <w:rFonts w:ascii="Corbel" w:hAnsi="Corbel" w:cs="BookAntiqua"/>
        </w:rPr>
        <w:t>nessuno dei soggetti interessati, per motivi logistici, tecnologici, di</w:t>
      </w:r>
      <w:r>
        <w:rPr>
          <w:rFonts w:ascii="Corbel" w:hAnsi="Corbel" w:cs="BookAntiqua"/>
        </w:rPr>
        <w:t xml:space="preserve"> </w:t>
      </w:r>
      <w:r w:rsidRPr="00F9673B">
        <w:rPr>
          <w:rFonts w:ascii="Corbel" w:hAnsi="Corbel" w:cs="BookAntiqua"/>
        </w:rPr>
        <w:lastRenderedPageBreak/>
        <w:t>sicurezza, socio economico, culturali, religiosi e di genere; il grado di</w:t>
      </w:r>
      <w:r>
        <w:rPr>
          <w:rFonts w:ascii="Corbel" w:hAnsi="Corbel" w:cs="BookAntiqua"/>
        </w:rPr>
        <w:t xml:space="preserve"> </w:t>
      </w:r>
      <w:r w:rsidRPr="00F9673B">
        <w:rPr>
          <w:rFonts w:ascii="Corbel" w:hAnsi="Corbel" w:cs="BookAntiqua"/>
        </w:rPr>
        <w:t>anonimato (che può variare da una identificazione forte fino</w:t>
      </w:r>
      <w:r>
        <w:rPr>
          <w:rFonts w:ascii="Corbel" w:hAnsi="Corbel" w:cs="BookAntiqua"/>
        </w:rPr>
        <w:t xml:space="preserve"> </w:t>
      </w:r>
      <w:r w:rsidRPr="00F9673B">
        <w:rPr>
          <w:rFonts w:ascii="Corbel" w:hAnsi="Corbel" w:cs="BookAntiqua"/>
        </w:rPr>
        <w:t xml:space="preserve">all'anonimato tramite pseudonimo), soprattutto nelle modalità </w:t>
      </w:r>
      <w:r w:rsidRPr="00F9673B">
        <w:rPr>
          <w:rFonts w:ascii="Corbel" w:hAnsi="Corbel" w:cs="BookAntiqua,Italic"/>
          <w:i/>
          <w:iCs/>
        </w:rPr>
        <w:t>on line</w:t>
      </w:r>
      <w:r w:rsidRPr="00F9673B">
        <w:rPr>
          <w:rFonts w:ascii="Corbel" w:hAnsi="Corbel" w:cs="BookAntiqua"/>
        </w:rPr>
        <w:t>,</w:t>
      </w:r>
      <w:r>
        <w:rPr>
          <w:rFonts w:ascii="Corbel" w:hAnsi="Corbel" w:cs="BookAntiqua"/>
        </w:rPr>
        <w:t xml:space="preserve"> </w:t>
      </w:r>
      <w:r w:rsidRPr="00F9673B">
        <w:rPr>
          <w:rFonts w:ascii="Corbel" w:hAnsi="Corbel" w:cs="BookAntiqua"/>
        </w:rPr>
        <w:t>deve essere scelto in modo da non pregiudicare la partecipazione di tutti;</w:t>
      </w:r>
      <w:r>
        <w:rPr>
          <w:rFonts w:ascii="Corbel" w:hAnsi="Corbel" w:cs="BookAntiqua"/>
        </w:rPr>
        <w:t xml:space="preserve"> </w:t>
      </w:r>
      <w:r w:rsidRPr="00F9673B">
        <w:rPr>
          <w:rFonts w:ascii="Corbel" w:hAnsi="Corbel" w:cs="BookAntiqua"/>
        </w:rPr>
        <w:t>a seconda dell'ampiezza e della tipologia della platea dei potenziali</w:t>
      </w:r>
      <w:r>
        <w:rPr>
          <w:rFonts w:ascii="Corbel" w:hAnsi="Corbel" w:cs="BookAntiqua"/>
        </w:rPr>
        <w:t xml:space="preserve"> </w:t>
      </w:r>
      <w:r w:rsidRPr="00F9673B">
        <w:rPr>
          <w:rFonts w:ascii="Corbel" w:hAnsi="Corbel" w:cs="BookAntiqua"/>
        </w:rPr>
        <w:t>interessati, il CNEL può prevedere diversi canali di accesso alla</w:t>
      </w:r>
      <w:r>
        <w:rPr>
          <w:rFonts w:ascii="Corbel" w:hAnsi="Corbel" w:cs="BookAntiqua"/>
        </w:rPr>
        <w:t xml:space="preserve"> </w:t>
      </w:r>
      <w:r w:rsidRPr="00F9673B">
        <w:rPr>
          <w:rFonts w:ascii="Corbel" w:hAnsi="Corbel" w:cs="BookAntiqua"/>
        </w:rPr>
        <w:t>consultazione e diverse fasi di consultazione, ciascuna adatta ai bisogni</w:t>
      </w:r>
      <w:r>
        <w:rPr>
          <w:rFonts w:ascii="Corbel" w:hAnsi="Corbel" w:cs="BookAntiqua"/>
        </w:rPr>
        <w:t xml:space="preserve"> </w:t>
      </w:r>
      <w:r w:rsidRPr="00F9673B">
        <w:rPr>
          <w:rFonts w:ascii="Corbel" w:hAnsi="Corbel" w:cs="BookAntiqua"/>
        </w:rPr>
        <w:t>delle varie categorie dei soggetti coinvolti; la consultazione può fare</w:t>
      </w:r>
      <w:r>
        <w:rPr>
          <w:rFonts w:ascii="Corbel" w:hAnsi="Corbel" w:cs="BookAntiqua"/>
        </w:rPr>
        <w:t xml:space="preserve"> </w:t>
      </w:r>
      <w:r w:rsidRPr="00F9673B">
        <w:rPr>
          <w:rFonts w:ascii="Corbel" w:hAnsi="Corbel" w:cs="BookAntiqua"/>
        </w:rPr>
        <w:t xml:space="preserve">ricorso a soluzioni tecnologiche e a una combinazione di modalità </w:t>
      </w:r>
      <w:r w:rsidRPr="00F9673B">
        <w:rPr>
          <w:rFonts w:ascii="Corbel" w:hAnsi="Corbel" w:cs="BookAntiqua,Italic"/>
          <w:i/>
          <w:iCs/>
        </w:rPr>
        <w:t>on line</w:t>
      </w:r>
      <w:r>
        <w:rPr>
          <w:rFonts w:ascii="Corbel" w:hAnsi="Corbel" w:cs="BookAntiqua,Italic"/>
          <w:i/>
          <w:iCs/>
        </w:rPr>
        <w:t xml:space="preserve"> </w:t>
      </w:r>
      <w:r w:rsidRPr="00F9673B">
        <w:rPr>
          <w:rFonts w:ascii="Corbel" w:hAnsi="Corbel" w:cs="BookAntiqua"/>
        </w:rPr>
        <w:t xml:space="preserve">e </w:t>
      </w:r>
      <w:r w:rsidRPr="00F9673B">
        <w:rPr>
          <w:rFonts w:ascii="Corbel" w:hAnsi="Corbel" w:cs="BookAntiqua,Italic"/>
          <w:i/>
          <w:iCs/>
        </w:rPr>
        <w:t xml:space="preserve">off line </w:t>
      </w:r>
      <w:r w:rsidRPr="00F9673B">
        <w:rPr>
          <w:rFonts w:ascii="Corbel" w:hAnsi="Corbel" w:cs="BookAntiqua"/>
        </w:rPr>
        <w:t>per permettere l'accesso a tutte le categorie di utenti, senza che</w:t>
      </w:r>
      <w:r>
        <w:rPr>
          <w:rFonts w:ascii="Corbel" w:hAnsi="Corbel" w:cs="BookAntiqua"/>
        </w:rPr>
        <w:t xml:space="preserve"> </w:t>
      </w:r>
      <w:r w:rsidRPr="00F9673B">
        <w:rPr>
          <w:rFonts w:ascii="Corbel" w:hAnsi="Corbel" w:cs="BookAntiqua"/>
        </w:rPr>
        <w:t>pregiudizi siano arrecati da condizioni sociali, livello di istruzione,</w:t>
      </w:r>
      <w:r>
        <w:rPr>
          <w:rFonts w:ascii="Corbel" w:hAnsi="Corbel" w:cs="BookAntiqua"/>
        </w:rPr>
        <w:t xml:space="preserve"> </w:t>
      </w:r>
      <w:r w:rsidRPr="00F9673B">
        <w:rPr>
          <w:rFonts w:ascii="Corbel" w:hAnsi="Corbel" w:cs="BookAntiqua"/>
        </w:rPr>
        <w:t>genere, età e salute.</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8. TEMPESTIVITÀ</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La consultazione, in quanto parte di un processo decisionale più ampio,</w:t>
      </w:r>
      <w:r>
        <w:rPr>
          <w:rFonts w:ascii="Corbel" w:hAnsi="Corbel" w:cs="BookAntiqua"/>
        </w:rPr>
        <w:t xml:space="preserve"> </w:t>
      </w:r>
      <w:r w:rsidRPr="00F9673B">
        <w:rPr>
          <w:rFonts w:ascii="Corbel" w:hAnsi="Corbel" w:cs="BookAntiqua"/>
        </w:rPr>
        <w:t>deve dare ai partecipanti la possibilità effettiva di concorrere a</w:t>
      </w:r>
      <w:r>
        <w:rPr>
          <w:rFonts w:ascii="Corbel" w:hAnsi="Corbel" w:cs="BookAntiqua"/>
        </w:rPr>
        <w:t xml:space="preserve"> </w:t>
      </w:r>
      <w:r w:rsidRPr="00F9673B">
        <w:rPr>
          <w:rFonts w:ascii="Corbel" w:hAnsi="Corbel" w:cs="BookAntiqua"/>
        </w:rPr>
        <w:t>determinare la decisione finale; pertanto deve essere condotta nelle fasi in</w:t>
      </w:r>
      <w:r>
        <w:rPr>
          <w:rFonts w:ascii="Corbel" w:hAnsi="Corbel" w:cs="BookAntiqua"/>
        </w:rPr>
        <w:t xml:space="preserve"> </w:t>
      </w:r>
      <w:r w:rsidRPr="00F9673B">
        <w:rPr>
          <w:rFonts w:ascii="Corbel" w:hAnsi="Corbel" w:cs="BookAntiqua"/>
        </w:rPr>
        <w:t>cui i differenti punti di vista siano ancora in discussione e sussistano le</w:t>
      </w:r>
      <w:r>
        <w:rPr>
          <w:rFonts w:ascii="Corbel" w:hAnsi="Corbel" w:cs="BookAntiqua"/>
        </w:rPr>
        <w:t xml:space="preserve"> </w:t>
      </w:r>
      <w:r w:rsidRPr="00F9673B">
        <w:rPr>
          <w:rFonts w:ascii="Corbel" w:hAnsi="Corbel" w:cs="BookAntiqua"/>
        </w:rPr>
        <w:t>condizioni per cui diversi approcci alla materia in oggetto possano essere</w:t>
      </w:r>
      <w:r>
        <w:rPr>
          <w:rFonts w:ascii="Corbel" w:hAnsi="Corbel" w:cs="BookAntiqua"/>
        </w:rPr>
        <w:t xml:space="preserve"> </w:t>
      </w:r>
      <w:r w:rsidRPr="00F9673B">
        <w:rPr>
          <w:rFonts w:ascii="Corbel" w:hAnsi="Corbel" w:cs="BookAntiqua"/>
        </w:rPr>
        <w:t>presi in considerazione.</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Il CNEL fissa in anticipo l'orizzonte temporale relativo al processo di</w:t>
      </w:r>
      <w:r>
        <w:rPr>
          <w:rFonts w:ascii="Corbel" w:hAnsi="Corbel" w:cs="BookAntiqua"/>
        </w:rPr>
        <w:t xml:space="preserve"> </w:t>
      </w:r>
      <w:r w:rsidRPr="00F9673B">
        <w:rPr>
          <w:rFonts w:ascii="Corbel" w:hAnsi="Corbel" w:cs="BookAntiqua"/>
        </w:rPr>
        <w:t>consultazione e lo rende noto alle parti sociali rappresentate al CNEL, alle</w:t>
      </w:r>
      <w:r>
        <w:rPr>
          <w:rFonts w:ascii="Corbel" w:hAnsi="Corbel" w:cs="BookAntiqua"/>
        </w:rPr>
        <w:t xml:space="preserve"> </w:t>
      </w:r>
      <w:r w:rsidRPr="00F9673B">
        <w:rPr>
          <w:rFonts w:ascii="Corbel" w:hAnsi="Corbel" w:cs="BookAntiqua"/>
        </w:rPr>
        <w:t>associazioni di consumatori e ai cittadini per tempo attraverso tutti i</w:t>
      </w:r>
      <w:r>
        <w:rPr>
          <w:rFonts w:ascii="Corbel" w:hAnsi="Corbel" w:cs="BookAntiqua"/>
        </w:rPr>
        <w:t xml:space="preserve"> </w:t>
      </w:r>
      <w:r w:rsidRPr="00F9673B">
        <w:rPr>
          <w:rFonts w:ascii="Corbel" w:hAnsi="Corbel" w:cs="BookAntiqua"/>
        </w:rPr>
        <w:t>canali a sua disposizione (</w:t>
      </w:r>
      <w:r w:rsidRPr="00F9673B">
        <w:rPr>
          <w:rFonts w:ascii="Corbel" w:hAnsi="Corbel" w:cs="BookAntiqua,Italic"/>
          <w:i/>
          <w:iCs/>
        </w:rPr>
        <w:t>emai</w:t>
      </w:r>
      <w:r w:rsidRPr="00F9673B">
        <w:rPr>
          <w:rFonts w:ascii="Corbel" w:hAnsi="Corbel" w:cs="BookAntiqua"/>
        </w:rPr>
        <w:t xml:space="preserve">l, </w:t>
      </w:r>
      <w:r w:rsidRPr="00F9673B">
        <w:rPr>
          <w:rFonts w:ascii="Corbel" w:hAnsi="Corbel" w:cs="BookAntiqua,Italic"/>
          <w:i/>
          <w:iCs/>
        </w:rPr>
        <w:t>social media</w:t>
      </w:r>
      <w:r w:rsidRPr="00F9673B">
        <w:rPr>
          <w:rFonts w:ascii="Corbel" w:hAnsi="Corbel" w:cs="BookAntiqua"/>
        </w:rPr>
        <w:t>, annunci, lettere di invito,</w:t>
      </w:r>
      <w:r>
        <w:rPr>
          <w:rFonts w:ascii="Corbel" w:hAnsi="Corbel" w:cs="BookAntiqua"/>
        </w:rPr>
        <w:t xml:space="preserve"> </w:t>
      </w:r>
      <w:r w:rsidRPr="00F9673B">
        <w:rPr>
          <w:rFonts w:ascii="Corbel" w:hAnsi="Corbel" w:cs="BookAntiqua"/>
        </w:rPr>
        <w:t>etc.); il CNEL assicura ed incentiva un periodo di dibattito e analisi dei</w:t>
      </w:r>
      <w:r>
        <w:rPr>
          <w:rFonts w:ascii="Corbel" w:hAnsi="Corbel" w:cs="BookAntiqua"/>
        </w:rPr>
        <w:t xml:space="preserve"> </w:t>
      </w:r>
      <w:r w:rsidRPr="00F9673B">
        <w:rPr>
          <w:rFonts w:ascii="Corbel" w:hAnsi="Corbel" w:cs="BookAntiqua"/>
        </w:rPr>
        <w:t>vari punti di vista tra gli interessati, che può svolgersi con l'intervento</w:t>
      </w:r>
      <w:r>
        <w:rPr>
          <w:rFonts w:ascii="Corbel" w:hAnsi="Corbel" w:cs="BookAntiqua"/>
        </w:rPr>
        <w:t xml:space="preserve"> </w:t>
      </w:r>
      <w:r w:rsidRPr="00F9673B">
        <w:rPr>
          <w:rFonts w:ascii="Corbel" w:hAnsi="Corbel" w:cs="BookAntiqua"/>
        </w:rPr>
        <w:t>attivo del CNEL o del tutto indipendentemente da esso, nella fase</w:t>
      </w:r>
      <w:r>
        <w:rPr>
          <w:rFonts w:ascii="Corbel" w:hAnsi="Corbel" w:cs="BookAntiqua"/>
        </w:rPr>
        <w:t xml:space="preserve"> </w:t>
      </w:r>
      <w:r w:rsidRPr="00F9673B">
        <w:rPr>
          <w:rFonts w:ascii="Corbel" w:hAnsi="Corbel" w:cs="BookAntiqua"/>
        </w:rPr>
        <w:t>antecedente la consultazione vera e propria; la durata di questo dibattito</w:t>
      </w:r>
      <w:r>
        <w:rPr>
          <w:rFonts w:ascii="Corbel" w:hAnsi="Corbel" w:cs="BookAntiqua"/>
        </w:rPr>
        <w:t xml:space="preserve"> </w:t>
      </w:r>
      <w:r w:rsidRPr="00F9673B">
        <w:rPr>
          <w:rFonts w:ascii="Corbel" w:hAnsi="Corbel" w:cs="BookAntiqua"/>
        </w:rPr>
        <w:t>mira ad assicurare un periodo di pubblicità che sia adeguato al numero</w:t>
      </w:r>
    </w:p>
    <w:p w:rsidR="00F9673B" w:rsidRPr="00F9673B" w:rsidRDefault="00F9673B" w:rsidP="00F9673B">
      <w:pPr>
        <w:autoSpaceDE w:val="0"/>
        <w:autoSpaceDN w:val="0"/>
        <w:adjustRightInd w:val="0"/>
        <w:spacing w:after="0" w:line="20" w:lineRule="atLeast"/>
        <w:jc w:val="both"/>
        <w:rPr>
          <w:rFonts w:ascii="Corbel" w:hAnsi="Corbel" w:cs="BookAntiqua"/>
        </w:rPr>
      </w:pPr>
      <w:proofErr w:type="gramStart"/>
      <w:r w:rsidRPr="00F9673B">
        <w:rPr>
          <w:rFonts w:ascii="Corbel" w:hAnsi="Corbel" w:cs="BookAntiqua"/>
        </w:rPr>
        <w:t>dei</w:t>
      </w:r>
      <w:proofErr w:type="gramEnd"/>
      <w:r w:rsidRPr="00F9673B">
        <w:rPr>
          <w:rFonts w:ascii="Corbel" w:hAnsi="Corbel" w:cs="BookAntiqua"/>
        </w:rPr>
        <w:t xml:space="preserve"> destinatari ed all'oggetto della consultazione; il CNEL pianifica una</w:t>
      </w:r>
      <w:r>
        <w:rPr>
          <w:rFonts w:ascii="Corbel" w:hAnsi="Corbel" w:cs="BookAntiqua"/>
        </w:rPr>
        <w:t xml:space="preserve"> </w:t>
      </w:r>
      <w:r w:rsidRPr="00F9673B">
        <w:rPr>
          <w:rFonts w:ascii="Corbel" w:hAnsi="Corbel" w:cs="BookAntiqua"/>
        </w:rPr>
        <w:t>durata adeguata per il processo consultivo e prevede, per la</w:t>
      </w:r>
      <w:r>
        <w:rPr>
          <w:rFonts w:ascii="Corbel" w:hAnsi="Corbel" w:cs="BookAntiqua"/>
        </w:rPr>
        <w:t xml:space="preserve"> </w:t>
      </w:r>
      <w:r w:rsidRPr="00F9673B">
        <w:rPr>
          <w:rFonts w:ascii="Corbel" w:hAnsi="Corbel" w:cs="BookAntiqua"/>
        </w:rPr>
        <w:t>consultazione vera e propria, un periodo possibilmente compreso tra le 8</w:t>
      </w:r>
      <w:r>
        <w:rPr>
          <w:rFonts w:ascii="Corbel" w:hAnsi="Corbel" w:cs="BookAntiqua"/>
        </w:rPr>
        <w:t xml:space="preserve"> </w:t>
      </w:r>
      <w:r w:rsidRPr="00F9673B">
        <w:rPr>
          <w:rFonts w:ascii="Corbel" w:hAnsi="Corbel" w:cs="BookAntiqua"/>
        </w:rPr>
        <w:t>e le 12 settimane.</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9. ORIENTAMENTO AL CITTADINO</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La consultazione richiede ai soggetti chiamati a partecipare un onere in</w:t>
      </w:r>
      <w:r>
        <w:rPr>
          <w:rFonts w:ascii="Corbel" w:hAnsi="Corbel" w:cs="BookAntiqua"/>
        </w:rPr>
        <w:t xml:space="preserve"> </w:t>
      </w:r>
      <w:r w:rsidRPr="00F9673B">
        <w:rPr>
          <w:rFonts w:ascii="Corbel" w:hAnsi="Corbel" w:cs="BookAntiqua"/>
        </w:rPr>
        <w:t>termini di tempo e risorse e, pertanto, deve essere organizzata in modo</w:t>
      </w:r>
      <w:r>
        <w:rPr>
          <w:rFonts w:ascii="Corbel" w:hAnsi="Corbel" w:cs="BookAntiqua"/>
        </w:rPr>
        <w:t xml:space="preserve"> </w:t>
      </w:r>
      <w:r w:rsidRPr="00F9673B">
        <w:rPr>
          <w:rFonts w:ascii="Corbel" w:hAnsi="Corbel" w:cs="BookAntiqua"/>
        </w:rPr>
        <w:t>da rendere tollerabile questo impegno e facilitare la partecipazione.</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Il CNEL prevede, in funzione dell'impegno temporale richiesto per</w:t>
      </w:r>
      <w:r>
        <w:rPr>
          <w:rFonts w:ascii="Corbel" w:hAnsi="Corbel" w:cs="BookAntiqua"/>
        </w:rPr>
        <w:t xml:space="preserve"> </w:t>
      </w:r>
      <w:r w:rsidRPr="00F9673B">
        <w:rPr>
          <w:rFonts w:ascii="Corbel" w:hAnsi="Corbel" w:cs="BookAntiqua"/>
        </w:rPr>
        <w:t>partecipare, forme di facilitazione (es. salvataggi intermedi, stampe degli</w:t>
      </w:r>
      <w:r>
        <w:rPr>
          <w:rFonts w:ascii="Corbel" w:hAnsi="Corbel" w:cs="BookAntiqua"/>
        </w:rPr>
        <w:t xml:space="preserve"> </w:t>
      </w:r>
      <w:r w:rsidRPr="00F9673B">
        <w:rPr>
          <w:rFonts w:ascii="Corbel" w:hAnsi="Corbel" w:cs="BookAntiqua"/>
        </w:rPr>
        <w:t>elaborati, etc.) orari e sedi che permettano all'utente di conciliare la</w:t>
      </w:r>
      <w:r>
        <w:rPr>
          <w:rFonts w:ascii="Corbel" w:hAnsi="Corbel" w:cs="BookAntiqua"/>
        </w:rPr>
        <w:t xml:space="preserve"> </w:t>
      </w:r>
      <w:r w:rsidRPr="00F9673B">
        <w:rPr>
          <w:rFonts w:ascii="Corbel" w:hAnsi="Corbel" w:cs="BookAntiqua"/>
        </w:rPr>
        <w:t>partecipazione con le proprie esigenze di vita e lavoro; il CNEL evita di</w:t>
      </w:r>
      <w:r>
        <w:rPr>
          <w:rFonts w:ascii="Corbel" w:hAnsi="Corbel" w:cs="BookAntiqua"/>
        </w:rPr>
        <w:t xml:space="preserve"> </w:t>
      </w:r>
      <w:r w:rsidRPr="00F9673B">
        <w:rPr>
          <w:rFonts w:ascii="Corbel" w:hAnsi="Corbel" w:cs="BookAntiqua"/>
        </w:rPr>
        <w:t>far coincidere il periodo di consultazione esclusivamente con i periodi</w:t>
      </w:r>
      <w:r>
        <w:rPr>
          <w:rFonts w:ascii="Corbel" w:hAnsi="Corbel" w:cs="BookAntiqua"/>
        </w:rPr>
        <w:t xml:space="preserve"> </w:t>
      </w:r>
      <w:r w:rsidRPr="00F9673B">
        <w:rPr>
          <w:rFonts w:ascii="Corbel" w:hAnsi="Corbel" w:cs="BookAntiqua"/>
        </w:rPr>
        <w:t>dell'anno come quelli festivi o estivi e di avviare iniziative di</w:t>
      </w:r>
      <w:r>
        <w:rPr>
          <w:rFonts w:ascii="Corbel" w:hAnsi="Corbel" w:cs="BookAntiqua"/>
        </w:rPr>
        <w:t xml:space="preserve"> </w:t>
      </w:r>
      <w:r w:rsidRPr="00F9673B">
        <w:rPr>
          <w:rFonts w:ascii="Corbel" w:hAnsi="Corbel" w:cs="BookAntiqua"/>
        </w:rPr>
        <w:t>consultazione su questioni irrilevanti; il CNEL favorisce il coordinamento</w:t>
      </w:r>
      <w:r>
        <w:rPr>
          <w:rFonts w:ascii="Corbel" w:hAnsi="Corbel" w:cs="BookAntiqua"/>
        </w:rPr>
        <w:t xml:space="preserve"> </w:t>
      </w:r>
      <w:r w:rsidRPr="00F9673B">
        <w:rPr>
          <w:rFonts w:ascii="Corbel" w:hAnsi="Corbel" w:cs="BookAntiqua"/>
        </w:rPr>
        <w:t>con le altre istituzioni, al fine di evitare sovrapposizioni di iniziative di</w:t>
      </w:r>
      <w:r>
        <w:rPr>
          <w:rFonts w:ascii="Corbel" w:hAnsi="Corbel" w:cs="BookAntiqua"/>
        </w:rPr>
        <w:t xml:space="preserve"> </w:t>
      </w:r>
      <w:r w:rsidRPr="00F9673B">
        <w:rPr>
          <w:rFonts w:ascii="Corbel" w:hAnsi="Corbel" w:cs="BookAntiqua"/>
        </w:rPr>
        <w:t>consultazione che si rivolgono alla stessa platea di soggetti; il CNEL può</w:t>
      </w:r>
      <w:r>
        <w:rPr>
          <w:rFonts w:ascii="Corbel" w:hAnsi="Corbel" w:cs="BookAntiqua"/>
        </w:rPr>
        <w:t xml:space="preserve"> </w:t>
      </w:r>
      <w:r w:rsidRPr="00F9673B">
        <w:rPr>
          <w:rFonts w:ascii="Corbel" w:hAnsi="Corbel" w:cs="BookAntiqua"/>
        </w:rPr>
        <w:t>valutare l'adozione di processi consultivi su base periodica (consultazioni</w:t>
      </w:r>
      <w:r>
        <w:rPr>
          <w:rFonts w:ascii="Corbel" w:hAnsi="Corbel" w:cs="BookAntiqua"/>
        </w:rPr>
        <w:t xml:space="preserve"> </w:t>
      </w:r>
      <w:r w:rsidRPr="00F9673B">
        <w:rPr>
          <w:rFonts w:ascii="Corbel" w:hAnsi="Corbel" w:cs="BookAntiqua"/>
        </w:rPr>
        <w:t>cicliche) nel caso di materie di vasto interesse pubblico che sono soggette</w:t>
      </w:r>
      <w:r>
        <w:rPr>
          <w:rFonts w:ascii="Corbel" w:hAnsi="Corbel" w:cs="BookAntiqua"/>
        </w:rPr>
        <w:t xml:space="preserve"> </w:t>
      </w:r>
      <w:r w:rsidRPr="00F9673B">
        <w:rPr>
          <w:rFonts w:ascii="Corbel" w:hAnsi="Corbel" w:cs="BookAntiqua"/>
        </w:rPr>
        <w:t>a frequenti processi decisionali o che prevedono il coinvolgimento stabile</w:t>
      </w:r>
      <w:r>
        <w:rPr>
          <w:rFonts w:ascii="Corbel" w:hAnsi="Corbel" w:cs="BookAntiqua"/>
        </w:rPr>
        <w:t xml:space="preserve"> </w:t>
      </w:r>
      <w:r w:rsidRPr="00F9673B">
        <w:rPr>
          <w:rFonts w:ascii="Corbel" w:hAnsi="Corbel" w:cs="BookAntiqua"/>
        </w:rPr>
        <w:t>di soggetti portatori di interesse.</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 xml:space="preserve">REGOLAMENTO PER L’UTILIZZO DELLE PIATTAFORME </w:t>
      </w:r>
      <w:r w:rsidRPr="00F9673B">
        <w:rPr>
          <w:rFonts w:ascii="Corbel" w:hAnsi="Corbel" w:cs="BookAntiqua,Italic"/>
          <w:i/>
          <w:iCs/>
        </w:rPr>
        <w:t xml:space="preserve">SOCIAL </w:t>
      </w:r>
      <w:r w:rsidRPr="00F9673B">
        <w:rPr>
          <w:rFonts w:ascii="Corbel" w:hAnsi="Corbel" w:cs="BookAntiqua"/>
        </w:rPr>
        <w:t>DEL</w:t>
      </w:r>
      <w:r>
        <w:rPr>
          <w:rFonts w:ascii="Corbel" w:hAnsi="Corbel" w:cs="BookAntiqua"/>
        </w:rPr>
        <w:t xml:space="preserve"> </w:t>
      </w:r>
      <w:r w:rsidRPr="00F9673B">
        <w:rPr>
          <w:rFonts w:ascii="Corbel" w:hAnsi="Corbel" w:cs="BookAntiqua"/>
        </w:rPr>
        <w:t>CONSIGLIO NAZIONALE DELL'ECONOMIA E DEL LAVORO</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(Determinazione del Segretario generale 18 maggio 2018, prot. n. 771)</w:t>
      </w:r>
    </w:p>
    <w:p w:rsidR="00F9673B" w:rsidRPr="00F9673B" w:rsidRDefault="00F9673B" w:rsidP="00F9673B">
      <w:pPr>
        <w:autoSpaceDE w:val="0"/>
        <w:autoSpaceDN w:val="0"/>
        <w:adjustRightInd w:val="0"/>
        <w:spacing w:after="0" w:line="20" w:lineRule="atLeast"/>
        <w:jc w:val="both"/>
        <w:rPr>
          <w:rFonts w:ascii="Corbel" w:hAnsi="Corbel" w:cs="BookAntiqua,Bold"/>
          <w:b/>
          <w:bCs/>
        </w:rPr>
      </w:pPr>
      <w:r w:rsidRPr="00F9673B">
        <w:rPr>
          <w:rFonts w:ascii="Corbel" w:hAnsi="Corbel" w:cs="BookAntiqua,Bold"/>
          <w:b/>
          <w:bCs/>
        </w:rPr>
        <w:t>Articolo 1</w:t>
      </w:r>
    </w:p>
    <w:p w:rsidR="00F9673B" w:rsidRPr="00F9673B" w:rsidRDefault="00F9673B" w:rsidP="00F9673B">
      <w:pPr>
        <w:autoSpaceDE w:val="0"/>
        <w:autoSpaceDN w:val="0"/>
        <w:adjustRightInd w:val="0"/>
        <w:spacing w:after="0" w:line="20" w:lineRule="atLeast"/>
        <w:jc w:val="both"/>
        <w:rPr>
          <w:rFonts w:ascii="Corbel" w:hAnsi="Corbel" w:cs="BookAntiqua,Italic"/>
          <w:i/>
          <w:iCs/>
        </w:rPr>
      </w:pPr>
      <w:r w:rsidRPr="00F9673B">
        <w:rPr>
          <w:rFonts w:ascii="Corbel" w:hAnsi="Corbel" w:cs="BookAntiqua,Italic"/>
          <w:i/>
          <w:iCs/>
        </w:rPr>
        <w:t>(Ambito di applicazione)</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Le prescrizioni di cui alla presente determina sono riferite in particolare</w:t>
      </w:r>
      <w:r>
        <w:rPr>
          <w:rFonts w:ascii="Corbel" w:hAnsi="Corbel" w:cs="BookAntiqua"/>
        </w:rPr>
        <w:t xml:space="preserve"> </w:t>
      </w:r>
      <w:r w:rsidRPr="00F9673B">
        <w:rPr>
          <w:rFonts w:ascii="Corbel" w:hAnsi="Corbel" w:cs="BookAntiqua"/>
        </w:rPr>
        <w:t xml:space="preserve">al </w:t>
      </w:r>
      <w:r w:rsidRPr="00F9673B">
        <w:rPr>
          <w:rFonts w:ascii="Corbel" w:hAnsi="Corbel" w:cs="BookAntiqua,Italic"/>
          <w:i/>
          <w:iCs/>
        </w:rPr>
        <w:t xml:space="preserve">Social Network Twitter </w:t>
      </w:r>
      <w:r w:rsidRPr="00F9673B">
        <w:rPr>
          <w:rFonts w:ascii="Corbel" w:hAnsi="Corbel" w:cs="BookAntiqua"/>
        </w:rPr>
        <w:t>ma sono applicabili alla generalità delle</w:t>
      </w:r>
      <w:r>
        <w:rPr>
          <w:rFonts w:ascii="Corbel" w:hAnsi="Corbel" w:cs="BookAntiqua"/>
        </w:rPr>
        <w:t xml:space="preserve"> </w:t>
      </w:r>
      <w:r w:rsidRPr="00F9673B">
        <w:rPr>
          <w:rFonts w:ascii="Corbel" w:hAnsi="Corbel" w:cs="BookAntiqua"/>
        </w:rPr>
        <w:t xml:space="preserve">piattaforme </w:t>
      </w:r>
      <w:r w:rsidRPr="00F9673B">
        <w:rPr>
          <w:rFonts w:ascii="Corbel" w:hAnsi="Corbel" w:cs="BookAntiqua,Italic"/>
          <w:i/>
          <w:iCs/>
        </w:rPr>
        <w:t xml:space="preserve">social </w:t>
      </w:r>
      <w:r w:rsidRPr="00F9673B">
        <w:rPr>
          <w:rFonts w:ascii="Corbel" w:hAnsi="Corbel" w:cs="BookAntiqua"/>
        </w:rPr>
        <w:t>per le quali il Consiglio Nazionale dell'Economia e del</w:t>
      </w:r>
      <w:r>
        <w:rPr>
          <w:rFonts w:ascii="Corbel" w:hAnsi="Corbel" w:cs="BookAntiqua"/>
        </w:rPr>
        <w:t xml:space="preserve"> </w:t>
      </w:r>
      <w:r w:rsidRPr="00F9673B">
        <w:rPr>
          <w:rFonts w:ascii="Corbel" w:hAnsi="Corbel" w:cs="BookAntiqua"/>
        </w:rPr>
        <w:t xml:space="preserve">Lavoro dispone dei relativi </w:t>
      </w:r>
      <w:r w:rsidRPr="00F9673B">
        <w:rPr>
          <w:rFonts w:ascii="Corbel" w:hAnsi="Corbel" w:cs="BookAntiqua,Italic"/>
          <w:i/>
          <w:iCs/>
        </w:rPr>
        <w:t>accounts</w:t>
      </w:r>
      <w:r w:rsidRPr="00F9673B">
        <w:rPr>
          <w:rFonts w:ascii="Corbel" w:hAnsi="Corbel" w:cs="BookAntiqua"/>
        </w:rPr>
        <w:t>. Esse costituiscono linee di indirizzo</w:t>
      </w:r>
      <w:r>
        <w:rPr>
          <w:rFonts w:ascii="Corbel" w:hAnsi="Corbel" w:cs="BookAntiqua"/>
        </w:rPr>
        <w:t xml:space="preserve"> </w:t>
      </w:r>
      <w:r w:rsidRPr="00F9673B">
        <w:rPr>
          <w:rFonts w:ascii="Corbel" w:hAnsi="Corbel" w:cs="BookAntiqua"/>
        </w:rPr>
        <w:t>fino alla definizione di specifiche unità organizzative competenti, all'esito</w:t>
      </w:r>
      <w:r>
        <w:rPr>
          <w:rFonts w:ascii="Corbel" w:hAnsi="Corbel" w:cs="BookAntiqua"/>
        </w:rPr>
        <w:t xml:space="preserve"> </w:t>
      </w:r>
      <w:r w:rsidRPr="00F9673B">
        <w:rPr>
          <w:rFonts w:ascii="Corbel" w:hAnsi="Corbel" w:cs="BookAntiqua"/>
        </w:rPr>
        <w:t>della revisione degli atti regolamentari del CNEL</w:t>
      </w:r>
    </w:p>
    <w:p w:rsidR="00F9673B" w:rsidRPr="00F9673B" w:rsidRDefault="00F9673B" w:rsidP="00F9673B">
      <w:pPr>
        <w:autoSpaceDE w:val="0"/>
        <w:autoSpaceDN w:val="0"/>
        <w:adjustRightInd w:val="0"/>
        <w:spacing w:after="0" w:line="20" w:lineRule="atLeast"/>
        <w:jc w:val="both"/>
        <w:rPr>
          <w:rFonts w:ascii="Corbel" w:hAnsi="Corbel" w:cs="BookAntiqua,Bold"/>
          <w:b/>
          <w:bCs/>
        </w:rPr>
      </w:pPr>
      <w:r w:rsidRPr="00F9673B">
        <w:rPr>
          <w:rFonts w:ascii="Corbel" w:hAnsi="Corbel" w:cs="BookAntiqua,Bold"/>
          <w:b/>
          <w:bCs/>
        </w:rPr>
        <w:t>Articolo 2</w:t>
      </w:r>
    </w:p>
    <w:p w:rsidR="00F9673B" w:rsidRPr="00F9673B" w:rsidRDefault="00F9673B" w:rsidP="00F9673B">
      <w:pPr>
        <w:autoSpaceDE w:val="0"/>
        <w:autoSpaceDN w:val="0"/>
        <w:adjustRightInd w:val="0"/>
        <w:spacing w:after="0" w:line="20" w:lineRule="atLeast"/>
        <w:jc w:val="both"/>
        <w:rPr>
          <w:rFonts w:ascii="Corbel" w:hAnsi="Corbel" w:cs="BookAntiqua,Italic"/>
          <w:i/>
          <w:iCs/>
        </w:rPr>
      </w:pPr>
      <w:r w:rsidRPr="00F9673B">
        <w:rPr>
          <w:rFonts w:ascii="Corbel" w:hAnsi="Corbel" w:cs="BookAntiqua,Italic"/>
          <w:i/>
          <w:iCs/>
        </w:rPr>
        <w:t>(Finalità).</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 xml:space="preserve">L'utilizzo dei </w:t>
      </w:r>
      <w:r w:rsidRPr="00F9673B">
        <w:rPr>
          <w:rFonts w:ascii="Corbel" w:hAnsi="Corbel" w:cs="BookAntiqua,Italic"/>
          <w:i/>
          <w:iCs/>
        </w:rPr>
        <w:t>Social Networks</w:t>
      </w:r>
      <w:r w:rsidRPr="00F9673B">
        <w:rPr>
          <w:rFonts w:ascii="Corbel" w:hAnsi="Corbel" w:cs="BookAntiqua"/>
        </w:rPr>
        <w:t xml:space="preserve">, e di </w:t>
      </w:r>
      <w:r w:rsidRPr="00F9673B">
        <w:rPr>
          <w:rFonts w:ascii="Corbel" w:hAnsi="Corbel" w:cs="BookAntiqua,Italic"/>
          <w:i/>
          <w:iCs/>
        </w:rPr>
        <w:t xml:space="preserve">Twitter </w:t>
      </w:r>
      <w:r w:rsidRPr="00F9673B">
        <w:rPr>
          <w:rFonts w:ascii="Corbel" w:hAnsi="Corbel" w:cs="BookAntiqua"/>
        </w:rPr>
        <w:t>in particolare, è finalizzato al</w:t>
      </w:r>
      <w:r>
        <w:rPr>
          <w:rFonts w:ascii="Corbel" w:hAnsi="Corbel" w:cs="BookAntiqua"/>
        </w:rPr>
        <w:t xml:space="preserve"> </w:t>
      </w:r>
      <w:r w:rsidRPr="00F9673B">
        <w:rPr>
          <w:rFonts w:ascii="Corbel" w:hAnsi="Corbel" w:cs="BookAntiqua"/>
        </w:rPr>
        <w:t xml:space="preserve">rilancio di pubblicazioni già effettuate sul sito </w:t>
      </w:r>
      <w:r w:rsidRPr="00F9673B">
        <w:rPr>
          <w:rFonts w:ascii="Corbel" w:hAnsi="Corbel" w:cs="BookAntiqua,Italic"/>
          <w:i/>
          <w:iCs/>
        </w:rPr>
        <w:t xml:space="preserve">internet </w:t>
      </w:r>
      <w:r w:rsidRPr="00F9673B">
        <w:rPr>
          <w:rFonts w:ascii="Corbel" w:hAnsi="Corbel" w:cs="BookAntiqua"/>
        </w:rPr>
        <w:t>istituzionale, a</w:t>
      </w:r>
      <w:r>
        <w:rPr>
          <w:rFonts w:ascii="Corbel" w:hAnsi="Corbel" w:cs="BookAntiqua"/>
        </w:rPr>
        <w:t xml:space="preserve"> </w:t>
      </w:r>
      <w:r w:rsidRPr="00F9673B">
        <w:rPr>
          <w:rFonts w:ascii="Corbel" w:hAnsi="Corbel" w:cs="BookAntiqua"/>
        </w:rPr>
        <w:t>diffondere l'informazione circa la produzione da parte del CNEL di atti</w:t>
      </w:r>
      <w:r>
        <w:rPr>
          <w:rFonts w:ascii="Corbel" w:hAnsi="Corbel" w:cs="BookAntiqua"/>
        </w:rPr>
        <w:t xml:space="preserve"> </w:t>
      </w:r>
      <w:r w:rsidRPr="00F9673B">
        <w:rPr>
          <w:rFonts w:ascii="Corbel" w:hAnsi="Corbel" w:cs="BookAntiqua"/>
        </w:rPr>
        <w:t>ufficiali (audizioni, pareri, rapporti, relazioni) che formano oggetto di</w:t>
      </w:r>
      <w:r>
        <w:rPr>
          <w:rFonts w:ascii="Corbel" w:hAnsi="Corbel" w:cs="BookAntiqua"/>
        </w:rPr>
        <w:t xml:space="preserve"> </w:t>
      </w:r>
      <w:r w:rsidRPr="00F9673B">
        <w:rPr>
          <w:rFonts w:ascii="Corbel" w:hAnsi="Corbel" w:cs="BookAntiqua"/>
        </w:rPr>
        <w:t>comunicati stampa.</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 xml:space="preserve">La presenza del CNEL nei </w:t>
      </w:r>
      <w:r w:rsidRPr="00F9673B">
        <w:rPr>
          <w:rFonts w:ascii="Corbel" w:hAnsi="Corbel" w:cs="BookAntiqua,Italic"/>
          <w:i/>
          <w:iCs/>
        </w:rPr>
        <w:t xml:space="preserve">Social Networks </w:t>
      </w:r>
      <w:r w:rsidRPr="00F9673B">
        <w:rPr>
          <w:rFonts w:ascii="Corbel" w:hAnsi="Corbel" w:cs="BookAntiqua"/>
        </w:rPr>
        <w:t>ha come scopo - verso l'esterno</w:t>
      </w:r>
      <w:r>
        <w:rPr>
          <w:rFonts w:ascii="Corbel" w:hAnsi="Corbel" w:cs="BookAntiqua"/>
        </w:rPr>
        <w:t xml:space="preserve"> </w:t>
      </w:r>
      <w:r w:rsidRPr="00F9673B">
        <w:rPr>
          <w:rFonts w:ascii="Corbel" w:hAnsi="Corbel" w:cs="BookAntiqua"/>
        </w:rPr>
        <w:t>- quello di accrescere la trasparenza e la platea di utenti interessati agli</w:t>
      </w:r>
      <w:r>
        <w:rPr>
          <w:rFonts w:ascii="Corbel" w:hAnsi="Corbel" w:cs="BookAntiqua"/>
        </w:rPr>
        <w:t xml:space="preserve"> </w:t>
      </w:r>
      <w:r w:rsidRPr="00F9673B">
        <w:rPr>
          <w:rFonts w:ascii="Corbel" w:hAnsi="Corbel" w:cs="BookAntiqua"/>
        </w:rPr>
        <w:t>atti prodotti dal CNEL come pareri, osservazioni, proposte, rapporti e</w:t>
      </w:r>
      <w:r>
        <w:rPr>
          <w:rFonts w:ascii="Corbel" w:hAnsi="Corbel" w:cs="BookAntiqua"/>
        </w:rPr>
        <w:t xml:space="preserve"> </w:t>
      </w:r>
      <w:r w:rsidRPr="00F9673B">
        <w:rPr>
          <w:rFonts w:ascii="Corbel" w:hAnsi="Corbel" w:cs="BookAntiqua"/>
        </w:rPr>
        <w:t>relazioni, già pubblicati in raccolte o banche dati e per i quali si ritiene di</w:t>
      </w:r>
      <w:r>
        <w:rPr>
          <w:rFonts w:ascii="Corbel" w:hAnsi="Corbel" w:cs="BookAntiqua"/>
        </w:rPr>
        <w:t xml:space="preserve"> </w:t>
      </w:r>
      <w:r w:rsidRPr="00F9673B">
        <w:rPr>
          <w:rFonts w:ascii="Corbel" w:hAnsi="Corbel" w:cs="BookAntiqua"/>
        </w:rPr>
        <w:t xml:space="preserve">fornire una ulteriore </w:t>
      </w:r>
      <w:r w:rsidRPr="00F9673B">
        <w:rPr>
          <w:rFonts w:ascii="Corbel" w:hAnsi="Corbel" w:cs="BookAntiqua"/>
        </w:rPr>
        <w:lastRenderedPageBreak/>
        <w:t>possibilità di accesso da parte del pubblico e</w:t>
      </w:r>
      <w:r>
        <w:rPr>
          <w:rFonts w:ascii="Corbel" w:hAnsi="Corbel" w:cs="BookAntiqua"/>
        </w:rPr>
        <w:t xml:space="preserve"> </w:t>
      </w:r>
      <w:r w:rsidRPr="00F9673B">
        <w:rPr>
          <w:rFonts w:ascii="Corbel" w:hAnsi="Corbel" w:cs="BookAntiqua"/>
        </w:rPr>
        <w:t>verso l'interno - quello di raccogliere commenti, suggerimenti o reazioni,</w:t>
      </w:r>
    </w:p>
    <w:p w:rsidR="00F9673B" w:rsidRPr="00F9673B" w:rsidRDefault="00F9673B" w:rsidP="00F9673B">
      <w:pPr>
        <w:autoSpaceDE w:val="0"/>
        <w:autoSpaceDN w:val="0"/>
        <w:adjustRightInd w:val="0"/>
        <w:spacing w:after="0" w:line="20" w:lineRule="atLeast"/>
        <w:jc w:val="both"/>
        <w:rPr>
          <w:rFonts w:ascii="Corbel" w:hAnsi="Corbel" w:cs="BookAntiqua"/>
        </w:rPr>
      </w:pPr>
      <w:proofErr w:type="gramStart"/>
      <w:r w:rsidRPr="00F9673B">
        <w:rPr>
          <w:rFonts w:ascii="Corbel" w:hAnsi="Corbel" w:cs="BookAntiqua"/>
        </w:rPr>
        <w:t>quale</w:t>
      </w:r>
      <w:proofErr w:type="gramEnd"/>
      <w:r w:rsidRPr="00F9673B">
        <w:rPr>
          <w:rFonts w:ascii="Corbel" w:hAnsi="Corbel" w:cs="BookAntiqua"/>
        </w:rPr>
        <w:t xml:space="preserve"> </w:t>
      </w:r>
      <w:r w:rsidRPr="00F9673B">
        <w:rPr>
          <w:rFonts w:ascii="Corbel" w:hAnsi="Corbel" w:cs="BookAntiqua,Italic"/>
          <w:i/>
          <w:iCs/>
        </w:rPr>
        <w:t xml:space="preserve">feedback </w:t>
      </w:r>
      <w:r w:rsidRPr="00F9673B">
        <w:rPr>
          <w:rFonts w:ascii="Corbel" w:hAnsi="Corbel" w:cs="BookAntiqua"/>
        </w:rPr>
        <w:t>all'a</w:t>
      </w:r>
      <w:r>
        <w:rPr>
          <w:rFonts w:ascii="Corbel" w:hAnsi="Corbel" w:cs="BookAntiqua"/>
        </w:rPr>
        <w:t xml:space="preserve"> </w:t>
      </w:r>
      <w:r w:rsidRPr="00F9673B">
        <w:rPr>
          <w:rFonts w:ascii="Corbel" w:hAnsi="Corbel" w:cs="BookAntiqua"/>
        </w:rPr>
        <w:t>ione dell'Organo.</w:t>
      </w:r>
    </w:p>
    <w:p w:rsidR="00F9673B" w:rsidRPr="00F9673B" w:rsidRDefault="00F9673B" w:rsidP="00F9673B">
      <w:pPr>
        <w:autoSpaceDE w:val="0"/>
        <w:autoSpaceDN w:val="0"/>
        <w:adjustRightInd w:val="0"/>
        <w:spacing w:after="0" w:line="20" w:lineRule="atLeast"/>
        <w:jc w:val="both"/>
        <w:rPr>
          <w:rFonts w:ascii="Corbel" w:hAnsi="Corbel" w:cs="BookAntiqua,Bold"/>
          <w:b/>
          <w:bCs/>
        </w:rPr>
      </w:pPr>
      <w:r w:rsidRPr="00F9673B">
        <w:rPr>
          <w:rFonts w:ascii="Corbel" w:hAnsi="Corbel" w:cs="BookAntiqua,Bold"/>
          <w:b/>
          <w:bCs/>
        </w:rPr>
        <w:t>Articolo 3</w:t>
      </w:r>
    </w:p>
    <w:p w:rsidR="00F9673B" w:rsidRPr="00F9673B" w:rsidRDefault="00F9673B" w:rsidP="00F9673B">
      <w:pPr>
        <w:autoSpaceDE w:val="0"/>
        <w:autoSpaceDN w:val="0"/>
        <w:adjustRightInd w:val="0"/>
        <w:spacing w:after="0" w:line="20" w:lineRule="atLeast"/>
        <w:jc w:val="both"/>
        <w:rPr>
          <w:rFonts w:ascii="Corbel" w:hAnsi="Corbel" w:cs="BookAntiqua,Italic"/>
          <w:i/>
          <w:iCs/>
        </w:rPr>
      </w:pPr>
      <w:r w:rsidRPr="00F9673B">
        <w:rPr>
          <w:rFonts w:ascii="Corbel" w:hAnsi="Corbel" w:cs="BookAntiqua,Italic"/>
          <w:i/>
          <w:iCs/>
        </w:rPr>
        <w:t>(Competenza e responsabilità)</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 xml:space="preserve">L'utilizzo della piattaforma </w:t>
      </w:r>
      <w:r w:rsidRPr="00F9673B">
        <w:rPr>
          <w:rFonts w:ascii="Corbel" w:hAnsi="Corbel" w:cs="BookAntiqua,Italic"/>
          <w:i/>
          <w:iCs/>
        </w:rPr>
        <w:t xml:space="preserve">social </w:t>
      </w:r>
      <w:r w:rsidRPr="00F9673B">
        <w:rPr>
          <w:rFonts w:ascii="Corbel" w:hAnsi="Corbel" w:cs="BookAntiqua"/>
        </w:rPr>
        <w:t>è rimesso al funzionario addetto alla</w:t>
      </w:r>
      <w:r>
        <w:rPr>
          <w:rFonts w:ascii="Corbel" w:hAnsi="Corbel" w:cs="BookAntiqua"/>
        </w:rPr>
        <w:t xml:space="preserve"> </w:t>
      </w:r>
      <w:r w:rsidRPr="00F9673B">
        <w:rPr>
          <w:rFonts w:ascii="Corbel" w:hAnsi="Corbel" w:cs="BookAntiqua"/>
        </w:rPr>
        <w:t xml:space="preserve">pubblicazione sul sito </w:t>
      </w:r>
      <w:r w:rsidRPr="00F9673B">
        <w:rPr>
          <w:rFonts w:ascii="Corbel" w:hAnsi="Corbel" w:cs="BookAntiqua,Italic"/>
          <w:i/>
          <w:iCs/>
        </w:rPr>
        <w:t xml:space="preserve">internet </w:t>
      </w:r>
      <w:r w:rsidRPr="00F9673B">
        <w:rPr>
          <w:rFonts w:ascii="Corbel" w:hAnsi="Corbel" w:cs="BookAntiqua"/>
        </w:rPr>
        <w:t>istituzionale del CNEL come individuato</w:t>
      </w:r>
      <w:r>
        <w:rPr>
          <w:rFonts w:ascii="Corbel" w:hAnsi="Corbel" w:cs="BookAntiqua"/>
        </w:rPr>
        <w:t xml:space="preserve"> </w:t>
      </w:r>
      <w:r w:rsidRPr="00F9673B">
        <w:rPr>
          <w:rFonts w:ascii="Corbel" w:hAnsi="Corbel" w:cs="BookAntiqua"/>
        </w:rPr>
        <w:t>negli ordini di servizio citati in premessa, attenendosi strettamente alle</w:t>
      </w:r>
      <w:r>
        <w:rPr>
          <w:rFonts w:ascii="Corbel" w:hAnsi="Corbel" w:cs="BookAntiqua"/>
        </w:rPr>
        <w:t xml:space="preserve"> </w:t>
      </w:r>
      <w:r w:rsidRPr="00F9673B">
        <w:rPr>
          <w:rFonts w:ascii="Corbel" w:hAnsi="Corbel" w:cs="BookAntiqua"/>
        </w:rPr>
        <w:t>indicazioni impartite, di volta in volta, dal segretario generale, che ne</w:t>
      </w:r>
      <w:r>
        <w:rPr>
          <w:rFonts w:ascii="Corbel" w:hAnsi="Corbel" w:cs="BookAntiqua"/>
        </w:rPr>
        <w:t xml:space="preserve"> </w:t>
      </w:r>
      <w:r w:rsidRPr="00F9673B">
        <w:rPr>
          <w:rFonts w:ascii="Corbel" w:hAnsi="Corbel" w:cs="BookAntiqua"/>
        </w:rPr>
        <w:t>assume la piena responsabilità, ovvero da un suo delegato.</w:t>
      </w:r>
    </w:p>
    <w:p w:rsidR="00F9673B" w:rsidRPr="00F9673B" w:rsidRDefault="00F9673B" w:rsidP="00F9673B">
      <w:pPr>
        <w:autoSpaceDE w:val="0"/>
        <w:autoSpaceDN w:val="0"/>
        <w:adjustRightInd w:val="0"/>
        <w:spacing w:after="0" w:line="20" w:lineRule="atLeast"/>
        <w:jc w:val="both"/>
        <w:rPr>
          <w:rFonts w:ascii="Corbel" w:hAnsi="Corbel" w:cs="BookAntiqua,Bold"/>
          <w:b/>
          <w:bCs/>
        </w:rPr>
      </w:pPr>
      <w:r w:rsidRPr="00F9673B">
        <w:rPr>
          <w:rFonts w:ascii="Corbel" w:hAnsi="Corbel" w:cs="BookAntiqua,Bold"/>
          <w:b/>
          <w:bCs/>
        </w:rPr>
        <w:t>Articolo 4</w:t>
      </w:r>
    </w:p>
    <w:p w:rsidR="00F9673B" w:rsidRPr="00F9673B" w:rsidRDefault="00F9673B" w:rsidP="00F9673B">
      <w:pPr>
        <w:autoSpaceDE w:val="0"/>
        <w:autoSpaceDN w:val="0"/>
        <w:adjustRightInd w:val="0"/>
        <w:spacing w:after="0" w:line="20" w:lineRule="atLeast"/>
        <w:jc w:val="both"/>
        <w:rPr>
          <w:rFonts w:ascii="Corbel" w:hAnsi="Corbel" w:cs="BookAntiqua,Italic"/>
          <w:i/>
          <w:iCs/>
        </w:rPr>
      </w:pPr>
      <w:r w:rsidRPr="00F9673B">
        <w:rPr>
          <w:rFonts w:ascii="Corbel" w:hAnsi="Corbel" w:cs="BookAntiqua,Italic"/>
          <w:i/>
          <w:iCs/>
        </w:rPr>
        <w:t>(Contenuti).</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Gli atti del CNEL sono pubblicati sull'</w:t>
      </w:r>
      <w:r w:rsidRPr="00F9673B">
        <w:rPr>
          <w:rFonts w:ascii="Corbel" w:hAnsi="Corbel" w:cs="BookAntiqua,Italic"/>
          <w:i/>
          <w:iCs/>
        </w:rPr>
        <w:t xml:space="preserve">account social </w:t>
      </w:r>
      <w:r w:rsidRPr="00F9673B">
        <w:rPr>
          <w:rFonts w:ascii="Corbel" w:hAnsi="Corbel" w:cs="BookAntiqua"/>
        </w:rPr>
        <w:t>attraverso la</w:t>
      </w:r>
      <w:r>
        <w:rPr>
          <w:rFonts w:ascii="Corbel" w:hAnsi="Corbel" w:cs="BookAntiqua"/>
        </w:rPr>
        <w:t xml:space="preserve"> </w:t>
      </w:r>
      <w:r w:rsidRPr="00F9673B">
        <w:rPr>
          <w:rFonts w:ascii="Corbel" w:hAnsi="Corbel" w:cs="BookAntiqua"/>
        </w:rPr>
        <w:t>indicazione di un "titolo" che ne esprima direttamente il contenuto, con</w:t>
      </w:r>
      <w:r>
        <w:rPr>
          <w:rFonts w:ascii="Corbel" w:hAnsi="Corbel" w:cs="BookAntiqua"/>
        </w:rPr>
        <w:t xml:space="preserve"> </w:t>
      </w:r>
      <w:r w:rsidRPr="00F9673B">
        <w:rPr>
          <w:rFonts w:ascii="Corbel" w:hAnsi="Corbel" w:cs="BookAntiqua"/>
        </w:rPr>
        <w:t>esclusione di ogni commento o giudizio di valore.</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E' altresì escluso nell'</w:t>
      </w:r>
      <w:r w:rsidRPr="00F9673B">
        <w:rPr>
          <w:rFonts w:ascii="Corbel" w:hAnsi="Corbel" w:cs="BookAntiqua,Italic"/>
          <w:i/>
          <w:iCs/>
        </w:rPr>
        <w:t xml:space="preserve">account social </w:t>
      </w:r>
      <w:r w:rsidRPr="00F9673B">
        <w:rPr>
          <w:rFonts w:ascii="Corbel" w:hAnsi="Corbel" w:cs="BookAntiqua"/>
        </w:rPr>
        <w:t>del CNEL, qualsiasi commento (</w:t>
      </w:r>
      <w:r w:rsidRPr="00F9673B">
        <w:rPr>
          <w:rFonts w:ascii="Corbel" w:hAnsi="Corbel" w:cs="BookAntiqua,Italic"/>
          <w:i/>
          <w:iCs/>
        </w:rPr>
        <w:t>like,</w:t>
      </w:r>
      <w:r>
        <w:rPr>
          <w:rFonts w:ascii="Corbel" w:hAnsi="Corbel" w:cs="BookAntiqua,Italic"/>
          <w:i/>
          <w:iCs/>
        </w:rPr>
        <w:t xml:space="preserve"> </w:t>
      </w:r>
      <w:r w:rsidRPr="00F9673B">
        <w:rPr>
          <w:rFonts w:ascii="Corbel" w:hAnsi="Corbel" w:cs="BookAntiqua,Italic"/>
          <w:i/>
          <w:iCs/>
        </w:rPr>
        <w:t xml:space="preserve">retweet </w:t>
      </w:r>
      <w:r w:rsidRPr="00F9673B">
        <w:rPr>
          <w:rFonts w:ascii="Corbel" w:hAnsi="Corbel" w:cs="BookAntiqua"/>
        </w:rPr>
        <w:t xml:space="preserve">o simili) da apporre a qualsiasi </w:t>
      </w:r>
      <w:r w:rsidRPr="00F9673B">
        <w:rPr>
          <w:rFonts w:ascii="Corbel" w:hAnsi="Corbel" w:cs="BookAntiqua,Italic"/>
          <w:i/>
          <w:iCs/>
        </w:rPr>
        <w:t xml:space="preserve">account </w:t>
      </w:r>
      <w:r w:rsidRPr="00F9673B">
        <w:rPr>
          <w:rFonts w:ascii="Corbel" w:hAnsi="Corbel" w:cs="BookAntiqua"/>
        </w:rPr>
        <w:t>esterno, specie se privato.</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Sono pubblicabili sull'</w:t>
      </w:r>
      <w:r w:rsidRPr="00F9673B">
        <w:rPr>
          <w:rFonts w:ascii="Corbel" w:hAnsi="Corbel" w:cs="BookAntiqua,Italic"/>
          <w:i/>
          <w:iCs/>
        </w:rPr>
        <w:t xml:space="preserve">account </w:t>
      </w:r>
      <w:r w:rsidRPr="00F9673B">
        <w:rPr>
          <w:rFonts w:ascii="Corbel" w:hAnsi="Corbel" w:cs="BookAntiqua"/>
        </w:rPr>
        <w:t>CNEL gli atti già oggetto di uno specifico</w:t>
      </w:r>
      <w:r>
        <w:rPr>
          <w:rFonts w:ascii="Corbel" w:hAnsi="Corbel" w:cs="BookAntiqua"/>
        </w:rPr>
        <w:t xml:space="preserve"> </w:t>
      </w:r>
      <w:r w:rsidRPr="00F9673B">
        <w:rPr>
          <w:rFonts w:ascii="Corbel" w:hAnsi="Corbel" w:cs="BookAntiqua"/>
        </w:rPr>
        <w:t xml:space="preserve">comunicato stampa, attraverso l'inserimento, nel </w:t>
      </w:r>
      <w:r w:rsidRPr="00F9673B">
        <w:rPr>
          <w:rFonts w:ascii="Corbel" w:hAnsi="Corbel" w:cs="BookAntiqua,Italic"/>
          <w:i/>
          <w:iCs/>
        </w:rPr>
        <w:t>tweet</w:t>
      </w:r>
      <w:r w:rsidRPr="00F9673B">
        <w:rPr>
          <w:rFonts w:ascii="Corbel" w:hAnsi="Corbel" w:cs="BookAntiqua"/>
        </w:rPr>
        <w:t xml:space="preserve">, del </w:t>
      </w:r>
      <w:r w:rsidRPr="00F9673B">
        <w:rPr>
          <w:rFonts w:ascii="Corbel" w:hAnsi="Corbel" w:cs="BookAntiqua,Italic"/>
          <w:i/>
          <w:iCs/>
        </w:rPr>
        <w:t xml:space="preserve">link </w:t>
      </w:r>
      <w:r w:rsidRPr="00F9673B">
        <w:rPr>
          <w:rFonts w:ascii="Corbel" w:hAnsi="Corbel" w:cs="BookAntiqua"/>
        </w:rPr>
        <w:t>al testo</w:t>
      </w:r>
      <w:r>
        <w:rPr>
          <w:rFonts w:ascii="Corbel" w:hAnsi="Corbel" w:cs="BookAntiqua"/>
        </w:rPr>
        <w:t xml:space="preserve"> </w:t>
      </w:r>
      <w:r w:rsidRPr="00F9673B">
        <w:rPr>
          <w:rFonts w:ascii="Corbel" w:hAnsi="Corbel" w:cs="BookAntiqua"/>
        </w:rPr>
        <w:t>pubblicato sul sito istituzionale.</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 xml:space="preserve">Il funzionario addetto monitorizza i commenti e i </w:t>
      </w:r>
      <w:r w:rsidRPr="00F9673B">
        <w:rPr>
          <w:rFonts w:ascii="Corbel" w:hAnsi="Corbel" w:cs="BookAntiqua,Italic"/>
          <w:i/>
          <w:iCs/>
        </w:rPr>
        <w:t xml:space="preserve">retweet </w:t>
      </w:r>
      <w:r w:rsidRPr="00F9673B">
        <w:rPr>
          <w:rFonts w:ascii="Corbel" w:hAnsi="Corbel" w:cs="BookAntiqua"/>
        </w:rPr>
        <w:t>relativi al CNEL</w:t>
      </w:r>
      <w:r>
        <w:rPr>
          <w:rFonts w:ascii="Corbel" w:hAnsi="Corbel" w:cs="BookAntiqua"/>
        </w:rPr>
        <w:t xml:space="preserve"> </w:t>
      </w:r>
      <w:r w:rsidRPr="00F9673B">
        <w:rPr>
          <w:rFonts w:ascii="Corbel" w:hAnsi="Corbel" w:cs="BookAntiqua"/>
        </w:rPr>
        <w:t>e ne informa tempestivamente il Segretario generale.</w:t>
      </w:r>
    </w:p>
    <w:p w:rsidR="00F9673B" w:rsidRPr="00F9673B" w:rsidRDefault="00F9673B" w:rsidP="00F9673B">
      <w:pPr>
        <w:autoSpaceDE w:val="0"/>
        <w:autoSpaceDN w:val="0"/>
        <w:adjustRightInd w:val="0"/>
        <w:spacing w:after="0" w:line="20" w:lineRule="atLeast"/>
        <w:jc w:val="both"/>
        <w:rPr>
          <w:rFonts w:ascii="Corbel" w:hAnsi="Corbel" w:cs="BookAntiqua,Bold"/>
          <w:b/>
          <w:bCs/>
        </w:rPr>
      </w:pPr>
      <w:r w:rsidRPr="00F9673B">
        <w:rPr>
          <w:rFonts w:ascii="Corbel" w:hAnsi="Corbel" w:cs="BookAntiqua,Bold"/>
          <w:b/>
          <w:bCs/>
        </w:rPr>
        <w:t>Articolo 5</w:t>
      </w:r>
    </w:p>
    <w:p w:rsidR="00F9673B" w:rsidRPr="00F9673B" w:rsidRDefault="00F9673B" w:rsidP="00F9673B">
      <w:pPr>
        <w:autoSpaceDE w:val="0"/>
        <w:autoSpaceDN w:val="0"/>
        <w:adjustRightInd w:val="0"/>
        <w:spacing w:after="0" w:line="20" w:lineRule="atLeast"/>
        <w:jc w:val="both"/>
        <w:rPr>
          <w:rFonts w:ascii="Corbel" w:hAnsi="Corbel" w:cs="BookAntiqua,Italic"/>
          <w:i/>
          <w:iCs/>
        </w:rPr>
      </w:pPr>
      <w:r w:rsidRPr="00F9673B">
        <w:rPr>
          <w:rFonts w:ascii="Corbel" w:hAnsi="Corbel" w:cs="BookAntiqua,Italic"/>
          <w:i/>
          <w:iCs/>
        </w:rPr>
        <w:t>(Policy in materia di following)</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Il CNEL segue i propri interlocutori istituzionali e gli organismi in esso</w:t>
      </w:r>
      <w:r>
        <w:rPr>
          <w:rFonts w:ascii="Corbel" w:hAnsi="Corbel" w:cs="BookAntiqua"/>
        </w:rPr>
        <w:t xml:space="preserve"> </w:t>
      </w:r>
      <w:r w:rsidRPr="00F9673B">
        <w:rPr>
          <w:rFonts w:ascii="Corbel" w:hAnsi="Corbel" w:cs="BookAntiqua"/>
        </w:rPr>
        <w:t>rappresentati, le Istituzioni della Repubblica, gli Organi costituzionali e di</w:t>
      </w:r>
      <w:r>
        <w:rPr>
          <w:rFonts w:ascii="Corbel" w:hAnsi="Corbel" w:cs="BookAntiqua"/>
        </w:rPr>
        <w:t xml:space="preserve"> </w:t>
      </w:r>
      <w:r w:rsidRPr="00F9673B">
        <w:rPr>
          <w:rFonts w:ascii="Corbel" w:hAnsi="Corbel" w:cs="BookAntiqua"/>
        </w:rPr>
        <w:t>rilievo costituzionale, le Istituzioni europee e dell'Unione europea, le</w:t>
      </w:r>
      <w:r>
        <w:rPr>
          <w:rFonts w:ascii="Corbel" w:hAnsi="Corbel" w:cs="BookAntiqua"/>
        </w:rPr>
        <w:t xml:space="preserve"> </w:t>
      </w:r>
      <w:r w:rsidRPr="00F9673B">
        <w:rPr>
          <w:rFonts w:ascii="Corbel" w:hAnsi="Corbel" w:cs="BookAntiqua"/>
        </w:rPr>
        <w:t>Istituzioni analoghe al CNEL di altri Paesi, le Istituzioni internazionali o</w:t>
      </w:r>
      <w:r>
        <w:rPr>
          <w:rFonts w:ascii="Corbel" w:hAnsi="Corbel" w:cs="BookAntiqua"/>
        </w:rPr>
        <w:t xml:space="preserve"> </w:t>
      </w:r>
      <w:r w:rsidRPr="00F9673B">
        <w:rPr>
          <w:rFonts w:ascii="Corbel" w:hAnsi="Corbel" w:cs="BookAntiqua"/>
        </w:rPr>
        <w:t>multinazionali, i Governi ed altresì le Associazioni, i Sindacati, le</w:t>
      </w:r>
      <w:r>
        <w:rPr>
          <w:rFonts w:ascii="Corbel" w:hAnsi="Corbel" w:cs="BookAntiqua"/>
        </w:rPr>
        <w:t xml:space="preserve"> </w:t>
      </w:r>
      <w:r w:rsidRPr="00F9673B">
        <w:rPr>
          <w:rFonts w:ascii="Corbel" w:hAnsi="Corbel" w:cs="BookAntiqua"/>
        </w:rPr>
        <w:t>Istituzioni autonome, le Università e altre Istituzioni scolastiche o di</w:t>
      </w:r>
      <w:r>
        <w:rPr>
          <w:rFonts w:ascii="Corbel" w:hAnsi="Corbel" w:cs="BookAntiqua"/>
        </w:rPr>
        <w:t xml:space="preserve"> </w:t>
      </w:r>
      <w:r w:rsidRPr="00F9673B">
        <w:rPr>
          <w:rFonts w:ascii="Corbel" w:hAnsi="Corbel" w:cs="BookAntiqua"/>
        </w:rPr>
        <w:t>formazione; segue altresì i mezzi di informazione in tutte le forme</w:t>
      </w:r>
      <w:r>
        <w:rPr>
          <w:rFonts w:ascii="Corbel" w:hAnsi="Corbel" w:cs="BookAntiqua"/>
        </w:rPr>
        <w:t xml:space="preserve"> </w:t>
      </w:r>
      <w:r w:rsidRPr="00F9673B">
        <w:rPr>
          <w:rFonts w:ascii="Corbel" w:hAnsi="Corbel" w:cs="BookAntiqua"/>
        </w:rPr>
        <w:t xml:space="preserve">esistenti, comprese </w:t>
      </w:r>
      <w:r w:rsidRPr="00F9673B">
        <w:rPr>
          <w:rFonts w:ascii="Corbel" w:hAnsi="Corbel" w:cs="BookAntiqua,Italic"/>
          <w:i/>
          <w:iCs/>
        </w:rPr>
        <w:t xml:space="preserve">blog </w:t>
      </w:r>
      <w:r w:rsidRPr="00F9673B">
        <w:rPr>
          <w:rFonts w:ascii="Corbel" w:hAnsi="Corbel" w:cs="BookAntiqua"/>
        </w:rPr>
        <w:t xml:space="preserve">o </w:t>
      </w:r>
      <w:r w:rsidRPr="00F9673B">
        <w:rPr>
          <w:rFonts w:ascii="Corbel" w:hAnsi="Corbel" w:cs="BookAntiqua,Italic"/>
          <w:i/>
          <w:iCs/>
        </w:rPr>
        <w:t xml:space="preserve">account </w:t>
      </w:r>
      <w:r w:rsidRPr="00F9673B">
        <w:rPr>
          <w:rFonts w:ascii="Corbel" w:hAnsi="Corbel" w:cs="BookAntiqua"/>
        </w:rPr>
        <w:t>personali che abbiano rilievo e funzione</w:t>
      </w:r>
      <w:r>
        <w:rPr>
          <w:rFonts w:ascii="Corbel" w:hAnsi="Corbel" w:cs="BookAntiqua"/>
        </w:rPr>
        <w:t xml:space="preserve"> </w:t>
      </w:r>
      <w:r w:rsidRPr="00F9673B">
        <w:rPr>
          <w:rFonts w:ascii="Corbel" w:hAnsi="Corbel" w:cs="BookAntiqua"/>
        </w:rPr>
        <w:t xml:space="preserve">di </w:t>
      </w:r>
      <w:r w:rsidRPr="00F9673B">
        <w:rPr>
          <w:rFonts w:ascii="Corbel" w:hAnsi="Corbel" w:cs="BookAntiqua,Italic"/>
          <w:i/>
          <w:iCs/>
        </w:rPr>
        <w:t>media</w:t>
      </w:r>
      <w:r w:rsidRPr="00F9673B">
        <w:rPr>
          <w:rFonts w:ascii="Corbel" w:hAnsi="Corbel" w:cs="BookAntiqua"/>
        </w:rPr>
        <w:t>.</w:t>
      </w:r>
    </w:p>
    <w:p w:rsidR="00F9673B" w:rsidRPr="00F9673B" w:rsidRDefault="00F9673B" w:rsidP="00F9673B">
      <w:pPr>
        <w:autoSpaceDE w:val="0"/>
        <w:autoSpaceDN w:val="0"/>
        <w:adjustRightInd w:val="0"/>
        <w:spacing w:after="0" w:line="20" w:lineRule="atLeast"/>
        <w:jc w:val="both"/>
        <w:rPr>
          <w:rFonts w:ascii="Corbel" w:hAnsi="Corbel" w:cs="BookAntiqua"/>
        </w:rPr>
      </w:pPr>
      <w:r w:rsidRPr="00F9673B">
        <w:rPr>
          <w:rFonts w:ascii="Corbel" w:hAnsi="Corbel" w:cs="BookAntiqua"/>
        </w:rPr>
        <w:t>Non segue direttamente né partiti, né persone o soggetti politici, né</w:t>
      </w:r>
      <w:r>
        <w:rPr>
          <w:rFonts w:ascii="Corbel" w:hAnsi="Corbel" w:cs="BookAntiqua"/>
        </w:rPr>
        <w:t xml:space="preserve"> </w:t>
      </w:r>
      <w:r w:rsidRPr="00F9673B">
        <w:rPr>
          <w:rFonts w:ascii="Corbel" w:hAnsi="Corbel" w:cs="BookAntiqua"/>
        </w:rPr>
        <w:t>privati.</w:t>
      </w:r>
    </w:p>
    <w:p w:rsidR="00F9673B" w:rsidRPr="00F9673B" w:rsidRDefault="00F9673B" w:rsidP="00F9673B">
      <w:pPr>
        <w:autoSpaceDE w:val="0"/>
        <w:autoSpaceDN w:val="0"/>
        <w:adjustRightInd w:val="0"/>
        <w:spacing w:after="0" w:line="20" w:lineRule="atLeast"/>
        <w:jc w:val="both"/>
        <w:rPr>
          <w:rFonts w:ascii="Corbel" w:hAnsi="Corbel" w:cs="BookAntiqua,Bold"/>
          <w:b/>
          <w:bCs/>
        </w:rPr>
      </w:pPr>
      <w:r w:rsidRPr="00F9673B">
        <w:rPr>
          <w:rFonts w:ascii="Corbel" w:hAnsi="Corbel" w:cs="BookAntiqua,Bold"/>
          <w:b/>
          <w:bCs/>
        </w:rPr>
        <w:t>Articolo 6</w:t>
      </w:r>
    </w:p>
    <w:p w:rsidR="00F9673B" w:rsidRPr="00F9673B" w:rsidRDefault="00F9673B" w:rsidP="00F9673B">
      <w:pPr>
        <w:autoSpaceDE w:val="0"/>
        <w:autoSpaceDN w:val="0"/>
        <w:adjustRightInd w:val="0"/>
        <w:spacing w:after="0" w:line="20" w:lineRule="atLeast"/>
        <w:jc w:val="both"/>
        <w:rPr>
          <w:rFonts w:ascii="Corbel" w:hAnsi="Corbel" w:cs="BookAntiqua,Italic"/>
          <w:i/>
          <w:iCs/>
        </w:rPr>
      </w:pPr>
      <w:r w:rsidRPr="00F9673B">
        <w:rPr>
          <w:rFonts w:ascii="Corbel" w:hAnsi="Corbel" w:cs="BookAntiqua,Italic"/>
          <w:i/>
          <w:iCs/>
        </w:rPr>
        <w:t>(Altre piattaforme social).</w:t>
      </w:r>
    </w:p>
    <w:p w:rsidR="00477DB9" w:rsidRDefault="00F9673B" w:rsidP="00477DB9">
      <w:pPr>
        <w:autoSpaceDE w:val="0"/>
        <w:autoSpaceDN w:val="0"/>
        <w:adjustRightInd w:val="0"/>
        <w:spacing w:after="0" w:line="20" w:lineRule="atLeast"/>
        <w:jc w:val="both"/>
        <w:rPr>
          <w:rFonts w:ascii="Corbel" w:hAnsi="Corbel" w:cs="BookAntiqua,Italic"/>
          <w:i/>
          <w:iCs/>
        </w:rPr>
      </w:pPr>
      <w:r w:rsidRPr="00F9673B">
        <w:rPr>
          <w:rFonts w:ascii="Corbel" w:hAnsi="Corbel" w:cs="BookAntiqua"/>
        </w:rPr>
        <w:t>Il Segretario generale assicura equivalente copertura, soggetta ai requisiti</w:t>
      </w:r>
      <w:r>
        <w:rPr>
          <w:rFonts w:ascii="Corbel" w:hAnsi="Corbel" w:cs="BookAntiqua"/>
        </w:rPr>
        <w:t xml:space="preserve"> </w:t>
      </w:r>
      <w:r w:rsidRPr="00F9673B">
        <w:rPr>
          <w:rFonts w:ascii="Corbel" w:hAnsi="Corbel" w:cs="BookAntiqua"/>
        </w:rPr>
        <w:t>ed alle specifiche di cui agli articoli precedenti, delle pubblicazioni su</w:t>
      </w:r>
      <w:r>
        <w:rPr>
          <w:rFonts w:ascii="Corbel" w:hAnsi="Corbel" w:cs="BookAntiqua"/>
        </w:rPr>
        <w:t xml:space="preserve"> </w:t>
      </w:r>
      <w:r w:rsidRPr="00F9673B">
        <w:rPr>
          <w:rFonts w:ascii="Corbel" w:hAnsi="Corbel" w:cs="BookAntiqua"/>
        </w:rPr>
        <w:t xml:space="preserve">piattaforme </w:t>
      </w:r>
      <w:r w:rsidRPr="00F9673B">
        <w:rPr>
          <w:rFonts w:ascii="Corbel" w:hAnsi="Corbel" w:cs="BookAntiqua,Italic"/>
          <w:i/>
          <w:iCs/>
        </w:rPr>
        <w:t xml:space="preserve">social </w:t>
      </w:r>
      <w:r w:rsidRPr="00F9673B">
        <w:rPr>
          <w:rFonts w:ascii="Corbel" w:hAnsi="Corbel" w:cs="BookAntiqua"/>
        </w:rPr>
        <w:t xml:space="preserve">per le quali il CNEL dispone dei relativi </w:t>
      </w:r>
      <w:r w:rsidRPr="00F9673B">
        <w:rPr>
          <w:rFonts w:ascii="Corbel" w:hAnsi="Corbel" w:cs="BookAntiqua,Italic"/>
          <w:i/>
          <w:iCs/>
        </w:rPr>
        <w:t xml:space="preserve">accounts </w:t>
      </w:r>
      <w:r w:rsidRPr="00F9673B">
        <w:rPr>
          <w:rFonts w:ascii="Corbel" w:hAnsi="Corbel" w:cs="BookAntiqua"/>
        </w:rPr>
        <w:t>e</w:t>
      </w:r>
      <w:r>
        <w:rPr>
          <w:rFonts w:ascii="Corbel" w:hAnsi="Corbel" w:cs="BookAntiqua"/>
        </w:rPr>
        <w:t xml:space="preserve"> </w:t>
      </w:r>
      <w:r w:rsidRPr="00F9673B">
        <w:rPr>
          <w:rFonts w:ascii="Corbel" w:hAnsi="Corbel" w:cs="BookAntiqua"/>
        </w:rPr>
        <w:t xml:space="preserve">alimenta il canale </w:t>
      </w:r>
      <w:r w:rsidRPr="00F9673B">
        <w:rPr>
          <w:rFonts w:ascii="Corbel" w:hAnsi="Corbel" w:cs="BookAntiqua,Italic"/>
          <w:i/>
          <w:iCs/>
        </w:rPr>
        <w:t>YouTube</w:t>
      </w:r>
      <w:r w:rsidR="00960D16">
        <w:rPr>
          <w:rFonts w:ascii="Corbel" w:hAnsi="Corbel" w:cs="BookAntiqua,Italic"/>
          <w:i/>
          <w:iCs/>
        </w:rPr>
        <w:t>.</w:t>
      </w:r>
    </w:p>
    <w:p w:rsidR="00477DB9" w:rsidRDefault="00477DB9" w:rsidP="00477DB9">
      <w:pPr>
        <w:autoSpaceDE w:val="0"/>
        <w:autoSpaceDN w:val="0"/>
        <w:adjustRightInd w:val="0"/>
        <w:spacing w:after="0" w:line="20" w:lineRule="atLeast"/>
        <w:jc w:val="both"/>
        <w:rPr>
          <w:rFonts w:ascii="Corbel" w:hAnsi="Corbel" w:cs="BookAntiqua,Italic"/>
          <w:i/>
          <w:iCs/>
        </w:rPr>
      </w:pPr>
    </w:p>
    <w:p w:rsidR="00477DB9" w:rsidRDefault="00477DB9" w:rsidP="00477DB9">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rPr>
      </w:pPr>
      <w:r>
        <w:rPr>
          <w:rFonts w:cstheme="minorHAnsi"/>
          <w:b/>
        </w:rPr>
        <w:t>POVERTÀ INCLUSIONE SOCIALE</w:t>
      </w:r>
    </w:p>
    <w:p w:rsidR="00477DB9" w:rsidRDefault="00477DB9" w:rsidP="00477DB9">
      <w:pPr>
        <w:autoSpaceDE w:val="0"/>
        <w:autoSpaceDN w:val="0"/>
        <w:adjustRightInd w:val="0"/>
        <w:spacing w:after="0" w:line="20" w:lineRule="atLeast"/>
        <w:jc w:val="both"/>
        <w:rPr>
          <w:rFonts w:ascii="Corbel" w:hAnsi="Corbel" w:cs="BookAntiqua,Italic"/>
          <w:i/>
          <w:iCs/>
        </w:rPr>
      </w:pPr>
    </w:p>
    <w:p w:rsidR="00477DB9" w:rsidRDefault="00477DB9" w:rsidP="00477DB9">
      <w:pPr>
        <w:autoSpaceDE w:val="0"/>
        <w:autoSpaceDN w:val="0"/>
        <w:adjustRightInd w:val="0"/>
        <w:spacing w:after="0" w:line="20" w:lineRule="atLeast"/>
        <w:jc w:val="both"/>
        <w:rPr>
          <w:rFonts w:cstheme="minorHAnsi"/>
        </w:rPr>
      </w:pPr>
      <w:r w:rsidRPr="00960A94">
        <w:rPr>
          <w:rFonts w:cstheme="minorHAnsi"/>
          <w:b/>
        </w:rPr>
        <w:t xml:space="preserve">MINISTERO DEL LAVORO E DELLE POLITICHE SOCIALI DECRETO 28 giugno </w:t>
      </w:r>
      <w:proofErr w:type="gramStart"/>
      <w:r w:rsidRPr="00960A94">
        <w:rPr>
          <w:rFonts w:cstheme="minorHAnsi"/>
          <w:b/>
        </w:rPr>
        <w:t>2019</w:t>
      </w:r>
      <w:r w:rsidRPr="006B0B81">
        <w:rPr>
          <w:rFonts w:cstheme="minorHAnsi"/>
        </w:rPr>
        <w:t>,  Adozione</w:t>
      </w:r>
      <w:proofErr w:type="gramEnd"/>
      <w:r w:rsidRPr="006B0B81">
        <w:rPr>
          <w:rFonts w:cstheme="minorHAnsi"/>
        </w:rPr>
        <w:t xml:space="preserve"> del Piano straordinario di potenziamento dei centri per l’impiego e delle politiche attive del lavoro. (GU n. 181 del 3.8.19)</w:t>
      </w:r>
    </w:p>
    <w:p w:rsidR="00477DB9" w:rsidRDefault="00477DB9" w:rsidP="00477DB9">
      <w:pPr>
        <w:autoSpaceDE w:val="0"/>
        <w:autoSpaceDN w:val="0"/>
        <w:adjustRightInd w:val="0"/>
        <w:spacing w:after="0" w:line="20" w:lineRule="atLeast"/>
        <w:jc w:val="both"/>
        <w:rPr>
          <w:rFonts w:cstheme="minorHAnsi"/>
        </w:rPr>
      </w:pPr>
      <w:r>
        <w:rPr>
          <w:rFonts w:cstheme="minorHAnsi"/>
        </w:rPr>
        <w:t>I</w:t>
      </w:r>
      <w:r w:rsidRPr="006B0B81">
        <w:rPr>
          <w:rFonts w:cstheme="minorHAnsi"/>
        </w:rPr>
        <w:t xml:space="preserve">L MINISTRO DEL LAVORO E DELLE POLITICHE SOCIALI </w:t>
      </w:r>
    </w:p>
    <w:p w:rsidR="00477DB9" w:rsidRDefault="00477DB9" w:rsidP="00477DB9">
      <w:pPr>
        <w:autoSpaceDE w:val="0"/>
        <w:autoSpaceDN w:val="0"/>
        <w:adjustRightInd w:val="0"/>
        <w:spacing w:after="0" w:line="20" w:lineRule="atLeast"/>
        <w:jc w:val="both"/>
        <w:rPr>
          <w:rFonts w:cstheme="minorHAnsi"/>
        </w:rPr>
      </w:pPr>
      <w:r w:rsidRPr="006B0B81">
        <w:rPr>
          <w:rFonts w:cstheme="minorHAnsi"/>
        </w:rPr>
        <w:t xml:space="preserve">Vista la legge 14 gennaio 1994, n. 20 concernente «Disposizioni in materia di giurisdizione e controllo della Corte dei conti»; Visto il decreto legislativo 30 luglio 1999, n. 300 e successive modificazioni, recante «Riforma dell’organizzazione del Governo, a norma dell’art. 11 della legge 15 marzo 1997, n. 59», e in particolare l’art. 8, che disciplina l’ordinamento della agenzie; </w:t>
      </w:r>
    </w:p>
    <w:p w:rsidR="00477DB9" w:rsidRDefault="00477DB9" w:rsidP="00477DB9">
      <w:pPr>
        <w:autoSpaceDE w:val="0"/>
        <w:autoSpaceDN w:val="0"/>
        <w:adjustRightInd w:val="0"/>
        <w:spacing w:after="0" w:line="20" w:lineRule="atLeast"/>
        <w:jc w:val="both"/>
        <w:rPr>
          <w:rFonts w:cstheme="minorHAnsi"/>
        </w:rPr>
      </w:pPr>
      <w:r w:rsidRPr="006B0B81">
        <w:rPr>
          <w:rFonts w:cstheme="minorHAnsi"/>
        </w:rPr>
        <w:t xml:space="preserve">Vista la legge 31 dicembre 2009, n. 196 concernente «Legge di contabilità e finanza pubblica» e successive modifiche ed integrazioni; </w:t>
      </w:r>
    </w:p>
    <w:p w:rsidR="00477DB9" w:rsidRDefault="00477DB9" w:rsidP="00477DB9">
      <w:pPr>
        <w:autoSpaceDE w:val="0"/>
        <w:autoSpaceDN w:val="0"/>
        <w:adjustRightInd w:val="0"/>
        <w:spacing w:after="0" w:line="20" w:lineRule="atLeast"/>
        <w:jc w:val="both"/>
        <w:rPr>
          <w:rFonts w:cstheme="minorHAnsi"/>
        </w:rPr>
      </w:pPr>
      <w:r w:rsidRPr="006B0B81">
        <w:rPr>
          <w:rFonts w:cstheme="minorHAnsi"/>
        </w:rPr>
        <w:t xml:space="preserve">Visto il decreto del Presidente del Consiglio dei ministri del 15 marzo 2017, n. 57 recante «Regolamento di organizzazione del Ministero del lavoro e delle politiche sociali» pubblicato nella Gazzetta Ufficiale n. 103 del 5 maggio 2017; </w:t>
      </w:r>
    </w:p>
    <w:p w:rsidR="00FB6EA6" w:rsidRDefault="00477DB9" w:rsidP="00477DB9">
      <w:pPr>
        <w:autoSpaceDE w:val="0"/>
        <w:autoSpaceDN w:val="0"/>
        <w:adjustRightInd w:val="0"/>
        <w:spacing w:after="0" w:line="20" w:lineRule="atLeast"/>
        <w:jc w:val="both"/>
        <w:rPr>
          <w:rFonts w:cstheme="minorHAnsi"/>
        </w:rPr>
      </w:pPr>
      <w:r w:rsidRPr="006B0B81">
        <w:rPr>
          <w:rFonts w:cstheme="minorHAnsi"/>
        </w:rPr>
        <w:t xml:space="preserve">Visto il decreto legislativo 15 settembre 2017, n. 147, recante «Disposizioni per l’introduzione per una misura nazionale di contrasto alla povertà», e in particolare l’art. 22, che detta disposizioni per la riorganizzazione del Ministero del lavoro e delle politiche sociali; Visto l’art. 9 del decreto-legge 20 maggio 1993, n. 148, </w:t>
      </w:r>
      <w:r w:rsidRPr="006B0B81">
        <w:rPr>
          <w:rFonts w:cstheme="minorHAnsi"/>
        </w:rPr>
        <w:lastRenderedPageBreak/>
        <w:t xml:space="preserve">convertito, con modificazioni, dalla legge 19 luglio 1993, n. 236 recante «Interventi urgenti a sostegno dell’occupazione»; </w:t>
      </w:r>
    </w:p>
    <w:p w:rsidR="00FB6EA6" w:rsidRDefault="00F103AF" w:rsidP="00477DB9">
      <w:pPr>
        <w:autoSpaceDE w:val="0"/>
        <w:autoSpaceDN w:val="0"/>
        <w:adjustRightInd w:val="0"/>
        <w:spacing w:after="0" w:line="20" w:lineRule="atLeast"/>
        <w:jc w:val="both"/>
        <w:rPr>
          <w:rFonts w:cstheme="minorHAnsi"/>
        </w:rPr>
      </w:pPr>
      <w:r w:rsidRPr="006B0B81">
        <w:rPr>
          <w:rFonts w:cstheme="minorHAnsi"/>
        </w:rPr>
        <w:t>Vista la legge 7 aprile 2014, n. 56, recante «Disposizioni sulle città metropolitane, sulle province, sulle unioni e fusioni di comuni»;</w:t>
      </w:r>
    </w:p>
    <w:p w:rsidR="00FB6EA6" w:rsidRDefault="00F103AF" w:rsidP="00FB6EA6">
      <w:pPr>
        <w:autoSpaceDE w:val="0"/>
        <w:autoSpaceDN w:val="0"/>
        <w:adjustRightInd w:val="0"/>
        <w:spacing w:after="0" w:line="20" w:lineRule="atLeast"/>
        <w:jc w:val="both"/>
        <w:rPr>
          <w:rFonts w:cstheme="minorHAnsi"/>
        </w:rPr>
      </w:pPr>
      <w:r w:rsidRPr="006B0B81">
        <w:rPr>
          <w:rFonts w:cstheme="minorHAnsi"/>
        </w:rPr>
        <w:t xml:space="preserve"> Vista la legge 10 dicembre 2014, n. 183, recante «Deleghe al Governo in materia di riforma degli ammortizzatori sociali, dei servizi per il lavoro e delle politiche attive, nonché in materia di riordino della disciplina dei rapporti di lavoro e dell’attività ispettiva e di tutela e conciliazione delle esigenze di cura, di vita e di lavoro» e, in particolare, l’art. 1, comma 3, che, allo scopo di garantire la fruizione dei servizi essenziali in materia di politica attiva del lavoro su tutto il territorio nazionale, nonché di assicurare l’esercizio unitario delle relative funzioni amministrative, delega il Governo ad adottare uno o più decreti legislativi finalizzati al riordino della normativa in materia di servizi per il lavoro e di politiche attive; </w:t>
      </w:r>
    </w:p>
    <w:p w:rsidR="00FB6EA6" w:rsidRDefault="00F103AF" w:rsidP="00FB6EA6">
      <w:pPr>
        <w:autoSpaceDE w:val="0"/>
        <w:autoSpaceDN w:val="0"/>
        <w:adjustRightInd w:val="0"/>
        <w:spacing w:after="0" w:line="20" w:lineRule="atLeast"/>
        <w:jc w:val="both"/>
        <w:rPr>
          <w:rFonts w:cstheme="minorHAnsi"/>
        </w:rPr>
      </w:pPr>
      <w:r w:rsidRPr="006B0B81">
        <w:rPr>
          <w:rFonts w:cstheme="minorHAnsi"/>
        </w:rPr>
        <w:t>Visto, altresì, l’art. 1, comma 4, lettera c</w:t>
      </w:r>
      <w:proofErr w:type="gramStart"/>
      <w:r w:rsidRPr="006B0B81">
        <w:rPr>
          <w:rFonts w:cstheme="minorHAnsi"/>
        </w:rPr>
        <w:t>) ,</w:t>
      </w:r>
      <w:proofErr w:type="gramEnd"/>
      <w:r w:rsidRPr="006B0B81">
        <w:rPr>
          <w:rFonts w:cstheme="minorHAnsi"/>
        </w:rPr>
        <w:t xml:space="preserve"> della citata legge n. 183 del 2014, recante il criterio di delega relativo all’istituzione, anche ai sensi dell’art. 8 del decreto legislativo 30 luglio 1999, n. 300, senza nuovi o maggiori oneri a carico della finanza pubblica, di un’Agenzia nazionale per l’occupazione partecipata da Stato, regioni e province autonome, vigilata dal Ministero del lavoro e delle politiche sociali; </w:t>
      </w:r>
    </w:p>
    <w:p w:rsidR="00FB6EA6" w:rsidRDefault="00F103AF" w:rsidP="00FB6EA6">
      <w:pPr>
        <w:autoSpaceDE w:val="0"/>
        <w:autoSpaceDN w:val="0"/>
        <w:adjustRightInd w:val="0"/>
        <w:spacing w:after="0" w:line="20" w:lineRule="atLeast"/>
        <w:jc w:val="both"/>
        <w:rPr>
          <w:rFonts w:cstheme="minorHAnsi"/>
        </w:rPr>
      </w:pPr>
      <w:r w:rsidRPr="006B0B81">
        <w:rPr>
          <w:rFonts w:cstheme="minorHAnsi"/>
        </w:rPr>
        <w:t>Visto il decreto legislativo 14 settembre 2015, n. 150, recante «Disposizioni per il riordino della normativa in materia di servizi per il lavoro e di politiche attive, ai sensi dell’art. 1, comma 3, della legge 10 dicembre 2014, n. 183», e in particolare l’art. 4, comma 1, che, in attuazione del richiamato art. 1, comma 4, lettera c</w:t>
      </w:r>
      <w:proofErr w:type="gramStart"/>
      <w:r w:rsidRPr="006B0B81">
        <w:rPr>
          <w:rFonts w:cstheme="minorHAnsi"/>
        </w:rPr>
        <w:t>) ,</w:t>
      </w:r>
      <w:proofErr w:type="gramEnd"/>
      <w:r w:rsidRPr="006B0B81">
        <w:rPr>
          <w:rFonts w:cstheme="minorHAnsi"/>
        </w:rPr>
        <w:t xml:space="preserve"> della legge n. 183 del 2014, istituisce l’Agenzia nazionale delle politiche attive del lavoro</w:t>
      </w:r>
      <w:r w:rsidR="00FB6EA6">
        <w:rPr>
          <w:rFonts w:cstheme="minorHAnsi"/>
        </w:rPr>
        <w:t xml:space="preserve"> - ANPAL; </w:t>
      </w:r>
    </w:p>
    <w:p w:rsidR="00FB6EA6" w:rsidRDefault="00F103AF" w:rsidP="00FB6EA6">
      <w:pPr>
        <w:autoSpaceDE w:val="0"/>
        <w:autoSpaceDN w:val="0"/>
        <w:adjustRightInd w:val="0"/>
        <w:spacing w:after="0" w:line="20" w:lineRule="atLeast"/>
        <w:jc w:val="both"/>
        <w:rPr>
          <w:rFonts w:cstheme="minorHAnsi"/>
        </w:rPr>
      </w:pPr>
      <w:r w:rsidRPr="006B0B81">
        <w:rPr>
          <w:rFonts w:cstheme="minorHAnsi"/>
        </w:rPr>
        <w:t xml:space="preserve">Visto, in particolare, il comma 13 dell’art. 4 del citato decreto legislativo 14 settembre 2015, n. 150 che espressamente prevede che «ANPAL subentra nella titolarità delle azioni di Italia Lavoro S.p.a. ed il suo presidente ne diviene amministratore unico, senza diritto a compensi, con contestuale decadenza del Consiglio di amministrazione di Italia Lavoro S.p.a. Nei successivi trenta giorni, Italia Lavoro S.p.a. adotta il nuovo statuto, che prevede forme di controllo da parte ANPAL tali da assicurare la funzione di struttura in house di Italia Lavoro S.p.a., ed è soggetto all’approvazione del Ministero del lavoro e delle politiche sociali di concerto con il Ministero dell’economia e delle finanze»; </w:t>
      </w:r>
    </w:p>
    <w:p w:rsidR="00FB6EA6" w:rsidRDefault="00F103AF" w:rsidP="00FB6EA6">
      <w:pPr>
        <w:autoSpaceDE w:val="0"/>
        <w:autoSpaceDN w:val="0"/>
        <w:adjustRightInd w:val="0"/>
        <w:spacing w:after="0" w:line="20" w:lineRule="atLeast"/>
        <w:jc w:val="both"/>
        <w:rPr>
          <w:rFonts w:cstheme="minorHAnsi"/>
        </w:rPr>
      </w:pPr>
      <w:r w:rsidRPr="006B0B81">
        <w:rPr>
          <w:rFonts w:cstheme="minorHAnsi"/>
        </w:rPr>
        <w:t xml:space="preserve">Vista la legge 11 dicembre 2016, n. 232, recante «Bilancio di previsione dello Stato per l’anno finanziario 2017 e bilancio pluriennale per il triennio 2017 - 2019», e in particolare l’art. 1, comma 595, che dispone il cambio di denominazione della società Italia Lavoro S.p.a. in «ANPAL Servizi S.p.a.»; </w:t>
      </w:r>
    </w:p>
    <w:p w:rsidR="00FB6EA6" w:rsidRDefault="00F103AF" w:rsidP="00FB6EA6">
      <w:pPr>
        <w:autoSpaceDE w:val="0"/>
        <w:autoSpaceDN w:val="0"/>
        <w:adjustRightInd w:val="0"/>
        <w:spacing w:after="0" w:line="20" w:lineRule="atLeast"/>
        <w:jc w:val="both"/>
        <w:rPr>
          <w:rFonts w:cstheme="minorHAnsi"/>
        </w:rPr>
      </w:pPr>
      <w:r w:rsidRPr="006B0B81">
        <w:rPr>
          <w:rFonts w:cstheme="minorHAnsi"/>
        </w:rPr>
        <w:t xml:space="preserve">Considerato che ANPAL Servizi S.p.a. supporta l’ANPAL nella realizzazione delle politiche attive del lavoro a favore di persone in cerca di occupazione; nel rafforzamento dei servizi per l’impiego a favore delle fasce particolarmente svantaggiate nonché nella ricollocazione dei disoccupati; </w:t>
      </w:r>
    </w:p>
    <w:p w:rsidR="00FB6EA6" w:rsidRDefault="00F103AF" w:rsidP="00FB6EA6">
      <w:pPr>
        <w:autoSpaceDE w:val="0"/>
        <w:autoSpaceDN w:val="0"/>
        <w:adjustRightInd w:val="0"/>
        <w:spacing w:after="0" w:line="20" w:lineRule="atLeast"/>
        <w:jc w:val="both"/>
        <w:rPr>
          <w:rFonts w:cstheme="minorHAnsi"/>
        </w:rPr>
      </w:pPr>
      <w:r w:rsidRPr="006B0B81">
        <w:rPr>
          <w:rFonts w:cstheme="minorHAnsi"/>
        </w:rPr>
        <w:t xml:space="preserve">Considerato che ANPAL esercita il ruolo di coordinamento della rete dei servizi per le politiche del lavoro, nel rispetto delle competenze costituzionalmente riconosciute alle Regioni e alle Province autonome di Trento e Bolzano ai sensi del predetto decreto legislativo n. 150/2015; </w:t>
      </w:r>
    </w:p>
    <w:p w:rsidR="00FB6EA6" w:rsidRDefault="00F103AF" w:rsidP="00FB6EA6">
      <w:pPr>
        <w:autoSpaceDE w:val="0"/>
        <w:autoSpaceDN w:val="0"/>
        <w:adjustRightInd w:val="0"/>
        <w:spacing w:after="0" w:line="20" w:lineRule="atLeast"/>
        <w:jc w:val="both"/>
        <w:rPr>
          <w:rFonts w:cstheme="minorHAnsi"/>
        </w:rPr>
      </w:pPr>
      <w:r w:rsidRPr="006B0B81">
        <w:rPr>
          <w:rFonts w:cstheme="minorHAnsi"/>
        </w:rPr>
        <w:t>Visto il decreto-legge 19 giugno 2015, n. 78 convertito, con modificazioni, dalla legge 6 agosto 2015, n. 125 recante «Disposizioni urgenti in materia di enti territoriali. Disposizioni per garantire la continuità dei dispositivi di sicurezza e di controllo del territorio. Razionalizzazione delle spese del Servizio sanitario nazionale nonché norme in materia di rifiuti e di emissioni industriali»;</w:t>
      </w:r>
    </w:p>
    <w:p w:rsidR="00FB6EA6" w:rsidRDefault="00F103AF" w:rsidP="00FB6EA6">
      <w:pPr>
        <w:autoSpaceDE w:val="0"/>
        <w:autoSpaceDN w:val="0"/>
        <w:adjustRightInd w:val="0"/>
        <w:spacing w:after="0" w:line="20" w:lineRule="atLeast"/>
        <w:jc w:val="both"/>
        <w:rPr>
          <w:rFonts w:cstheme="minorHAnsi"/>
        </w:rPr>
      </w:pPr>
      <w:r w:rsidRPr="006B0B81">
        <w:rPr>
          <w:rFonts w:cstheme="minorHAnsi"/>
        </w:rPr>
        <w:t xml:space="preserve">Visto l’art. 1, comma 793, della legge 27 dicembre 2017, n. 2015, con il quale, allo scopo di completare la transizione in capo alle regioni delle competenze gestionali in materia di politiche attive del lavoro esercitate attraverso i centri per l’impiego e di consolidarne l’attività a supporto della riforma delle politiche attive del lavoro di cui al decreto legislativo n. 150 del 2015, è stato previsto il trasferimento del personale delle città metropolitane e delle province in servizio preso i centri per l’impiego alle dipendenze della relativa regione o dell’agenzia o ente regionale costituito per la gestione dei servizi per l’impiego; </w:t>
      </w:r>
    </w:p>
    <w:p w:rsidR="00660E3D" w:rsidRDefault="00F103AF" w:rsidP="00660E3D">
      <w:pPr>
        <w:autoSpaceDE w:val="0"/>
        <w:autoSpaceDN w:val="0"/>
        <w:adjustRightInd w:val="0"/>
        <w:spacing w:after="0" w:line="20" w:lineRule="atLeast"/>
        <w:jc w:val="both"/>
        <w:rPr>
          <w:rFonts w:cstheme="minorHAnsi"/>
        </w:rPr>
      </w:pPr>
      <w:r w:rsidRPr="006B0B81">
        <w:rPr>
          <w:rFonts w:cstheme="minorHAnsi"/>
        </w:rPr>
        <w:t xml:space="preserve">Visto il decreto-legge 28 gennaio 2019, n. 4, coordinato con legge di conversione 28 marzo 2019, n. 26, recante «Disposizioni urgenti in materia di reddito di cittadinanza e di pensioni» ed, in particolare, l’art. 12, comma 3, recante «Disposizioni finanziarie per l’attuazione del programma di Reddito di cittadinanza»; </w:t>
      </w:r>
    </w:p>
    <w:p w:rsidR="00660E3D" w:rsidRDefault="00F103AF" w:rsidP="00660E3D">
      <w:pPr>
        <w:autoSpaceDE w:val="0"/>
        <w:autoSpaceDN w:val="0"/>
        <w:adjustRightInd w:val="0"/>
        <w:spacing w:after="0" w:line="20" w:lineRule="atLeast"/>
        <w:jc w:val="both"/>
        <w:rPr>
          <w:rFonts w:cstheme="minorHAnsi"/>
        </w:rPr>
      </w:pPr>
      <w:r w:rsidRPr="006B0B81">
        <w:rPr>
          <w:rFonts w:cstheme="minorHAnsi"/>
        </w:rPr>
        <w:t xml:space="preserve">Vista l’intesa ai sensi dell’art. 8, comma 6, della legge 5 giugno 2003, n. 131, sancita dalla Conferenza Stato-Regioni, nella seduta del 17 aprile 2019 relativamente al Piano straordinario di potenziamento dei centri per l’impiego e delle politiche attive del lavoro; </w:t>
      </w:r>
    </w:p>
    <w:p w:rsidR="00660E3D" w:rsidRDefault="00F103AF" w:rsidP="00660E3D">
      <w:pPr>
        <w:autoSpaceDE w:val="0"/>
        <w:autoSpaceDN w:val="0"/>
        <w:adjustRightInd w:val="0"/>
        <w:spacing w:after="0" w:line="20" w:lineRule="atLeast"/>
        <w:jc w:val="both"/>
        <w:rPr>
          <w:rFonts w:cstheme="minorHAnsi"/>
        </w:rPr>
      </w:pPr>
      <w:r w:rsidRPr="006B0B81">
        <w:rPr>
          <w:rFonts w:cstheme="minorHAnsi"/>
        </w:rPr>
        <w:t xml:space="preserve">Visto il decreto legislativo 12 maggio 2016, n. 90, recante «Completamento della riforma della struttura dello Stato, in attuazione dell’art. 40, comma 1, della legge 31 dicembre 2009, n. 196»; </w:t>
      </w:r>
    </w:p>
    <w:p w:rsidR="00660E3D" w:rsidRDefault="00F103AF" w:rsidP="00660E3D">
      <w:pPr>
        <w:autoSpaceDE w:val="0"/>
        <w:autoSpaceDN w:val="0"/>
        <w:adjustRightInd w:val="0"/>
        <w:spacing w:after="0" w:line="20" w:lineRule="atLeast"/>
        <w:jc w:val="both"/>
        <w:rPr>
          <w:rFonts w:cstheme="minorHAnsi"/>
        </w:rPr>
      </w:pPr>
      <w:r w:rsidRPr="006B0B81">
        <w:rPr>
          <w:rFonts w:cstheme="minorHAnsi"/>
        </w:rPr>
        <w:lastRenderedPageBreak/>
        <w:t xml:space="preserve">Visto il decreto legislativo 12 maggio 2016, n. 93, recante «Riordino della disciplina per la gestione del bilancio e il potenziamento della funzione del bilancio di cassa, in attuazione dell’art. 42, comma 1, della legge 31 dicembre 2009, n. 196»; </w:t>
      </w:r>
    </w:p>
    <w:p w:rsidR="00660E3D" w:rsidRDefault="00F103AF" w:rsidP="00660E3D">
      <w:pPr>
        <w:autoSpaceDE w:val="0"/>
        <w:autoSpaceDN w:val="0"/>
        <w:adjustRightInd w:val="0"/>
        <w:spacing w:after="0" w:line="20" w:lineRule="atLeast"/>
        <w:jc w:val="both"/>
        <w:rPr>
          <w:rFonts w:cstheme="minorHAnsi"/>
        </w:rPr>
      </w:pPr>
      <w:r w:rsidRPr="006B0B81">
        <w:rPr>
          <w:rFonts w:cstheme="minorHAnsi"/>
        </w:rPr>
        <w:t xml:space="preserve">Vista la legge 30 dicembre 2018, n. 145 recante «Bilancio di previsione dello Stato per l’anno finanziario 2019 e bilancio pluriennale per il triennio 2019-2021»; </w:t>
      </w:r>
    </w:p>
    <w:p w:rsidR="00660E3D" w:rsidRDefault="00F103AF" w:rsidP="00660E3D">
      <w:pPr>
        <w:autoSpaceDE w:val="0"/>
        <w:autoSpaceDN w:val="0"/>
        <w:adjustRightInd w:val="0"/>
        <w:spacing w:after="0" w:line="20" w:lineRule="atLeast"/>
        <w:jc w:val="both"/>
        <w:rPr>
          <w:rFonts w:cstheme="minorHAnsi"/>
        </w:rPr>
      </w:pPr>
      <w:r w:rsidRPr="006B0B81">
        <w:rPr>
          <w:rFonts w:cstheme="minorHAnsi"/>
        </w:rPr>
        <w:t xml:space="preserve">Visto il decreto legislativo 16 marzo 2018, n. 29, recante «Riordino della disciplina per la gestione del bilancio e il potenziamento della funzione del bilancio di cassa, in attuazione dell’art. 42, comma 1, della legge 31 dicembre 2009, n. 196»; </w:t>
      </w:r>
    </w:p>
    <w:p w:rsidR="00660E3D" w:rsidRDefault="00F103AF" w:rsidP="00660E3D">
      <w:pPr>
        <w:autoSpaceDE w:val="0"/>
        <w:autoSpaceDN w:val="0"/>
        <w:adjustRightInd w:val="0"/>
        <w:spacing w:after="0" w:line="20" w:lineRule="atLeast"/>
        <w:jc w:val="both"/>
        <w:rPr>
          <w:rFonts w:cstheme="minorHAnsi"/>
        </w:rPr>
      </w:pPr>
      <w:r w:rsidRPr="006B0B81">
        <w:rPr>
          <w:rFonts w:cstheme="minorHAnsi"/>
        </w:rPr>
        <w:t xml:space="preserve">Visto il decreto del Ministero dell’economia e delle finanze del 31 dicembre 2018 </w:t>
      </w:r>
      <w:proofErr w:type="gramStart"/>
      <w:r w:rsidRPr="006B0B81">
        <w:rPr>
          <w:rFonts w:cstheme="minorHAnsi"/>
        </w:rPr>
        <w:t>( Gazzetta</w:t>
      </w:r>
      <w:proofErr w:type="gramEnd"/>
      <w:r w:rsidRPr="006B0B81">
        <w:rPr>
          <w:rFonts w:cstheme="minorHAnsi"/>
        </w:rPr>
        <w:t xml:space="preserve"> Ufficiale - Serie generale n. 302 del 31 dicembre 2018 - Supplemento ordinario n. 63) concernente la «Ripartizione in capitoli delle Unità di voto parlamentare relative al bilancio di previsione dello Stato per l’anno finanziario 2019 e per il triennio 2019-2021» e, in particolare, la Tabella 4;</w:t>
      </w:r>
    </w:p>
    <w:p w:rsidR="00660E3D" w:rsidRDefault="00F103AF" w:rsidP="00660E3D">
      <w:pPr>
        <w:autoSpaceDE w:val="0"/>
        <w:autoSpaceDN w:val="0"/>
        <w:adjustRightInd w:val="0"/>
        <w:spacing w:after="0" w:line="20" w:lineRule="atLeast"/>
        <w:jc w:val="both"/>
        <w:rPr>
          <w:rFonts w:cstheme="minorHAnsi"/>
        </w:rPr>
      </w:pPr>
      <w:r w:rsidRPr="006B0B81">
        <w:rPr>
          <w:rFonts w:cstheme="minorHAnsi"/>
        </w:rPr>
        <w:t xml:space="preserve">Considerato che, nella tabella 4 dello stato di previsione del Ministero del lavoro e delle politiche sociali per l’esercizio finanziario 2019, le risorse stanziate quale contributo statale alle spese di funzionamento dei centri per l’impiego sono appostate sul capitolo 1232 «Contributo alle spese di funzionamento dei centri per l’impiego» - missione 26 (Politiche per il lavoro) - Programma 10 - Azione - «Promozione e realizzazione di interventi a favore dell’inserimento lavorativo e della formazione professionale dei lavoratori svolta dall’ANPAL» di competenza del Centro di responsabilità amministrativa 2 - Segretariato generale; Considerato che con decreto del Ministro dell’economia e finanze n. 99648 del 23 maggio 2019 registrato dalla Corte dei conti al n. 807 del 3 giugno 2019, e con decreto del Ragioniere generale dello Stato n. 172840 del 27 giugno 2019 registrato dalla Corte dei conti al n. 933 del 28 giugno 2019, sono state apportate le variazioni amministrative in termini di competenza e cassa sui competenti capitoli di bilancio di questo Ministero in attuazione del citato decreto-legge 28 gennaio 2019, n. 4, coordinato con legge di conversione 28 marzo 2019, n. 26, recante «Disposizioni urgenti in materia di reddito di cittadinanza e di pensioni» ed in particolare sul capitolo 1232 p.g. 1 «Contributo alle regioni per il concorso alle spese di funzionamento dei centri per l’impiego» - e sul capitolo 2234 p.g. 1 «Contributo statale alle spese di funzionamento e ai costi generali di struttura di ANPAL Servizi S.p.a.», missione 26 (politiche per il lavoro) - Programma 10 - di competenza del Centro di responsabilità amministrativa 2 - Segretariato generale, dello stato di previsione della spesa del Ministero del lavoro e delle politiche sociali; </w:t>
      </w:r>
    </w:p>
    <w:p w:rsidR="00660E3D" w:rsidRDefault="00F103AF" w:rsidP="00660E3D">
      <w:pPr>
        <w:autoSpaceDE w:val="0"/>
        <w:autoSpaceDN w:val="0"/>
        <w:adjustRightInd w:val="0"/>
        <w:spacing w:after="0" w:line="20" w:lineRule="atLeast"/>
        <w:jc w:val="both"/>
        <w:rPr>
          <w:rFonts w:cstheme="minorHAnsi"/>
        </w:rPr>
      </w:pPr>
      <w:r w:rsidRPr="006B0B81">
        <w:rPr>
          <w:rFonts w:cstheme="minorHAnsi"/>
        </w:rPr>
        <w:t xml:space="preserve">Ritenuto necessario procedere all’adozione del Piano straordinario di potenziamento dei centri per l’impiego e delle politiche attive del lavoro; </w:t>
      </w:r>
    </w:p>
    <w:p w:rsidR="00660E3D" w:rsidRDefault="00F103AF" w:rsidP="00660E3D">
      <w:pPr>
        <w:autoSpaceDE w:val="0"/>
        <w:autoSpaceDN w:val="0"/>
        <w:adjustRightInd w:val="0"/>
        <w:spacing w:after="0" w:line="20" w:lineRule="atLeast"/>
        <w:jc w:val="both"/>
        <w:rPr>
          <w:rFonts w:cstheme="minorHAnsi"/>
        </w:rPr>
      </w:pPr>
      <w:r w:rsidRPr="006B0B81">
        <w:rPr>
          <w:rFonts w:cstheme="minorHAnsi"/>
        </w:rPr>
        <w:t xml:space="preserve">Ritenuto necessario procedere, altresì, al riparto delle risorse previste per l’attuazione del predetto Piano straordinario; </w:t>
      </w:r>
    </w:p>
    <w:p w:rsidR="00660E3D" w:rsidRDefault="00F103AF" w:rsidP="00660E3D">
      <w:pPr>
        <w:autoSpaceDE w:val="0"/>
        <w:autoSpaceDN w:val="0"/>
        <w:adjustRightInd w:val="0"/>
        <w:spacing w:after="0" w:line="20" w:lineRule="atLeast"/>
        <w:jc w:val="both"/>
        <w:rPr>
          <w:rFonts w:cstheme="minorHAnsi"/>
        </w:rPr>
      </w:pPr>
      <w:r w:rsidRPr="006B0B81">
        <w:rPr>
          <w:rFonts w:cstheme="minorHAnsi"/>
        </w:rPr>
        <w:t xml:space="preserve">Decreta: </w:t>
      </w:r>
    </w:p>
    <w:p w:rsidR="00660E3D" w:rsidRDefault="00F103AF" w:rsidP="00660E3D">
      <w:pPr>
        <w:autoSpaceDE w:val="0"/>
        <w:autoSpaceDN w:val="0"/>
        <w:adjustRightInd w:val="0"/>
        <w:spacing w:after="0" w:line="20" w:lineRule="atLeast"/>
        <w:jc w:val="both"/>
        <w:rPr>
          <w:rFonts w:cstheme="minorHAnsi"/>
        </w:rPr>
      </w:pPr>
      <w:r w:rsidRPr="006B0B81">
        <w:rPr>
          <w:rFonts w:cstheme="minorHAnsi"/>
        </w:rPr>
        <w:t xml:space="preserve">Art. 1. Piano straordinario di potenziamento dei centri per l’impiego e delle politiche attive del lavoro </w:t>
      </w:r>
    </w:p>
    <w:p w:rsidR="00660E3D" w:rsidRDefault="00F103AF" w:rsidP="00660E3D">
      <w:pPr>
        <w:autoSpaceDE w:val="0"/>
        <w:autoSpaceDN w:val="0"/>
        <w:adjustRightInd w:val="0"/>
        <w:spacing w:after="0" w:line="20" w:lineRule="atLeast"/>
        <w:jc w:val="both"/>
        <w:rPr>
          <w:rFonts w:cstheme="minorHAnsi"/>
        </w:rPr>
      </w:pPr>
      <w:r w:rsidRPr="006B0B81">
        <w:rPr>
          <w:rFonts w:cstheme="minorHAnsi"/>
        </w:rPr>
        <w:t xml:space="preserve">1. È adottato il Piano straordinario di potenziamento dei centri per l’impiego e delle politiche attive del lavoro, di cui all’allegato A, che costituisce parte integrante del presente decreto, approvato come da intesa dalla Conferenza Stato-Regioni, nella seduta del 17 aprile 2019, ai sensi dell’art. 8, comma 6, della legge 5 giugno 2003, n. 131. </w:t>
      </w:r>
    </w:p>
    <w:p w:rsidR="00660E3D" w:rsidRDefault="00F103AF" w:rsidP="00660E3D">
      <w:pPr>
        <w:autoSpaceDE w:val="0"/>
        <w:autoSpaceDN w:val="0"/>
        <w:adjustRightInd w:val="0"/>
        <w:spacing w:after="0" w:line="20" w:lineRule="atLeast"/>
        <w:jc w:val="both"/>
        <w:rPr>
          <w:rFonts w:cstheme="minorHAnsi"/>
        </w:rPr>
      </w:pPr>
      <w:r w:rsidRPr="006B0B81">
        <w:rPr>
          <w:rFonts w:cstheme="minorHAnsi"/>
        </w:rPr>
        <w:t xml:space="preserve">2. Il Piano di cui al comma 1 costituisce l’atto di programmazione e gestione nazionale per l’attuazione del programma del Reddito di cittadinanza e individua le risorse destinate allo sviluppo degli interventi e dei servizi necessari.3. Il Piano ha durata triennale ed è aggiornato annualmente. </w:t>
      </w:r>
    </w:p>
    <w:p w:rsidR="00660E3D" w:rsidRDefault="00F103AF" w:rsidP="00660E3D">
      <w:pPr>
        <w:autoSpaceDE w:val="0"/>
        <w:autoSpaceDN w:val="0"/>
        <w:adjustRightInd w:val="0"/>
        <w:spacing w:after="0" w:line="20" w:lineRule="atLeast"/>
        <w:jc w:val="both"/>
        <w:rPr>
          <w:rFonts w:cstheme="minorHAnsi"/>
        </w:rPr>
      </w:pPr>
      <w:r w:rsidRPr="006B0B81">
        <w:rPr>
          <w:rFonts w:cstheme="minorHAnsi"/>
        </w:rPr>
        <w:t xml:space="preserve">Art. 2. Risorse </w:t>
      </w:r>
    </w:p>
    <w:p w:rsidR="00660E3D" w:rsidRDefault="00F103AF" w:rsidP="00660E3D">
      <w:pPr>
        <w:autoSpaceDE w:val="0"/>
        <w:autoSpaceDN w:val="0"/>
        <w:adjustRightInd w:val="0"/>
        <w:spacing w:after="0" w:line="20" w:lineRule="atLeast"/>
        <w:jc w:val="both"/>
        <w:rPr>
          <w:rFonts w:cstheme="minorHAnsi"/>
        </w:rPr>
      </w:pPr>
      <w:r w:rsidRPr="006B0B81">
        <w:rPr>
          <w:rFonts w:cstheme="minorHAnsi"/>
        </w:rPr>
        <w:t>1. Le complessive risorse, afferenti all’attuazione del Piano di cui all’art. 1, sono così individuate: a) risorse di cui all’art. 1, comma 258, della legge 30 dicembre 2018, n. 145, come modificato dall’art. 12, comma 8, lettera b</w:t>
      </w:r>
      <w:proofErr w:type="gramStart"/>
      <w:r w:rsidRPr="006B0B81">
        <w:rPr>
          <w:rFonts w:cstheme="minorHAnsi"/>
        </w:rPr>
        <w:t>) ,</w:t>
      </w:r>
      <w:proofErr w:type="gramEnd"/>
      <w:r w:rsidRPr="006B0B81">
        <w:rPr>
          <w:rFonts w:cstheme="minorHAnsi"/>
        </w:rPr>
        <w:t xml:space="preserve"> punto 1) del citato decreto-legge 28 gennaio 2019, n. 4, coordinato con legge di conversione 28 marzo 2019, n. 26: anno 2019 euro 467.200.000,00; anno 2020 euro 403.100.000,00. Le risorse sopra indicate sono ripartite alle regioni sulla base dei criteri previsti dall’allegato 1 del Piano straordinario denominato «Riparto alle regioni e PA delle unità di personale previste dall’art. 1, comma 258, della legge 30 dicembre 2018, n. 145». Il piano di ripartizione alle regioni delle risorse sopra evidenziate è allegato alla tabella B del presente decreto di cui costituisce parte integrante; </w:t>
      </w:r>
      <w:r w:rsidR="00660E3D">
        <w:rPr>
          <w:rFonts w:cstheme="minorHAnsi"/>
        </w:rPr>
        <w:t xml:space="preserve"> </w:t>
      </w:r>
      <w:r w:rsidRPr="006B0B81">
        <w:rPr>
          <w:rFonts w:cstheme="minorHAnsi"/>
        </w:rPr>
        <w:t xml:space="preserve">b) risorse aggiuntive di cui all’art. 12, comma 3, del citato decreto-legge n. 4/2019, coordinato con legge di conversione 28 marzo 2019, n. 26: anno 2019 euro 150.000.000,00 (di cui fino a 80.000.000,00 destinati ad Anpal Servizi S.p.a. e euro 70.000.000,00 da ripartire alle regioni sulla </w:t>
      </w:r>
      <w:r w:rsidRPr="006B0B81">
        <w:rPr>
          <w:rFonts w:cstheme="minorHAnsi"/>
        </w:rPr>
        <w:lastRenderedPageBreak/>
        <w:t xml:space="preserve">base del criterio indicato nella tabella 1 del Piano straordinario, denominata «Stima dei fabbisogno di navigator per regione e provincia di residenza dei nuclei familiari potenzialmente beneficiari del reddito di cittadinanza»); anno 2020 euro 130.000.000,00 destinate ad Anpal Servizi S.p.a.; anno 2021 euro 50.000.000,00 destinate ad Anpal Servizi S.p.a. Il piano di ripartizione alle regioni delle risorse sopra evidenziate è allegato alla tabella C del presente decreto di cui costituisce parte integrante; c) risorse di cui al combinato disposto dell’art. 1, comma 258, 4° periodo, della legge 30 dicembre 2018, n. 145 e dell’art. 12, comma 8, lettera b) del decretolegge 28 gennaio 2019, n. 4, coordinato con legge di conversione 28 marzo 2019, n. 26, da ripartire sulla base del criterio di riparto previsto dall’allegato 1 del Piano denominato «Riparto alle regioni e PA delle unità di personale previste dall’art. 1, comma 258, della legge 30 dicembre 2018, n. 145»; anno 2019 euro 120.000.000,00 (di cui 80.000.000,00 sono trasferiti secondo le modalità previste dal successivo art. 3, comma 3); anno 2020 e successivi euro 160.000.000,00. Il piano di ripartizione alle regioni delle risorse sopra evidenziate è allegato alla tabella D del presente decreto di cui costituisce parte integrante; d) risorse aggiuntive di cui all’art. 12, comma 3 - </w:t>
      </w:r>
      <w:proofErr w:type="gramStart"/>
      <w:r w:rsidRPr="006B0B81">
        <w:rPr>
          <w:rFonts w:cstheme="minorHAnsi"/>
        </w:rPr>
        <w:t>bis ,</w:t>
      </w:r>
      <w:proofErr w:type="gramEnd"/>
      <w:r w:rsidRPr="006B0B81">
        <w:rPr>
          <w:rFonts w:cstheme="minorHAnsi"/>
        </w:rPr>
        <w:t xml:space="preserve"> del citato decreto-legge 28 gennaio 2019, n. 4, coordinato con legge di conversione 28 marzo 2019, n. 26: anno 2020 euro 120.000.000,00; anno 2021 e successivi euro 304.000.000,00. Le risorse dell’anno 2020 sono ripartite alle regioni sulla base dei criteri previsti dalla tabella 1 del Piano denominata «Stima dei fabbisogno di navigator per regione e provincia di residenza dei nuclei familiari potenzialmente beneficiari del reddito di cittadinanza». Le risorse dell’anno 2021 sono ripartite alle regioni per euro 240.000.000,00 sulla base dei criteri previsti dalla tabella 1 del Piano denominata «Stima dei fabbisogno di navigator per regione e provincia di residenza dei nuclei familiari potenzialmente beneficiari del reddito di cittadinanza». Le restanti risorse pari a euro 64.000.000,00 sono ripartite sulla base dei criteri previsti dall’allegato 1 del Piano straordinario denominato «Riparto alle regioni e PA delle unità di personale previste dall’art. 1, comma 258, della legge 30 dicembre 2018, n. 145». Il piano di ripartizione alle regioni delle risorse sopra evidenziate è allegato alla tabella E del presente decreto di cui costituisce parte integrante. </w:t>
      </w:r>
    </w:p>
    <w:p w:rsidR="00660E3D" w:rsidRDefault="00F103AF" w:rsidP="00660E3D">
      <w:pPr>
        <w:autoSpaceDE w:val="0"/>
        <w:autoSpaceDN w:val="0"/>
        <w:adjustRightInd w:val="0"/>
        <w:spacing w:after="0" w:line="20" w:lineRule="atLeast"/>
        <w:jc w:val="both"/>
        <w:rPr>
          <w:rFonts w:cstheme="minorHAnsi"/>
        </w:rPr>
      </w:pPr>
      <w:r w:rsidRPr="006B0B81">
        <w:rPr>
          <w:rFonts w:cstheme="minorHAnsi"/>
        </w:rPr>
        <w:t xml:space="preserve"> Art. 3. Trasferimenti </w:t>
      </w:r>
    </w:p>
    <w:p w:rsidR="00660E3D" w:rsidRDefault="00F103AF" w:rsidP="00660E3D">
      <w:pPr>
        <w:autoSpaceDE w:val="0"/>
        <w:autoSpaceDN w:val="0"/>
        <w:adjustRightInd w:val="0"/>
        <w:spacing w:after="0" w:line="20" w:lineRule="atLeast"/>
        <w:jc w:val="both"/>
        <w:rPr>
          <w:rFonts w:cstheme="minorHAnsi"/>
        </w:rPr>
      </w:pPr>
      <w:r w:rsidRPr="006B0B81">
        <w:rPr>
          <w:rFonts w:cstheme="minorHAnsi"/>
        </w:rPr>
        <w:t>1. Le risorse di cui all’art. 2, punto a</w:t>
      </w:r>
      <w:proofErr w:type="gramStart"/>
      <w:r w:rsidRPr="006B0B81">
        <w:rPr>
          <w:rFonts w:cstheme="minorHAnsi"/>
        </w:rPr>
        <w:t>) ,</w:t>
      </w:r>
      <w:proofErr w:type="gramEnd"/>
      <w:r w:rsidRPr="006B0B81">
        <w:rPr>
          <w:rFonts w:cstheme="minorHAnsi"/>
        </w:rPr>
        <w:t xml:space="preserve"> sono trasferite dal competente Centro di responsabilità Segretariato generale del Ministero del lavoro e delle politiche sociali con le seguenti modalità: per l’anno 2019 il 50% delle risorse è erogato all’esito del perfezionamento del presente decreto ministeriale. La rimanente quota è trasferita dietro richiesta della regione corredata da apposita attestazione circa l’avvenuto utilizzo o l’impegno giuridicamente vincolante, ai sensi e per le finalità di cui all’art. 2, punto a) del presente decreto, delle risorse già anticipate e destinate per i piani di potenziamento, anche infrastrutturale, dei Centri per l’impiego. Il piano di ripartizione alle regioni per l’anno 2019 di euro 467.200.000,00 è allegato alla tabella B 1 del presente decreto di cui costituisce parte integrante; per l’anno 2020 il Ministero del lavoro e delle politiche sociali, all’esito della ricezione della documentazione attestante l’effettivo utilizzo o l’impegno giuridicamente vincolante di tutte le risorse già erogate per l’anno 2019, con apposito provvedimento procede al trasferimento delle risorse pari a complessivi euro 403.100.000,00. Le predette risorse sono trasferite alle singole regioni previa presentazione di apposita documentazione, giuridicamente vincolante, attestante le specifiche spese connesse al potenziamento, anche infrastrutturale, dei centri per l’impiego. </w:t>
      </w:r>
    </w:p>
    <w:p w:rsidR="00660E3D" w:rsidRDefault="00F103AF" w:rsidP="00660E3D">
      <w:pPr>
        <w:autoSpaceDE w:val="0"/>
        <w:autoSpaceDN w:val="0"/>
        <w:adjustRightInd w:val="0"/>
        <w:spacing w:after="0" w:line="20" w:lineRule="atLeast"/>
        <w:jc w:val="both"/>
        <w:rPr>
          <w:rFonts w:cstheme="minorHAnsi"/>
        </w:rPr>
      </w:pPr>
      <w:r w:rsidRPr="006B0B81">
        <w:rPr>
          <w:rFonts w:cstheme="minorHAnsi"/>
        </w:rPr>
        <w:t>2. Le risorse di cui all’art. 2, punto b) , sono trasferite dal competente Centro di responsabilità Segretariato generale del Ministero del lavoro e delle politiche sociali con le seguenti modalità: euro 70.000.000,00 per l’anno 2019, sono trasferite alle regioni all’esito dell’avvenuta stipula delle convenzioni previste dall’art. 12, comma 3, del citato decreto-legge 28 gennaio 2019, n. 4, coordinato con legge di conversione 28 marzo 2019, n. 26, tra le regioni e Anpal Servizi S.p.a. che avrà cura di trasmetterle al Ministero; euro 68.000.000,00 per l’anno 2019 sono trasferite ad ANPAL Servizi S.p.a. all’esito del perfezionamento del presente atto.</w:t>
      </w:r>
    </w:p>
    <w:p w:rsidR="00F103AF" w:rsidRPr="006B0B81" w:rsidRDefault="00F103AF" w:rsidP="00660E3D">
      <w:pPr>
        <w:autoSpaceDE w:val="0"/>
        <w:autoSpaceDN w:val="0"/>
        <w:adjustRightInd w:val="0"/>
        <w:spacing w:after="0" w:line="20" w:lineRule="atLeast"/>
        <w:jc w:val="both"/>
        <w:rPr>
          <w:rFonts w:cstheme="minorHAnsi"/>
        </w:rPr>
      </w:pPr>
      <w:r w:rsidRPr="006B0B81">
        <w:rPr>
          <w:rFonts w:cstheme="minorHAnsi"/>
        </w:rPr>
        <w:t>3. Le risorse di cui all’art. 2, punto c</w:t>
      </w:r>
      <w:proofErr w:type="gramStart"/>
      <w:r w:rsidRPr="006B0B81">
        <w:rPr>
          <w:rFonts w:cstheme="minorHAnsi"/>
        </w:rPr>
        <w:t>) ,</w:t>
      </w:r>
      <w:proofErr w:type="gramEnd"/>
      <w:r w:rsidRPr="006B0B81">
        <w:rPr>
          <w:rFonts w:cstheme="minorHAnsi"/>
        </w:rPr>
        <w:t xml:space="preserve"> sono trasferite dal competente Centro di responsabilità Segretariato generale del Ministero del lavoro e delle politiche sociali con le seguenti modalità: per le risorse dell’anno 2019 si procede a erogare un importo pari a complessivi euro 80.000.000,00 all’esito del perfezionamento del presente atto. Le rimanenti risorse sono trasferite all’esito della ricezione delle attestazioni da parte delle singole regioni delle eventuali ulteriori spese sostenute. Il piano di ripartizione alle regioni delle risorse sopra evidenziate è allegato alla tabella D 1 del presente decreto di cui costituisce parte integrante. A decorrere dal 2020 le risorse sono trasferite dal Ministero del lavoro e delle politiche sociali che provvederà all’erogazione delle quote spettanti alle regioni previa presentazione, da parte delle medesime, di apposite richieste corredate da specifica dichiarazione che i lavoratori assunti in applicazione del decreto-legge 28 </w:t>
      </w:r>
      <w:r w:rsidRPr="006B0B81">
        <w:rPr>
          <w:rFonts w:cstheme="minorHAnsi"/>
        </w:rPr>
        <w:lastRenderedPageBreak/>
        <w:t xml:space="preserve">gennaio 2019, n. 4, coordinato con legge di conversione 28 marzo 2019, n. 26, risultino ancora nelle piante organiche degli enti medesimi. Con successivo decreto del Ministero del lavoro e delle politiche sociali saranno individuati modalità e termini per la trasmissione, da parte delle regioni, della documentazione necessaria al trasferimento delle risorse. </w:t>
      </w:r>
    </w:p>
    <w:p w:rsidR="00F103AF" w:rsidRPr="006B0B81" w:rsidRDefault="00F103AF" w:rsidP="00F103AF">
      <w:pPr>
        <w:keepNext/>
        <w:keepLines/>
        <w:spacing w:after="0" w:line="20" w:lineRule="atLeast"/>
        <w:jc w:val="both"/>
        <w:rPr>
          <w:rFonts w:cstheme="minorHAnsi"/>
        </w:rPr>
      </w:pPr>
      <w:r w:rsidRPr="006B0B81">
        <w:rPr>
          <w:rFonts w:cstheme="minorHAnsi"/>
        </w:rPr>
        <w:t>4. Le risorse di cui all’art. 2, punto d</w:t>
      </w:r>
      <w:proofErr w:type="gramStart"/>
      <w:r w:rsidRPr="006B0B81">
        <w:rPr>
          <w:rFonts w:cstheme="minorHAnsi"/>
        </w:rPr>
        <w:t>) ,</w:t>
      </w:r>
      <w:proofErr w:type="gramEnd"/>
      <w:r w:rsidRPr="006B0B81">
        <w:rPr>
          <w:rFonts w:cstheme="minorHAnsi"/>
        </w:rPr>
        <w:t xml:space="preserve"> saranno trasferite, proporzionalmente, con le modalità definite con successivo decreto del Ministero del lavoro e delle politiche sociali. </w:t>
      </w:r>
    </w:p>
    <w:p w:rsidR="00F103AF" w:rsidRPr="006B0B81" w:rsidRDefault="00F103AF" w:rsidP="00F103AF">
      <w:pPr>
        <w:keepNext/>
        <w:keepLines/>
        <w:spacing w:after="0" w:line="20" w:lineRule="atLeast"/>
        <w:jc w:val="both"/>
        <w:rPr>
          <w:rFonts w:cstheme="minorHAnsi"/>
        </w:rPr>
      </w:pPr>
      <w:r w:rsidRPr="006B0B81">
        <w:rPr>
          <w:rFonts w:cstheme="minorHAnsi"/>
        </w:rPr>
        <w:t xml:space="preserve">Art. 4. Monitoraggio </w:t>
      </w:r>
    </w:p>
    <w:p w:rsidR="00F103AF" w:rsidRPr="006B0B81" w:rsidRDefault="00F103AF" w:rsidP="00F103AF">
      <w:pPr>
        <w:keepNext/>
        <w:keepLines/>
        <w:spacing w:after="0" w:line="20" w:lineRule="atLeast"/>
        <w:jc w:val="both"/>
        <w:rPr>
          <w:rFonts w:cstheme="minorHAnsi"/>
        </w:rPr>
      </w:pPr>
      <w:r w:rsidRPr="006B0B81">
        <w:rPr>
          <w:rFonts w:cstheme="minorHAnsi"/>
        </w:rPr>
        <w:t xml:space="preserve">1. Al fine di garantire un puntuale monitoraggio delle risorse assegnate ai sensi del presente decreto, le regioni, con cadenza trimestrale, comunicano ad ANPAL i dati necessari alla realizzazione di report dei flussi finanziari. Con la medesima cadenza trimestrale, le regioni comunicano, altresì, le informazioni concernenti lo stato di avanzamento delle attività e delle iniziative intraprese in attuazione di quanto previsto dal Piano, con specifico riguardo alla garanzia dei livelli essenziali delle prestazioni da erogare su tutto il territorio nazionale. </w:t>
      </w:r>
    </w:p>
    <w:p w:rsidR="00F103AF" w:rsidRPr="006B0B81" w:rsidRDefault="00F103AF" w:rsidP="00F103AF">
      <w:pPr>
        <w:keepNext/>
        <w:keepLines/>
        <w:spacing w:after="0" w:line="20" w:lineRule="atLeast"/>
        <w:jc w:val="both"/>
        <w:rPr>
          <w:rFonts w:cstheme="minorHAnsi"/>
        </w:rPr>
      </w:pPr>
      <w:r w:rsidRPr="006B0B81">
        <w:rPr>
          <w:rFonts w:cstheme="minorHAnsi"/>
        </w:rPr>
        <w:t xml:space="preserve">2. Con cadenza trimestrale ANPAL Servizi S.p.a. produce apposite relazioni sullo stato di avanzamento delle attività previste dal Piano. </w:t>
      </w:r>
    </w:p>
    <w:p w:rsidR="00F103AF" w:rsidRPr="006B0B81" w:rsidRDefault="00F103AF" w:rsidP="00F103AF">
      <w:pPr>
        <w:keepNext/>
        <w:keepLines/>
        <w:spacing w:after="0" w:line="20" w:lineRule="atLeast"/>
        <w:jc w:val="both"/>
        <w:rPr>
          <w:rFonts w:cstheme="minorHAnsi"/>
        </w:rPr>
      </w:pPr>
      <w:r w:rsidRPr="006B0B81">
        <w:rPr>
          <w:rFonts w:cstheme="minorHAnsi"/>
        </w:rPr>
        <w:t xml:space="preserve">3. Le informazioni di cui ai commi 1 e 2 sono trasmesse mediante relazioni inviate al Ministero del lavoro e delle politiche sociali, con periodicità semestrale, dal Presidente dell’ANPAL. </w:t>
      </w:r>
    </w:p>
    <w:p w:rsidR="00F103AF" w:rsidRPr="006B0B81" w:rsidRDefault="00F103AF" w:rsidP="00F103AF">
      <w:pPr>
        <w:keepNext/>
        <w:keepLines/>
        <w:spacing w:after="0" w:line="20" w:lineRule="atLeast"/>
        <w:jc w:val="both"/>
        <w:rPr>
          <w:rFonts w:cstheme="minorHAnsi"/>
        </w:rPr>
      </w:pPr>
      <w:r w:rsidRPr="006B0B81">
        <w:rPr>
          <w:rFonts w:cstheme="minorHAnsi"/>
        </w:rPr>
        <w:t xml:space="preserve">Art. 5. Compensazioni o conguagli Con successivo provvedimento sono individuate eventuali forme di compensazione o conguaglio, relative alle risorse già trasferite e non utilizzate o alle risorse ancora da trasferire di cui all’art. 2 del presente decreto. Il presente decreto è inviato agli Organi di controllo per gli adempimenti di competenza e viene pubblicato nella Gazzetta Ufficiale della Repubblica italiana, nonché nel sito istituzionale del Ministero del lavoro e delle politiche sociali. </w:t>
      </w:r>
    </w:p>
    <w:p w:rsidR="00F103AF" w:rsidRPr="006B0B81" w:rsidRDefault="00F103AF" w:rsidP="00F103AF">
      <w:pPr>
        <w:keepNext/>
        <w:keepLines/>
        <w:spacing w:after="0" w:line="20" w:lineRule="atLeast"/>
        <w:jc w:val="both"/>
        <w:rPr>
          <w:rFonts w:cstheme="minorHAnsi"/>
        </w:rPr>
      </w:pPr>
      <w:r w:rsidRPr="006B0B81">
        <w:rPr>
          <w:rFonts w:cstheme="minorHAnsi"/>
        </w:rPr>
        <w:t>Roma, 28 giugno 2019</w:t>
      </w:r>
    </w:p>
    <w:p w:rsidR="00F103AF" w:rsidRPr="006B0B81" w:rsidRDefault="00F103AF" w:rsidP="00F103AF">
      <w:pPr>
        <w:keepNext/>
        <w:keepLines/>
        <w:spacing w:after="0" w:line="20" w:lineRule="atLeast"/>
        <w:jc w:val="both"/>
        <w:rPr>
          <w:rFonts w:cstheme="minorHAnsi"/>
        </w:rPr>
      </w:pPr>
      <w:r w:rsidRPr="006B0B81">
        <w:rPr>
          <w:rFonts w:cstheme="minorHAnsi"/>
        </w:rPr>
        <w:t xml:space="preserve"> Il Ministro: DI MAIO</w:t>
      </w:r>
    </w:p>
    <w:p w:rsidR="00F103AF" w:rsidRPr="006B0B81" w:rsidRDefault="00F103AF" w:rsidP="00F103AF">
      <w:pPr>
        <w:keepNext/>
        <w:keepLines/>
        <w:spacing w:after="0" w:line="20" w:lineRule="atLeast"/>
        <w:jc w:val="both"/>
        <w:rPr>
          <w:rFonts w:cstheme="minorHAnsi"/>
        </w:rPr>
      </w:pPr>
      <w:r w:rsidRPr="006B0B81">
        <w:rPr>
          <w:rFonts w:cstheme="minorHAnsi"/>
        </w:rPr>
        <w:t xml:space="preserve"> Registrato alla Corte dei conti il 22 luglio 2019 Ufficio di controllo sugli atti del Ministero dell’istruzione, dell’università e della ricerca, del Ministero dei beni e delle attività culturali, del Ministero della salute, del Ministero del lavoro e delle politiche sociali, registrazione n. 1-2814 </w:t>
      </w:r>
    </w:p>
    <w:p w:rsidR="00C21335" w:rsidRDefault="00F103AF" w:rsidP="00F103AF">
      <w:pPr>
        <w:keepNext/>
        <w:keepLines/>
        <w:spacing w:after="0" w:line="20" w:lineRule="atLeast"/>
        <w:jc w:val="both"/>
        <w:rPr>
          <w:rFonts w:cstheme="minorHAnsi"/>
        </w:rPr>
      </w:pPr>
      <w:r w:rsidRPr="006B0B81">
        <w:rPr>
          <w:rFonts w:cstheme="minorHAnsi"/>
        </w:rPr>
        <w:t>AVVERTENZA: Per visionare gli allegati A, B, C, D, B1 e D1 del decreto del Ministro del lavoro e delle politiche sociali n. 74 del 28 giugno 2019 è possibile consultare il sito istituzionale www.lavoro.gov.it/sezione normativa</w:t>
      </w:r>
      <w:r w:rsidR="00C21335">
        <w:rPr>
          <w:rFonts w:cstheme="minorHAnsi"/>
        </w:rPr>
        <w:t>.</w:t>
      </w:r>
    </w:p>
    <w:p w:rsidR="009D32AA" w:rsidRDefault="009D32AA" w:rsidP="009D32AA">
      <w:pPr>
        <w:autoSpaceDE w:val="0"/>
        <w:autoSpaceDN w:val="0"/>
        <w:adjustRightInd w:val="0"/>
        <w:spacing w:after="0" w:line="20" w:lineRule="atLeast"/>
        <w:jc w:val="both"/>
        <w:rPr>
          <w:rFonts w:cstheme="minorHAnsi"/>
          <w:b/>
          <w:bCs/>
        </w:rPr>
      </w:pPr>
    </w:p>
    <w:p w:rsidR="009D32AA" w:rsidRDefault="009D32AA" w:rsidP="009D32AA">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bCs/>
        </w:rPr>
      </w:pPr>
      <w:r>
        <w:rPr>
          <w:rFonts w:cstheme="minorHAnsi"/>
          <w:b/>
          <w:bCs/>
        </w:rPr>
        <w:t>PREVIDENZA</w:t>
      </w:r>
    </w:p>
    <w:p w:rsidR="009D32AA" w:rsidRDefault="009D32AA" w:rsidP="009D32AA">
      <w:pPr>
        <w:autoSpaceDE w:val="0"/>
        <w:autoSpaceDN w:val="0"/>
        <w:adjustRightInd w:val="0"/>
        <w:spacing w:after="0" w:line="20" w:lineRule="atLeast"/>
        <w:jc w:val="both"/>
        <w:rPr>
          <w:rFonts w:cstheme="minorHAnsi"/>
          <w:b/>
          <w:bCs/>
        </w:rPr>
      </w:pPr>
    </w:p>
    <w:p w:rsidR="009D32AA" w:rsidRPr="00DC192F" w:rsidRDefault="009D32AA" w:rsidP="009D32AA">
      <w:pPr>
        <w:autoSpaceDE w:val="0"/>
        <w:autoSpaceDN w:val="0"/>
        <w:adjustRightInd w:val="0"/>
        <w:spacing w:after="0" w:line="20" w:lineRule="atLeast"/>
        <w:jc w:val="both"/>
        <w:rPr>
          <w:rFonts w:cstheme="minorHAnsi"/>
          <w:b/>
          <w:bCs/>
        </w:rPr>
      </w:pPr>
      <w:r w:rsidRPr="00DC192F">
        <w:rPr>
          <w:rFonts w:cstheme="minorHAnsi"/>
          <w:b/>
          <w:bCs/>
        </w:rPr>
        <w:t>MINISTERO DEL LAVORO E DELLE POLITICHE SOCIALI</w:t>
      </w:r>
    </w:p>
    <w:p w:rsidR="009D32AA" w:rsidRPr="00DC192F" w:rsidRDefault="009D32AA" w:rsidP="009D32AA">
      <w:pPr>
        <w:autoSpaceDE w:val="0"/>
        <w:autoSpaceDN w:val="0"/>
        <w:adjustRightInd w:val="0"/>
        <w:spacing w:after="0" w:line="20" w:lineRule="atLeast"/>
        <w:jc w:val="both"/>
        <w:rPr>
          <w:rFonts w:cstheme="minorHAnsi"/>
          <w:bCs/>
        </w:rPr>
      </w:pPr>
      <w:r w:rsidRPr="00DC192F">
        <w:rPr>
          <w:rFonts w:cstheme="minorHAnsi"/>
          <w:b/>
          <w:bCs/>
        </w:rPr>
        <w:t xml:space="preserve">Approvazione della delibera n. 68/2019 adottata dal consiglio di amministrazione dell’Ente nazionale di previdenza ed assistenza consulenti del lavoro (ENPACL), in data 30 maggio 2019. </w:t>
      </w:r>
      <w:r w:rsidRPr="00DC192F">
        <w:rPr>
          <w:rFonts w:cstheme="minorHAnsi"/>
          <w:bCs/>
        </w:rPr>
        <w:t>(GU n. 188 del 12.8.19)</w:t>
      </w:r>
    </w:p>
    <w:p w:rsidR="009D32AA" w:rsidRPr="00DC192F" w:rsidRDefault="009D32AA" w:rsidP="009D32AA">
      <w:pPr>
        <w:autoSpaceDE w:val="0"/>
        <w:autoSpaceDN w:val="0"/>
        <w:adjustRightInd w:val="0"/>
        <w:spacing w:after="0" w:line="20" w:lineRule="atLeast"/>
        <w:jc w:val="both"/>
        <w:rPr>
          <w:rFonts w:cstheme="minorHAnsi"/>
        </w:rPr>
      </w:pPr>
    </w:p>
    <w:p w:rsidR="009D32AA" w:rsidRPr="00DC192F" w:rsidRDefault="009D32AA" w:rsidP="009D32AA">
      <w:pPr>
        <w:autoSpaceDE w:val="0"/>
        <w:autoSpaceDN w:val="0"/>
        <w:adjustRightInd w:val="0"/>
        <w:spacing w:after="0" w:line="20" w:lineRule="atLeast"/>
        <w:jc w:val="both"/>
        <w:rPr>
          <w:rFonts w:cstheme="minorHAnsi"/>
        </w:rPr>
      </w:pPr>
      <w:r w:rsidRPr="00DC192F">
        <w:rPr>
          <w:rFonts w:cstheme="minorHAnsi"/>
        </w:rPr>
        <w:t xml:space="preserve">Con nota del Ministero del lavoro e delle politiche sociali. 36/0008900/CONS-L-85 del 1° luglio </w:t>
      </w:r>
      <w:proofErr w:type="gramStart"/>
      <w:r w:rsidRPr="00DC192F">
        <w:rPr>
          <w:rFonts w:cstheme="minorHAnsi"/>
        </w:rPr>
        <w:t>2019  è</w:t>
      </w:r>
      <w:proofErr w:type="gramEnd"/>
      <w:r w:rsidRPr="00DC192F">
        <w:rPr>
          <w:rFonts w:cstheme="minorHAnsi"/>
        </w:rPr>
        <w:t xml:space="preserve"> stata approvata, ai sensi dell’art. 3, comma 2, del decreto legislativo 30 giugno 1994, n. 509, di concerto con il Ministero dell’economia e delle finanze, la delibera n. 68/2019 adottata dal consiglio di amministrazione dell’ENPACL in data 30 maggio 2019, concernente la determinazione del contributo di maternità per l’anno 2019, in misura pari a € 38.00 pro-capite.</w:t>
      </w:r>
    </w:p>
    <w:p w:rsidR="009D32AA" w:rsidRPr="00DC192F" w:rsidRDefault="009D32AA" w:rsidP="009D32AA">
      <w:pPr>
        <w:autoSpaceDE w:val="0"/>
        <w:autoSpaceDN w:val="0"/>
        <w:adjustRightInd w:val="0"/>
        <w:spacing w:after="0" w:line="20" w:lineRule="atLeast"/>
        <w:jc w:val="both"/>
        <w:rPr>
          <w:rFonts w:cstheme="minorHAnsi"/>
          <w:b/>
          <w:bCs/>
        </w:rPr>
      </w:pPr>
    </w:p>
    <w:p w:rsidR="009D32AA" w:rsidRPr="00DC192F" w:rsidRDefault="009D32AA" w:rsidP="009D32AA">
      <w:pPr>
        <w:autoSpaceDE w:val="0"/>
        <w:autoSpaceDN w:val="0"/>
        <w:adjustRightInd w:val="0"/>
        <w:spacing w:after="0" w:line="20" w:lineRule="atLeast"/>
        <w:jc w:val="both"/>
        <w:rPr>
          <w:rFonts w:cstheme="minorHAnsi"/>
          <w:bCs/>
        </w:rPr>
      </w:pPr>
      <w:r w:rsidRPr="00DC192F">
        <w:rPr>
          <w:rFonts w:cstheme="minorHAnsi"/>
          <w:b/>
          <w:bCs/>
        </w:rPr>
        <w:t xml:space="preserve">Approvazione della delibera n. 627/2018 adottata dal consiglio di amministrazione dell’Ente di previdenza dei periti industriali e dei periti industriali laureati (EPPI), in data 4 maggio 2018. </w:t>
      </w:r>
      <w:r w:rsidRPr="00DC192F">
        <w:rPr>
          <w:rFonts w:cstheme="minorHAnsi"/>
          <w:bCs/>
        </w:rPr>
        <w:t>(GU n. 188 del 12.8.19)</w:t>
      </w:r>
    </w:p>
    <w:p w:rsidR="009D32AA" w:rsidRPr="00DC192F" w:rsidRDefault="009D32AA" w:rsidP="009D32AA">
      <w:pPr>
        <w:autoSpaceDE w:val="0"/>
        <w:autoSpaceDN w:val="0"/>
        <w:adjustRightInd w:val="0"/>
        <w:spacing w:after="0" w:line="20" w:lineRule="atLeast"/>
        <w:jc w:val="both"/>
        <w:rPr>
          <w:rFonts w:cstheme="minorHAnsi"/>
          <w:b/>
          <w:bCs/>
        </w:rPr>
      </w:pPr>
    </w:p>
    <w:p w:rsidR="009D32AA" w:rsidRPr="00DC192F" w:rsidRDefault="009D32AA" w:rsidP="009D32AA">
      <w:pPr>
        <w:autoSpaceDE w:val="0"/>
        <w:autoSpaceDN w:val="0"/>
        <w:adjustRightInd w:val="0"/>
        <w:spacing w:after="0" w:line="20" w:lineRule="atLeast"/>
        <w:jc w:val="both"/>
        <w:rPr>
          <w:rFonts w:cstheme="minorHAnsi"/>
        </w:rPr>
      </w:pPr>
      <w:r w:rsidRPr="00DC192F">
        <w:rPr>
          <w:rFonts w:cstheme="minorHAnsi"/>
        </w:rPr>
        <w:t>Con nota del Ministero del lavoro e delle politiche sociali n. 36/0008895/PIND-L-88 del 1° luglio 2019 è stata approvata, ai sensi dell’art. 3, comma 2, del decreto legislativo 30 giugno 1994, n. 509, di concerto con il Ministero dell’economia e delle finanze, la delibera n. 627/2018 adottata dal consiglio di amministrazione dell’EPPI in data 4 maggio 2018, recante: «Maggior rivalutazione dei montanti degli iscritti per le annualità 2014, 2015 e 2016».</w:t>
      </w:r>
    </w:p>
    <w:p w:rsidR="009D32AA" w:rsidRPr="00DC192F" w:rsidRDefault="009D32AA" w:rsidP="009D32AA">
      <w:pPr>
        <w:autoSpaceDE w:val="0"/>
        <w:autoSpaceDN w:val="0"/>
        <w:adjustRightInd w:val="0"/>
        <w:spacing w:after="0" w:line="20" w:lineRule="atLeast"/>
        <w:jc w:val="both"/>
        <w:rPr>
          <w:rFonts w:cstheme="minorHAnsi"/>
          <w:b/>
          <w:bCs/>
        </w:rPr>
      </w:pPr>
    </w:p>
    <w:p w:rsidR="009D32AA" w:rsidRPr="00DC192F" w:rsidRDefault="009D32AA" w:rsidP="009D32AA">
      <w:pPr>
        <w:autoSpaceDE w:val="0"/>
        <w:autoSpaceDN w:val="0"/>
        <w:adjustRightInd w:val="0"/>
        <w:spacing w:after="0" w:line="20" w:lineRule="atLeast"/>
        <w:jc w:val="both"/>
        <w:rPr>
          <w:rFonts w:cstheme="minorHAnsi"/>
          <w:bCs/>
        </w:rPr>
      </w:pPr>
      <w:r w:rsidRPr="00DC192F">
        <w:rPr>
          <w:rFonts w:cstheme="minorHAnsi"/>
          <w:b/>
          <w:bCs/>
        </w:rPr>
        <w:lastRenderedPageBreak/>
        <w:t xml:space="preserve">Approvazione della delibera n. 24/VCDA adottata dal consiglio di amministrazione dell’Ente nazionale di previdenza e assistenza veterinari (ENPAV), in data 23 maggio 2019. </w:t>
      </w:r>
      <w:r w:rsidRPr="00DC192F">
        <w:rPr>
          <w:rFonts w:cstheme="minorHAnsi"/>
          <w:bCs/>
        </w:rPr>
        <w:t>(GU n. 188 del 12.8.19)</w:t>
      </w:r>
    </w:p>
    <w:p w:rsidR="009D32AA" w:rsidRPr="00DC192F" w:rsidRDefault="009D32AA" w:rsidP="009D32AA">
      <w:pPr>
        <w:autoSpaceDE w:val="0"/>
        <w:autoSpaceDN w:val="0"/>
        <w:adjustRightInd w:val="0"/>
        <w:spacing w:after="0" w:line="20" w:lineRule="atLeast"/>
        <w:jc w:val="both"/>
        <w:rPr>
          <w:rFonts w:cstheme="minorHAnsi"/>
          <w:b/>
          <w:bCs/>
        </w:rPr>
      </w:pPr>
    </w:p>
    <w:p w:rsidR="009D32AA" w:rsidRPr="00DC192F" w:rsidRDefault="009D32AA" w:rsidP="009D32AA">
      <w:pPr>
        <w:autoSpaceDE w:val="0"/>
        <w:autoSpaceDN w:val="0"/>
        <w:adjustRightInd w:val="0"/>
        <w:spacing w:after="0" w:line="20" w:lineRule="atLeast"/>
        <w:jc w:val="both"/>
        <w:rPr>
          <w:rFonts w:cstheme="minorHAnsi"/>
        </w:rPr>
      </w:pPr>
      <w:r w:rsidRPr="00DC192F">
        <w:rPr>
          <w:rFonts w:cstheme="minorHAnsi"/>
        </w:rPr>
        <w:t>Con nota del Ministero del lavoro e delle politiche sociali n. 36/0010098/VET-L-81 del 26 luglio 2019 è stata approvata, ai sensi dell’art. 3, comma 2, del decreto legislativo 30 giugno 1994, n. 509, di concerto con il Ministero dell’economia e delle finanze, la delibera n. 24/VCDA adottata dal consiglio di amministrazione dell’ENPAV in data 23 maggio 2019, con la quale è stata adottata la tabella dei coefficienti di rivalutazione dei redditi da assumere per il calcolo delle medie di riferimento delle pensioni con decorrenza 2020, ai sensi dell’art. 47 del regolamento di attuazione dello statuto.</w:t>
      </w:r>
    </w:p>
    <w:p w:rsidR="009D32AA" w:rsidRPr="00DC192F" w:rsidRDefault="009D32AA" w:rsidP="009D32AA">
      <w:pPr>
        <w:autoSpaceDE w:val="0"/>
        <w:autoSpaceDN w:val="0"/>
        <w:adjustRightInd w:val="0"/>
        <w:spacing w:after="0" w:line="20" w:lineRule="atLeast"/>
        <w:jc w:val="both"/>
        <w:rPr>
          <w:rFonts w:cstheme="minorHAnsi"/>
          <w:b/>
          <w:bCs/>
        </w:rPr>
      </w:pPr>
    </w:p>
    <w:p w:rsidR="009D32AA" w:rsidRPr="00DC192F" w:rsidRDefault="009D32AA" w:rsidP="009D32AA">
      <w:pPr>
        <w:autoSpaceDE w:val="0"/>
        <w:autoSpaceDN w:val="0"/>
        <w:adjustRightInd w:val="0"/>
        <w:spacing w:after="0" w:line="20" w:lineRule="atLeast"/>
        <w:jc w:val="both"/>
        <w:rPr>
          <w:rFonts w:cstheme="minorHAnsi"/>
          <w:bCs/>
        </w:rPr>
      </w:pPr>
      <w:r w:rsidRPr="00DC192F">
        <w:rPr>
          <w:rFonts w:cstheme="minorHAnsi"/>
          <w:b/>
          <w:bCs/>
        </w:rPr>
        <w:t>Approvazione della delibera n. 5/2019 adottata dal comitato dei delegati della Cassa italiana di previdenza ed assistenza dei geometri liberi professionisti (CIPAG), in data 20 giugno 2019.</w:t>
      </w:r>
      <w:r w:rsidRPr="00DC192F">
        <w:rPr>
          <w:rFonts w:cstheme="minorHAnsi"/>
          <w:bCs/>
        </w:rPr>
        <w:t xml:space="preserve"> (GU n. 188 del 12.8.19)</w:t>
      </w:r>
    </w:p>
    <w:p w:rsidR="009D32AA" w:rsidRPr="00DC192F" w:rsidRDefault="009D32AA" w:rsidP="009D32AA">
      <w:pPr>
        <w:autoSpaceDE w:val="0"/>
        <w:autoSpaceDN w:val="0"/>
        <w:adjustRightInd w:val="0"/>
        <w:spacing w:after="0" w:line="20" w:lineRule="atLeast"/>
        <w:jc w:val="both"/>
        <w:rPr>
          <w:rFonts w:cstheme="minorHAnsi"/>
          <w:b/>
          <w:bCs/>
        </w:rPr>
      </w:pPr>
    </w:p>
    <w:p w:rsidR="009D32AA" w:rsidRPr="00DC192F" w:rsidRDefault="009D32AA" w:rsidP="009D32AA">
      <w:pPr>
        <w:autoSpaceDE w:val="0"/>
        <w:autoSpaceDN w:val="0"/>
        <w:adjustRightInd w:val="0"/>
        <w:spacing w:after="0" w:line="20" w:lineRule="atLeast"/>
        <w:jc w:val="both"/>
        <w:rPr>
          <w:rFonts w:cstheme="minorHAnsi"/>
        </w:rPr>
      </w:pPr>
      <w:r w:rsidRPr="00DC192F">
        <w:rPr>
          <w:rFonts w:cstheme="minorHAnsi"/>
        </w:rPr>
        <w:t>Con nota del Ministero del lavoro e delle politiche sociali n. 36/0010234/GEO-L-157 del 31 luglio 2019 è stata approvata, ai sensi dell’art. 3, comma 2, del decreto legislativo 30 giugno 1994, n. 509, di concerto con il Ministero dell’economia e delle finanze, la delibera n. 5/2019 adottata dal Comitato dei delegati della Cassa geometri in data 20 giugno 2019, concernente la delega al consiglio di amministrazione per l’approvazione e integrazione dei coefficienti di trasformazione di cui all’art. 33, comma 2, del regolamento per l’attuazione delle attività di previdenza ed assistenza a favore degli iscritti e dei loro familiari.</w:t>
      </w:r>
    </w:p>
    <w:p w:rsidR="009D32AA" w:rsidRPr="00DC192F" w:rsidRDefault="009D32AA" w:rsidP="009D32AA">
      <w:pPr>
        <w:autoSpaceDE w:val="0"/>
        <w:autoSpaceDN w:val="0"/>
        <w:adjustRightInd w:val="0"/>
        <w:spacing w:after="0" w:line="20" w:lineRule="atLeast"/>
        <w:jc w:val="both"/>
        <w:rPr>
          <w:rFonts w:cstheme="minorHAnsi"/>
          <w:b/>
          <w:bCs/>
        </w:rPr>
      </w:pPr>
    </w:p>
    <w:p w:rsidR="009D32AA" w:rsidRPr="00DC192F" w:rsidRDefault="009D32AA" w:rsidP="009D32AA">
      <w:pPr>
        <w:autoSpaceDE w:val="0"/>
        <w:autoSpaceDN w:val="0"/>
        <w:adjustRightInd w:val="0"/>
        <w:spacing w:after="0" w:line="20" w:lineRule="atLeast"/>
        <w:jc w:val="both"/>
        <w:rPr>
          <w:rFonts w:cstheme="minorHAnsi"/>
          <w:bCs/>
        </w:rPr>
      </w:pPr>
      <w:r w:rsidRPr="00DC192F">
        <w:rPr>
          <w:rFonts w:cstheme="minorHAnsi"/>
          <w:b/>
          <w:bCs/>
        </w:rPr>
        <w:t>Comunicato concernente l’approvazione della delibera n. 2/2019 adottata dal Consiglio di indirizzo generale dell’Ente nazionale di previdenza e assistenza a favore dei biologi (ENPAB) il 28 marzo 2019.</w:t>
      </w:r>
      <w:r w:rsidRPr="00DC192F">
        <w:rPr>
          <w:rFonts w:cstheme="minorHAnsi"/>
          <w:bCs/>
        </w:rPr>
        <w:t xml:space="preserve"> (GU n. 188 del 12.8.19)</w:t>
      </w:r>
    </w:p>
    <w:p w:rsidR="009D32AA" w:rsidRPr="00DC192F" w:rsidRDefault="009D32AA" w:rsidP="009D32AA">
      <w:pPr>
        <w:autoSpaceDE w:val="0"/>
        <w:autoSpaceDN w:val="0"/>
        <w:adjustRightInd w:val="0"/>
        <w:spacing w:after="0" w:line="20" w:lineRule="atLeast"/>
        <w:jc w:val="both"/>
        <w:rPr>
          <w:rFonts w:cstheme="minorHAnsi"/>
          <w:b/>
          <w:bCs/>
        </w:rPr>
      </w:pPr>
    </w:p>
    <w:p w:rsidR="00246077" w:rsidRDefault="009D32AA" w:rsidP="00246077">
      <w:pPr>
        <w:autoSpaceDE w:val="0"/>
        <w:autoSpaceDN w:val="0"/>
        <w:adjustRightInd w:val="0"/>
        <w:spacing w:after="0" w:line="20" w:lineRule="atLeast"/>
        <w:jc w:val="both"/>
        <w:rPr>
          <w:rFonts w:cstheme="minorHAnsi"/>
        </w:rPr>
      </w:pPr>
      <w:r w:rsidRPr="00DC192F">
        <w:rPr>
          <w:rFonts w:cstheme="minorHAnsi"/>
        </w:rPr>
        <w:t>Con nota del Ministero del lavoro e delle politiche sociali n. 36/0008893/BIO-L-55 del 1° luglio 2019 è stata approvata, ai sensi dell’art. 3, comma 2, del decreto legislativo 30 giugno 1994, n. 509, di concerto con il Ministero dell’economia e delle finanze, la delibera n. 2/2019 adottata dal consiglio di indirizzo generale dell’ENPAB in data 28 marzo 2019, concernente la modifica dell’art. 4, comma 2, del Regolamento di disciplina delle funzioni di previdenza</w:t>
      </w:r>
      <w:r w:rsidR="004C61BF">
        <w:rPr>
          <w:rFonts w:cstheme="minorHAnsi"/>
        </w:rPr>
        <w:t>.</w:t>
      </w:r>
    </w:p>
    <w:p w:rsidR="009A73A1" w:rsidRDefault="009A73A1" w:rsidP="00246077">
      <w:pPr>
        <w:autoSpaceDE w:val="0"/>
        <w:autoSpaceDN w:val="0"/>
        <w:adjustRightInd w:val="0"/>
        <w:spacing w:after="0" w:line="20" w:lineRule="atLeast"/>
        <w:jc w:val="both"/>
        <w:rPr>
          <w:rFonts w:cstheme="minorHAnsi"/>
        </w:rPr>
      </w:pPr>
    </w:p>
    <w:p w:rsidR="00B33967" w:rsidRPr="00623A12" w:rsidRDefault="009A73A1" w:rsidP="00246077">
      <w:pPr>
        <w:autoSpaceDE w:val="0"/>
        <w:autoSpaceDN w:val="0"/>
        <w:adjustRightInd w:val="0"/>
        <w:spacing w:after="0" w:line="20" w:lineRule="atLeast"/>
        <w:jc w:val="both"/>
      </w:pPr>
      <w:r w:rsidRPr="00B33967">
        <w:rPr>
          <w:b/>
        </w:rPr>
        <w:t xml:space="preserve">Approvazione della delibera adottata dal consiglio di amministrazione dell’Ente di previdenza ed assistenza pluricategoriale (EPAP), in data 29 maggio 2019. </w:t>
      </w:r>
      <w:r w:rsidR="00623A12">
        <w:rPr>
          <w:b/>
        </w:rPr>
        <w:t xml:space="preserve"> </w:t>
      </w:r>
      <w:r w:rsidR="00623A12" w:rsidRPr="00623A12">
        <w:t>(BUR n. 200 del 27.8.19)</w:t>
      </w:r>
    </w:p>
    <w:p w:rsidR="00B33967" w:rsidRDefault="00B33967" w:rsidP="00246077">
      <w:pPr>
        <w:autoSpaceDE w:val="0"/>
        <w:autoSpaceDN w:val="0"/>
        <w:adjustRightInd w:val="0"/>
        <w:spacing w:after="0" w:line="20" w:lineRule="atLeast"/>
        <w:jc w:val="both"/>
      </w:pPr>
    </w:p>
    <w:p w:rsidR="00B33967" w:rsidRDefault="009A73A1" w:rsidP="00246077">
      <w:pPr>
        <w:autoSpaceDE w:val="0"/>
        <w:autoSpaceDN w:val="0"/>
        <w:adjustRightInd w:val="0"/>
        <w:spacing w:after="0" w:line="20" w:lineRule="atLeast"/>
        <w:jc w:val="both"/>
      </w:pPr>
      <w:r>
        <w:t xml:space="preserve">Con nota del Ministero del lavoro e delle politiche sociali n. 36/0010372/PLUR-L-39 del 1° agosto 2019 è stata approvata, ai sensi dell’art. 3, comma 2, del decreto legislativo 30 giugno 1994, n. 509, di concerto con il Ministero dell’economia e delle finanze, la delibera adottata dal consiglio di amministrazione dell’EPAP in data 29 maggio 2019, concernente: «Attribuzione e beneficiari dell’extrarendimento per gli anni 2013-2014-2015 e 2016». </w:t>
      </w:r>
    </w:p>
    <w:p w:rsidR="00B33967" w:rsidRDefault="00B33967" w:rsidP="00246077">
      <w:pPr>
        <w:autoSpaceDE w:val="0"/>
        <w:autoSpaceDN w:val="0"/>
        <w:adjustRightInd w:val="0"/>
        <w:spacing w:after="0" w:line="20" w:lineRule="atLeast"/>
        <w:jc w:val="both"/>
      </w:pPr>
    </w:p>
    <w:p w:rsidR="00623A12" w:rsidRPr="00623A12" w:rsidRDefault="009A73A1" w:rsidP="00623A12">
      <w:pPr>
        <w:autoSpaceDE w:val="0"/>
        <w:autoSpaceDN w:val="0"/>
        <w:adjustRightInd w:val="0"/>
        <w:spacing w:after="0" w:line="20" w:lineRule="atLeast"/>
        <w:jc w:val="both"/>
      </w:pPr>
      <w:r w:rsidRPr="00623A12">
        <w:rPr>
          <w:b/>
        </w:rPr>
        <w:t>Approvazione della delibera n. 9/2018 adottata dal comitato dei delegati della Cassa italiana di previdenza ed assistenza dei geometri liberi professionisti (CIPAG), in data 21 novembre 2018.</w:t>
      </w:r>
      <w:r>
        <w:t xml:space="preserve"> </w:t>
      </w:r>
      <w:r w:rsidR="00623A12" w:rsidRPr="00623A12">
        <w:t>(BUR n. 200 del 27.8.19)</w:t>
      </w:r>
    </w:p>
    <w:p w:rsidR="00B33967" w:rsidRDefault="00B33967" w:rsidP="00246077">
      <w:pPr>
        <w:autoSpaceDE w:val="0"/>
        <w:autoSpaceDN w:val="0"/>
        <w:adjustRightInd w:val="0"/>
        <w:spacing w:after="0" w:line="20" w:lineRule="atLeast"/>
        <w:jc w:val="both"/>
      </w:pPr>
    </w:p>
    <w:p w:rsidR="00B33967" w:rsidRDefault="00B33967" w:rsidP="00246077">
      <w:pPr>
        <w:autoSpaceDE w:val="0"/>
        <w:autoSpaceDN w:val="0"/>
        <w:adjustRightInd w:val="0"/>
        <w:spacing w:after="0" w:line="20" w:lineRule="atLeast"/>
        <w:jc w:val="both"/>
      </w:pPr>
    </w:p>
    <w:p w:rsidR="00623A12" w:rsidRDefault="009A73A1" w:rsidP="00246077">
      <w:pPr>
        <w:autoSpaceDE w:val="0"/>
        <w:autoSpaceDN w:val="0"/>
        <w:adjustRightInd w:val="0"/>
        <w:spacing w:after="0" w:line="20" w:lineRule="atLeast"/>
        <w:jc w:val="both"/>
      </w:pPr>
      <w:r>
        <w:t xml:space="preserve">Con nota del Ministero del lavoro e delle politiche sociali n. 36/0010636/GEO-L-142 del 7 agosto 2019 è stata approvata, ai sensi dell’art. 3, comma 2, del decreto legislativo 30 giugno 1994, n. 509, di concerto con il Ministero dell’economia e delle finanze, la delibera n. 9/2018 adottata dal comitato dei delegati della CIPAG in data 21 novembre 2018, recante: «Integrazione delibera n. 12/2017, adottata dal  comitato dei delegati in data 21 novembre 2017 - Disciplina del cumulo gratuito dei periodi assicurativi (legge 24 dicembre 2012, n. 228 modificata dalla legge 11 dicembre 2016, n. 232)». 19A05407 </w:t>
      </w:r>
    </w:p>
    <w:p w:rsidR="00623A12" w:rsidRDefault="00623A12" w:rsidP="00246077">
      <w:pPr>
        <w:autoSpaceDE w:val="0"/>
        <w:autoSpaceDN w:val="0"/>
        <w:adjustRightInd w:val="0"/>
        <w:spacing w:after="0" w:line="20" w:lineRule="atLeast"/>
        <w:jc w:val="both"/>
      </w:pPr>
    </w:p>
    <w:p w:rsidR="00623A12" w:rsidRPr="00623A12" w:rsidRDefault="009A73A1" w:rsidP="00623A12">
      <w:pPr>
        <w:autoSpaceDE w:val="0"/>
        <w:autoSpaceDN w:val="0"/>
        <w:adjustRightInd w:val="0"/>
        <w:spacing w:after="0" w:line="20" w:lineRule="atLeast"/>
        <w:jc w:val="both"/>
      </w:pPr>
      <w:r w:rsidRPr="00623A12">
        <w:rPr>
          <w:b/>
        </w:rPr>
        <w:t>Approvazione delle delibere n. 21/19 adottata dal consiglio di amministrazione in data 28 marzo 2019 e n. 5/19 assunta dal consiglio di indirizzo generale in data 27 aprile 2019, dell’Ente nazionale di previdenza ed assistenza per gli psicologi (ENPAP</w:t>
      </w:r>
      <w:r>
        <w:t xml:space="preserve">). </w:t>
      </w:r>
      <w:r w:rsidR="00623A12" w:rsidRPr="00623A12">
        <w:t>(BUR n. 200 del 27.8.19)</w:t>
      </w:r>
    </w:p>
    <w:p w:rsidR="00623A12" w:rsidRDefault="00623A12" w:rsidP="00246077">
      <w:pPr>
        <w:autoSpaceDE w:val="0"/>
        <w:autoSpaceDN w:val="0"/>
        <w:adjustRightInd w:val="0"/>
        <w:spacing w:after="0" w:line="20" w:lineRule="atLeast"/>
        <w:jc w:val="both"/>
      </w:pPr>
    </w:p>
    <w:p w:rsidR="00623A12" w:rsidRDefault="009A73A1" w:rsidP="00246077">
      <w:pPr>
        <w:autoSpaceDE w:val="0"/>
        <w:autoSpaceDN w:val="0"/>
        <w:adjustRightInd w:val="0"/>
        <w:spacing w:after="0" w:line="20" w:lineRule="atLeast"/>
        <w:jc w:val="both"/>
      </w:pPr>
      <w:r>
        <w:t xml:space="preserve">Con nota del Ministero del lavoro e delle politiche sociali n. 36/0010638/PSIC-L-99 del 7 agosto 2019 sono state approvate, ai sensi dell’art. 3, comma 2, del decreto legislativo 30 giugno 1994, n. 509, di concerto con il Ministero dell’economia e delle finanze, le delibere n. 21/19 adottata dal consiglio di amministrazione in data 28 marzo 2019 e n. 5/19 assunta dal consiglio di indirizzo generale in data 27 aprile 2019 dell’ENPAP, concernenti l’introduzione del nuovo Capo XI del regolamento per le forme di assistenza. </w:t>
      </w:r>
    </w:p>
    <w:p w:rsidR="00623A12" w:rsidRDefault="00623A12" w:rsidP="00246077">
      <w:pPr>
        <w:autoSpaceDE w:val="0"/>
        <w:autoSpaceDN w:val="0"/>
        <w:adjustRightInd w:val="0"/>
        <w:spacing w:after="0" w:line="20" w:lineRule="atLeast"/>
        <w:jc w:val="both"/>
      </w:pPr>
    </w:p>
    <w:p w:rsidR="00623A12" w:rsidRPr="00623A12" w:rsidRDefault="009A73A1" w:rsidP="00623A12">
      <w:pPr>
        <w:autoSpaceDE w:val="0"/>
        <w:autoSpaceDN w:val="0"/>
        <w:adjustRightInd w:val="0"/>
        <w:spacing w:after="0" w:line="20" w:lineRule="atLeast"/>
        <w:jc w:val="both"/>
      </w:pPr>
      <w:r w:rsidRPr="00623A12">
        <w:rPr>
          <w:b/>
        </w:rPr>
        <w:t xml:space="preserve">Approvazione delle delibere n. 5/19 adottata dal consiglio di amministrazione in data 15 febbraio 2019 e n. 4/19 assunta dal consiglio di indirizzo generale in data 27 aprile 2019, dell’Ente nazionale di previdenza ed assistenza per gli psicologi (ENPAP). </w:t>
      </w:r>
      <w:r w:rsidR="00623A12" w:rsidRPr="00623A12">
        <w:t>(BUR n. 200 del 27.8.19)</w:t>
      </w:r>
    </w:p>
    <w:p w:rsidR="00623A12" w:rsidRDefault="00623A12" w:rsidP="00246077">
      <w:pPr>
        <w:autoSpaceDE w:val="0"/>
        <w:autoSpaceDN w:val="0"/>
        <w:adjustRightInd w:val="0"/>
        <w:spacing w:after="0" w:line="20" w:lineRule="atLeast"/>
        <w:jc w:val="both"/>
      </w:pPr>
    </w:p>
    <w:p w:rsidR="00246077" w:rsidRDefault="009A73A1" w:rsidP="00246077">
      <w:pPr>
        <w:autoSpaceDE w:val="0"/>
        <w:autoSpaceDN w:val="0"/>
        <w:adjustRightInd w:val="0"/>
        <w:spacing w:after="0" w:line="20" w:lineRule="atLeast"/>
        <w:jc w:val="both"/>
      </w:pPr>
      <w:r>
        <w:t xml:space="preserve">Con nota del Ministero del lavoro e delle politiche sociali n. 36/0010637/PSIC-L-97 del 7 agosto 2019 sono state approvate, ai sensi dell’art. 3, comma 2, del decreto legislativo 30 giugno 1994, n. 509, di concerto con il Ministero dell’economia e delle finanze, le delibere n. 5/19 adottata dal consiglio di amministrazione in data 15 febbraio 2019 e n. 4/19 assunta dal consiglio di indirizzo generale in data 27 aprile 2019 dell’ENPAP, concernenti modifiche al regolamento per la corresponsione dell’indennità di maternità. </w:t>
      </w:r>
    </w:p>
    <w:p w:rsidR="00623A12" w:rsidRDefault="00623A12" w:rsidP="00246077">
      <w:pPr>
        <w:autoSpaceDE w:val="0"/>
        <w:autoSpaceDN w:val="0"/>
        <w:adjustRightInd w:val="0"/>
        <w:spacing w:after="0" w:line="20" w:lineRule="atLeast"/>
        <w:jc w:val="both"/>
        <w:rPr>
          <w:rFonts w:cstheme="minorHAnsi"/>
        </w:rPr>
      </w:pPr>
    </w:p>
    <w:p w:rsidR="00246077" w:rsidRDefault="00246077" w:rsidP="00246077">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rPr>
      </w:pPr>
      <w:r>
        <w:rPr>
          <w:rFonts w:cstheme="minorHAnsi"/>
          <w:b/>
        </w:rPr>
        <w:t>SICUREZZA</w:t>
      </w:r>
    </w:p>
    <w:p w:rsidR="00246077" w:rsidRDefault="00246077" w:rsidP="00246077">
      <w:pPr>
        <w:autoSpaceDE w:val="0"/>
        <w:autoSpaceDN w:val="0"/>
        <w:adjustRightInd w:val="0"/>
        <w:spacing w:after="0" w:line="20" w:lineRule="atLeast"/>
        <w:jc w:val="both"/>
        <w:rPr>
          <w:rFonts w:cstheme="minorHAnsi"/>
          <w:b/>
        </w:rPr>
      </w:pPr>
    </w:p>
    <w:p w:rsidR="00246077" w:rsidRDefault="00C21335" w:rsidP="00246077">
      <w:pPr>
        <w:autoSpaceDE w:val="0"/>
        <w:autoSpaceDN w:val="0"/>
        <w:adjustRightInd w:val="0"/>
        <w:spacing w:after="0" w:line="20" w:lineRule="atLeast"/>
        <w:jc w:val="both"/>
        <w:rPr>
          <w:rFonts w:cstheme="minorHAnsi"/>
        </w:rPr>
      </w:pPr>
      <w:r w:rsidRPr="006B0B81">
        <w:rPr>
          <w:rFonts w:cstheme="minorHAnsi"/>
          <w:b/>
        </w:rPr>
        <w:t xml:space="preserve">LEGGE 8 agosto </w:t>
      </w:r>
      <w:proofErr w:type="gramStart"/>
      <w:r w:rsidRPr="006B0B81">
        <w:rPr>
          <w:rFonts w:cstheme="minorHAnsi"/>
          <w:b/>
        </w:rPr>
        <w:t>2019 ,</w:t>
      </w:r>
      <w:proofErr w:type="gramEnd"/>
      <w:r w:rsidRPr="006B0B81">
        <w:rPr>
          <w:rFonts w:cstheme="minorHAnsi"/>
          <w:b/>
        </w:rPr>
        <w:t xml:space="preserve"> n. 77</w:t>
      </w:r>
      <w:r w:rsidRPr="006B0B81">
        <w:rPr>
          <w:rFonts w:cstheme="minorHAnsi"/>
        </w:rPr>
        <w:t xml:space="preserve">. Conversione in legge, con modificazioni, del decreto-legge 14 giugno 2019, n. 53, recante disposizioni urgenti in materia di ordine e sicurezza pubblica. (GU n. </w:t>
      </w:r>
      <w:proofErr w:type="gramStart"/>
      <w:r w:rsidRPr="006B0B81">
        <w:rPr>
          <w:rFonts w:cstheme="minorHAnsi"/>
        </w:rPr>
        <w:t>186  del</w:t>
      </w:r>
      <w:proofErr w:type="gramEnd"/>
      <w:r w:rsidRPr="006B0B81">
        <w:rPr>
          <w:rFonts w:cstheme="minorHAnsi"/>
        </w:rPr>
        <w:t xml:space="preserve"> 9.8.19)</w:t>
      </w:r>
    </w:p>
    <w:p w:rsidR="00B33967" w:rsidRPr="00B33967" w:rsidRDefault="00B33967" w:rsidP="00246077">
      <w:pPr>
        <w:autoSpaceDE w:val="0"/>
        <w:autoSpaceDN w:val="0"/>
        <w:adjustRightInd w:val="0"/>
        <w:spacing w:after="0" w:line="20" w:lineRule="atLeast"/>
        <w:jc w:val="both"/>
        <w:rPr>
          <w:rFonts w:cstheme="minorHAnsi"/>
          <w:b/>
        </w:rPr>
      </w:pPr>
      <w:r w:rsidRPr="00B33967">
        <w:rPr>
          <w:rFonts w:cstheme="minorHAnsi"/>
          <w:b/>
        </w:rPr>
        <w:t>NB</w:t>
      </w:r>
    </w:p>
    <w:p w:rsidR="00B33967" w:rsidRPr="00B33967" w:rsidRDefault="00B33967" w:rsidP="00246077">
      <w:pPr>
        <w:autoSpaceDE w:val="0"/>
        <w:autoSpaceDN w:val="0"/>
        <w:adjustRightInd w:val="0"/>
        <w:spacing w:after="0" w:line="20" w:lineRule="atLeast"/>
        <w:jc w:val="both"/>
        <w:rPr>
          <w:rFonts w:cstheme="minorHAnsi"/>
          <w:b/>
        </w:rPr>
      </w:pPr>
      <w:r w:rsidRPr="00B33967">
        <w:rPr>
          <w:rFonts w:cstheme="minorHAnsi"/>
          <w:b/>
        </w:rPr>
        <w:t xml:space="preserve">SI FA RINVIO ALLA LETTURA INTEGRALE DEL TESTO </w:t>
      </w:r>
    </w:p>
    <w:p w:rsidR="00D672FE" w:rsidRDefault="00D672FE" w:rsidP="00C21335">
      <w:pPr>
        <w:keepNext/>
        <w:keepLines/>
        <w:spacing w:after="0" w:line="20" w:lineRule="atLeast"/>
        <w:jc w:val="both"/>
        <w:rPr>
          <w:rFonts w:cstheme="minorHAnsi"/>
        </w:rPr>
      </w:pPr>
    </w:p>
    <w:p w:rsidR="00D672FE" w:rsidRPr="005B2048" w:rsidRDefault="00D672FE" w:rsidP="00D672FE">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5B2048">
        <w:rPr>
          <w:rFonts w:cstheme="minorHAnsi"/>
          <w:b/>
        </w:rPr>
        <w:t>TERZO SETTORE</w:t>
      </w:r>
    </w:p>
    <w:p w:rsidR="00D672FE" w:rsidRPr="006B0B81" w:rsidRDefault="00D672FE" w:rsidP="00D672FE">
      <w:pPr>
        <w:keepNext/>
        <w:keepLines/>
        <w:spacing w:after="0" w:line="20" w:lineRule="atLeast"/>
        <w:jc w:val="both"/>
        <w:rPr>
          <w:rFonts w:cstheme="minorHAnsi"/>
        </w:rPr>
      </w:pPr>
    </w:p>
    <w:p w:rsidR="00D672FE" w:rsidRPr="00B33967" w:rsidRDefault="00D672FE" w:rsidP="00D672FE">
      <w:pPr>
        <w:keepNext/>
        <w:keepLines/>
        <w:spacing w:after="0" w:line="20" w:lineRule="atLeast"/>
        <w:jc w:val="both"/>
        <w:rPr>
          <w:rFonts w:cstheme="minorHAnsi"/>
          <w:b/>
        </w:rPr>
      </w:pPr>
      <w:r w:rsidRPr="006B0B81">
        <w:rPr>
          <w:rFonts w:cstheme="minorHAnsi"/>
        </w:rPr>
        <w:t xml:space="preserve"> </w:t>
      </w:r>
      <w:r w:rsidRPr="00B33967">
        <w:rPr>
          <w:rFonts w:cstheme="minorHAnsi"/>
          <w:b/>
        </w:rPr>
        <w:t>MINISTERO DEL LAVORO E DELLE POLITICHE SOCIALI</w:t>
      </w:r>
    </w:p>
    <w:p w:rsidR="00D672FE" w:rsidRPr="006B0B81" w:rsidRDefault="00D672FE" w:rsidP="00D672FE">
      <w:pPr>
        <w:keepNext/>
        <w:keepLines/>
        <w:spacing w:after="0" w:line="20" w:lineRule="atLeast"/>
        <w:jc w:val="both"/>
        <w:rPr>
          <w:rFonts w:cstheme="minorHAnsi"/>
        </w:rPr>
      </w:pPr>
      <w:r w:rsidRPr="00B33967">
        <w:rPr>
          <w:rFonts w:cstheme="minorHAnsi"/>
          <w:b/>
        </w:rPr>
        <w:t xml:space="preserve"> DECRETO 4 luglio </w:t>
      </w:r>
      <w:proofErr w:type="gramStart"/>
      <w:r w:rsidRPr="00B33967">
        <w:rPr>
          <w:rFonts w:cstheme="minorHAnsi"/>
          <w:b/>
        </w:rPr>
        <w:t>2019</w:t>
      </w:r>
      <w:r w:rsidRPr="006B0B81">
        <w:rPr>
          <w:rFonts w:cstheme="minorHAnsi"/>
        </w:rPr>
        <w:t xml:space="preserve"> ,</w:t>
      </w:r>
      <w:proofErr w:type="gramEnd"/>
      <w:r w:rsidRPr="006B0B81">
        <w:rPr>
          <w:rFonts w:cstheme="minorHAnsi"/>
        </w:rPr>
        <w:t xml:space="preserve">  Adozione delle Linee guida per la redazione del bilancio sociale degli enti del Terzo settore. (BUR n. 186 del 9.8.19)</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IL MINISTRO DEL LAVORO E DELLE POLITICHE SOCIALI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Vista la legge 6 giugno 2016, n. 106, recante «Delega al Governo per la riforma del Terzo settore, dell’impresa sociale e per la disciplina del servizio civile universale»;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Visto il decreto legislativo 3 luglio 2017, n. 112, recante «Revisione della disciplina in materia di impresa sociale, a norma dell’art. 2, comma 2, lettera c) della legge 6 giugno 2016, n. 106»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Visto in particolare l’art. 9, comma 2 del citato decreto legislativo n. 112 del 2017, che prevede che l’impresa sociale debba depositare presso il registro delle imprese e pubblicare nel proprio sito internet il bilancio sociale redatto secondo linee guida adottate con decreto del Ministro del lavoro e delle politiche sociali, sentito il Consiglio nazionale del Terzo settore, e tenendo conto, tra gli altri elementi, della natura dell’attività esercitata e delle dimensioni dell’impresa sociale, anche ai fini della valutazione dell’impatto sociale delle attività svolte;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Visto il decreto del Ministro della solidarietà sociale 24 gennaio 2008 recante «Adozione delle linee guida per la redazione del bilancio sociale da parte delle organizzazioni che esercitano l’impresa sociale, ai sensi dell’art. 10, comma 2, del decreto legislativo 24 marzo 2006, n. 155»;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Visto il decreto legislativo 3 luglio 2017, n. 117, recante «Codice del Terzo settore, a norma dell’art. 1, comma 2, lettera b) della legge 6 giugno 2016, n. 106»;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Visto in particolare l’art. 14, comma 1, del decreto legislativo n. 117 del 2017 sopra citato, che prevede che gli enti del Terzo settore con ricavi, rendite, proventi o entrate comunque denominate superiori ad 1 milione di euro debbano depositare presso il registro unico nazionale del Terzo settore, e pubblicare nel proprio sito internet, il bilancio sociale redatto secondo linee guida adottate con decreto del Ministro del lavoro e delle politiche sociali, sentiti la cabina di regia di cui all’art. 97 del decreto legislativo n. 117 del 2017 e il Consiglio nazionale del Terzo settore, tenendo conto, tra gli altri elementi, della natura dell’attività esercitata e delle dimensioni dell’ente, anche ai fini della valutazione dell’impatto sociale delle attività svolte;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Ritenuto pertanto di procedere congiuntamente alla definizione delle predette linee guida relative alle imprese sociali ai sensi dell’art. 9, comma 2 del decreto legislativo 3 luglio 2017, n. 112 in materia di impresa sociale e agli enti del Terzo settore diversi dalle imprese sociali ed aventi ricavi rendite proventi o entrate superiori ad 1 milione di euro, ai sensi dell’art. 14, comma 1 del decreto legislativo 3 luglio 2017 «Codice del Terzo settore», al fine di garantire la necessaria omogeneità delle suddette linee guida;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Acquisito il parere favorevole del Consiglio nazionale del Terzo settore nella seduta del 20 aprile 2018; Acquisito il parere favorevole della Cabina di regia di cui all’art. 97 del decreto legislativo n. 117 del 2017 nella seduta del 7 marzo 2019;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Decreta: Art. 1. Adozione delle linee guida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1. Ai sensi dell’art. 9, comma 2 del decreto legislativo 3 luglio 2017, n. 112 e dell’art. 14, comma 1 del decreto legislativo 3 luglio 2017, n. 117, sono adottate le linee guida di cui all’allegato n. 1, che forma parte integrante e sostanziale del presente decreto.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Art. 2. Clausola di invarianza finanziaria 1. Dal presente decreto non derivano nuovi o maggiori oneri per il bilancio dello Stato.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Art. 3. Entrata in vigore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1. Le disposizioni recate dal presente decreto si applicano a partire dalla redazione del bilancio sociale relativo al primo esercizio successivo a quello in corso alla data della pubblicazione.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2. Dal medesimo esercizio cessa l’efficacia delle disposizioni recate dal decreto del Ministro della solidarietà sociale 24 gennaio 2008, recante «Adozione delle linee guida per la redazione del bilancio sociale da parte delle organizzazioni che esercitano l’impresa sociale, ai sensi dell’art. 10, comma 2, del decreto legislativo 24 marzo 2006, n. 155». Il presente decreto sarà trasmesso ai competenti organi di controllo e pubblicato nella Gazzetta Ufficiale della Repubblica italiana.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Roma, 4 luglio 2019 </w:t>
      </w:r>
    </w:p>
    <w:p w:rsidR="00D672FE" w:rsidRPr="006B0B81" w:rsidRDefault="00D672FE" w:rsidP="00D672FE">
      <w:pPr>
        <w:keepNext/>
        <w:keepLines/>
        <w:spacing w:after="0" w:line="20" w:lineRule="atLeast"/>
        <w:jc w:val="both"/>
        <w:rPr>
          <w:rFonts w:cstheme="minorHAnsi"/>
        </w:rPr>
      </w:pPr>
      <w:r w:rsidRPr="006B0B81">
        <w:rPr>
          <w:rFonts w:cstheme="minorHAnsi"/>
        </w:rPr>
        <w:lastRenderedPageBreak/>
        <w:t xml:space="preserve">Il Ministro: DI MAIO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Registrato alla Corte dei conti il 19 luglio 2019 Ufficio di controllo sugli atti del Ministero dell’istruzione, dell’università e della ricerca, del Ministero dei beni e delle attività culturali, del Ministero della salute e del Ministero del lavoro e delle politiche sociali, reg.ne prev. n. 2806 </w:t>
      </w:r>
    </w:p>
    <w:p w:rsidR="00420350" w:rsidRDefault="00420350" w:rsidP="00D672FE">
      <w:pPr>
        <w:keepNext/>
        <w:keepLines/>
        <w:spacing w:after="0" w:line="20" w:lineRule="atLeast"/>
        <w:jc w:val="both"/>
        <w:rPr>
          <w:rFonts w:cstheme="minorHAnsi"/>
        </w:rPr>
      </w:pPr>
    </w:p>
    <w:p w:rsidR="00D672FE" w:rsidRPr="006B0B81" w:rsidRDefault="00D672FE" w:rsidP="00D672FE">
      <w:pPr>
        <w:keepNext/>
        <w:keepLines/>
        <w:spacing w:after="0" w:line="20" w:lineRule="atLeast"/>
        <w:jc w:val="both"/>
        <w:rPr>
          <w:rFonts w:cstheme="minorHAnsi"/>
        </w:rPr>
      </w:pPr>
      <w:r w:rsidRPr="006B0B81">
        <w:rPr>
          <w:rFonts w:cstheme="minorHAnsi"/>
        </w:rPr>
        <w:t xml:space="preserve">LINEE GUIDA PER LA REDAZIONE DEL BILANCIO SOCIALE DEGLI ENTI DEL TERZO SETTORE AI SENSI DELL’ART. 14 COMMA 1, DECRETO LEGISLATIVO N. 117/2017 E, CON RIFERIMENTO ALLE IMPRESE SOCIALI, DELL’ART. 9 COMMA 2 DECRETO LEGISLATIVO N. 112/2017.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 1. Introduzione e riferimenti normativi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La legge 6 giugno 2016, n. 106, «Delega al Governo per la riforma del Terzo settore, dell’impresa sociale e per la disciplina del servizio civile universale» ha assoggettato gli enti del Terzo settore, all’art. 3, comma 1, lettera a) «obblighi di trasparenza e di informazione, anche verso i terzi, attraverso forme di pubblicità dei bilanci e degli altri atti fondamentali dell’ente anche mediante la pubblicazione nel suo sito internet istituzionale», imponendo altresì all’art. 4, comma 1, lettera d) che le forme e modalità di amministrazione e controllo degli enti siano ispirate tra gli altri al principio della trasparenza e, lettera g) che gli «obblighi di controllo interno, di rendicontazione, di trasparenza e d’informazione nei confronti degli associati, dei lavoratori e dei terzi» siano «differenziati anche in ragione della dimensione economica dell’attività svolta e dell’impiego di risorse pubbliche».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All’art. 6, comma 1, lettera f) viene stabilito che gli obblighi di trasparenza a carico delle imprese sociali devono essere «specifici». </w:t>
      </w:r>
    </w:p>
    <w:p w:rsidR="00D672FE" w:rsidRPr="006B0B81" w:rsidRDefault="00D672FE" w:rsidP="00D672FE">
      <w:pPr>
        <w:keepNext/>
        <w:keepLines/>
        <w:spacing w:after="0" w:line="20" w:lineRule="atLeast"/>
        <w:jc w:val="both"/>
        <w:rPr>
          <w:rFonts w:cstheme="minorHAnsi"/>
        </w:rPr>
      </w:pPr>
      <w:r w:rsidRPr="006B0B81">
        <w:rPr>
          <w:rFonts w:cstheme="minorHAnsi"/>
        </w:rPr>
        <w:t>Ha inoltre previsto (art. 7, comma 3) che «Il Ministero del lavoro e delle politiche sociali, sentito l’organismo di cui all’art. 5, comma 1, lettera g) , predispone linee guida in materia di bilancio sociale e di sistemi di valutazione dell’impatto sociale delle attività svolte dagli enti del Terzo settore, anche in attuazione di quanto previsto dall’art. 4, comma 1, lettera o) », ovvero la valorizzazione del «ruolo degli enti nella fase di programmazione, a livello territoriale...» e l’individuazione di «criteri e modalità per l’affidamento agli enti dei servizi d’interesse generale, improntati al rispetto di standard di qualità e impatto sociale del servizio, obiettività, trasparenza e semplificazione... nonché criteri e modalità per la verifica dei risultati in termini di qualità e di efficacia delle prestazioni».</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 In attuazione di quanto sopra, il decreto legislativo 3 luglio 2017, n. 117 (codice del Terzo settore, a norma dell’art. 1, comma 2, lettera b) , della legge 6 giugno 2016, n. 106) ha previsto all’art. 14, comma 1 che «Gli enti del Terzo settore con ricavi, rendite, proventi o entrate comunque denominate superiori ad 1 milione di euro devono depositare presso il registro unico nazionale del Terzo settore, e pubblicare nel proprio sito internet, il bilancio sociale redatto secondo linee guida adottate con decreto del Ministro del lavoro e delle politiche sociali, sentiti la cabina di regia di cui all’art. 97 e il Consiglio nazionale del Terzo settore, e tenendo conto, tra gli altri elementi, della natura dell’attività esercitata e delle dimensioni dell’ente, anche ai fini della valutazione dell’impatto sociale delle attività svolte».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In aggiunta a quanto sopra, sono tenuti per esplicita previsione del codice a redigere e rendere pubblico il bilancio sociale, prescindendo dai limiti dimensionali, in ragione della loro specificità e delle loro funzioni, i centri di servizio per il volontariato di cui all’art. 61, comma 1, lettera l).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In maniera analoga, indipendentemente dal valore complessivo delle entrate il decreto legislativo 3 luglio 2017, n. 112, recante la «Revisione della disciplina in materia di impresa sociale, a norma dell’art. 2, comma 2, lettera c) della legge 6 giugno 2016, n. 106» prevede all’art. 9, comma 2 che le imprese sociali, ivi comprese le cooperative sociali e i loro consorzi, depositino presso il registro delle imprese e pubblichino nel proprio sito internet «il bilancio sociale redatto secondo linee guida adottate con decreto del Ministro del lavoro e delle politiche sociali, sentito il Consiglio nazionale del Terzo settore di cui all’art. 5, comma 1, lettera g) , della legge 6 giugno 2016, n. 106, e tenendo conto, tra gli altri elementi, della natura dell’attività esercitata e delle dimensioni dell’impresa sociale, anche ai fini della valutazione dell’impatto sociale delle attività svolte».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Nel caso di gruppi d’imprese sociali la redazione e il deposito del bilancio sociale devono essere eseguiti «in forma consolidata» (art. 4, comma 2). Ulteriori espliciti riferimenti al bilancio sociale sono presenti nel codice nelle norme che individuano specifici contenuti del documento; analoghe disposizioni sono presenti anche nel decreto legislativo n. 112/2017 in materia d’impresa sociale. </w:t>
      </w:r>
    </w:p>
    <w:p w:rsidR="00D672FE" w:rsidRPr="006B0B81" w:rsidRDefault="00D672FE" w:rsidP="00D672FE">
      <w:pPr>
        <w:keepNext/>
        <w:keepLines/>
        <w:spacing w:after="0" w:line="20" w:lineRule="atLeast"/>
        <w:jc w:val="both"/>
        <w:rPr>
          <w:rFonts w:cstheme="minorHAnsi"/>
        </w:rPr>
      </w:pPr>
      <w:r w:rsidRPr="006B0B81">
        <w:rPr>
          <w:rFonts w:cstheme="minorHAnsi"/>
        </w:rPr>
        <w:lastRenderedPageBreak/>
        <w:t>Tra essi: ai sensi dell’art. 16, comma 1 del CTS gli enti danno conto nel bilancio sociale di aver rispettato il principio secondo cui «la differenza retributiva tra lavoratori dipendenti non può essere superiore al rapporto uno a otto, da calcolarsi sulla base della retribuzione annua lorda», in coerenza con l’analoga disposizione dell’art. 13 comma 1 del decreto legislativo n. 112/2017; tale decreto, inoltre, prevede a carico delle imprese sociali, (con esclusione di quelle costituite in forma di società cooperativa a mutualità prevalente e agli enti religiosi civilmente riconosciuti) anche l’ulteriore contenuto ex art. 11, comma 3, relativo all’indicazione delle forme e modalità di coinvolgimento dei lavoratori e degli utenti; ai sensi dell’art. 30, comma 7 del CTS, il bilancio sociale dà atto degli esiti del monitoraggio svolto dai sindaci sull’osservanza «delle finalità civiche, solidaristiche e di utilità sociale, avuto particolare riguardo alle disposizioni di cui agli articoli 5, 6, 7 e 8» e contiene l’attestazione dei sindaci stessi circa la conformità del documento alle linee guida di cui all’art. 14; analoga previsione è rinvenibile all’art. 10, comma 3 del decreto legislativo n. 112/2017 relativamente alle imprese sociali (con esclusione delle cooperative sociali alle quali non sono applicabili le disposizioni di cui all’art. 10 citato); negli enti filantropici (art. 39, comma 1) il bilancio sociale «deve contenere l’elenco e gli importi delle erogazioni deliberate ed effettuate nel corso dell’esercizio, con l’indicazione dei beneficiari diversi dalle persone fisiche».</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 In linea di massima quindi il legislatore delegato dei decreti 112 e 117 del 2017 individua nel bilancio sociale, attraverso i connessi obblighi di redazione e successivo deposito presso il registro unico del Terzo settore o presso il registro delle imprese, nonché di diffusione attraverso la pubblicazione sul sito istituzionale da parte degli enti del Terzo settore, lo strumento attraverso il quale gli enti stessi possono dare attuazione ai numerosi richiami alla trasparenza, all’informazione, alla rendicontazione nei confronti degli associati, dei lavoratori e dei terzi presenti nella legge delega. Il bilancio sociale non deve essere confuso con la relazione di missione (art. 13 del codice), che insieme allo stato patrimoniale e al rendiconto finanziario forma il bilancio di esercizio degli enti e «illustra le poste di bilancio, l’andamento economico e finanziario dell’ente e le modalità di perseguimento delle finalità statutarie».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Inoltre, il bilancio sociale deve essere visto non solo nella sua dimensione finale di atto, ma anche in una dimensione dinamica come processo di crescita della capacità dell’ente di rendicontare le proprie attività da un punto di vista sociale attraverso il coinvolgimento di diversi attori e interlocutori. Al fine di accompagnare l’attuazione delle presenti linee guida, il Consiglio nazionale del Terzo settore di cui agli articoli 58 e ss. del decreto legislativo n. 117/2017 potrà promuovere un’attività di raccolta e diffusione di buone prassi e di monitoraggio sull’applicazione delle medesime linee guida.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 2. Le finalità delle linee guida La finalità delle presenti linee guida, in adesione al disposto normativo, è quindi quella di definire i contenuti e le modalità di redazione del bilancio sociale, per consentire agli enti interessati di adempiere all’obbligo normativo, ma anche per mettere a disposizione degli associati, dei lavoratori e dei terzi (ivi incluse le pubbliche amministrazioni) elementi informativi sull’operato degli enti e dei loro amministratori, nonché sui risultati conseguiti nel tempo.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Il bilancio sociale può essere definito come uno «strumento di rendicontazione delle responsabilità, dei comportamenti e dei risultati sociali, ambientali ed economici delle attività svolte da un’organizzazione.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Ciò al fine di offrire un’informativa strutturata e puntuale a tutti i soggetti interessati non ottenibile a mezzo della sola informazione economica contenuta nel bilancio di esercizio» (1)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La locuzione «rendicontazione delle responsabilità dei comportamenti e dei risultati sociali ambientali ed economici» può essere sintetizzata utilizzando il termine anglosassone di </w:t>
      </w:r>
      <w:proofErr w:type="gramStart"/>
      <w:r w:rsidRPr="006B0B81">
        <w:rPr>
          <w:rFonts w:cstheme="minorHAnsi"/>
        </w:rPr>
        <w:t>« Accountability</w:t>
      </w:r>
      <w:proofErr w:type="gramEnd"/>
      <w:r w:rsidRPr="006B0B81">
        <w:rPr>
          <w:rFonts w:cstheme="minorHAnsi"/>
        </w:rPr>
        <w:t xml:space="preserve"> ».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Tale termine comprende e presuppone oltre ai concetti di responsabilità quelli di «trasparenza» e « com- pliance », «la prima... intesa come accesso alle informazioni concernenti ogni aspetto dell’organizzazione, fra cui gli indicatori gestionali e la predisposizione del bilancio e di strumenti di comunicazione volti a rendere visibili decisioni, attività e risultati... la seconda si riferisce al rispetto delle norme... sia come garanzia della legittimità dell’azione sia come adeguamento dell’azione agli standard stabiliti da leggi, regolamenti, linee guida etiche o codici di condotta»(2)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Da tale definizione di bilancio sociale derivano alcune implicazioni: la necessità di fornire informazioni ulteriori rispetto a quelle meramente economiche e finanziarie;(3) la possibilità data ai soggetti interessati, attraverso il bilancio sociale, di conoscere il valore generato dall’organizzazione ed effettuare comparazioni nel tempo dei risultati conseguiti. </w:t>
      </w:r>
    </w:p>
    <w:p w:rsidR="00D672FE" w:rsidRPr="006B0B81" w:rsidRDefault="00D672FE" w:rsidP="00D672FE">
      <w:pPr>
        <w:keepNext/>
        <w:keepLines/>
        <w:spacing w:after="0" w:line="20" w:lineRule="atLeast"/>
        <w:jc w:val="both"/>
        <w:rPr>
          <w:rFonts w:cstheme="minorHAnsi"/>
        </w:rPr>
      </w:pPr>
      <w:r w:rsidRPr="006B0B81">
        <w:rPr>
          <w:rFonts w:cstheme="minorHAnsi"/>
        </w:rPr>
        <w:lastRenderedPageBreak/>
        <w:t xml:space="preserve">In questo modo il bilancio sociale si propone di: fornire a tutti gli stakeholders un quadro complessivo delle attività, della loro natura e dei risultati dell’ente; aprire un processo interattivo di comunicazione sociale; favorire processi partecipativi interni ed esterni all’organizzazione; fornire informazioni utili sulla qualità delle attività dell’ente per ampliare e migliorare le conoscenze e le possibilità di valutazione e di scelta degli stakeholders ; dare conto dell’identità e del sistema di valori di riferimento assunti dall’ente e della loro declinazione nelle scelte strategiche, nei comportamenti gestionali, nei loro risultati ed effetti; fornire informazioni sul bilanciamento tra le aspettative degli stakeholders e indicare gli impegni assunti nei loro confronti; rendere conto del grado di adempimento degli impegni in questione; esporre gli obiettivi di miglioramento che l’ente si impegna a perseguire; fornire indicazioni sulle interazioni tra l’ente e l’ambiente nel quale esso opera; rappresentare il «valore aggiunto» creato nell’esercizio e la sua ripartizione.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Esula dal presente documento la trattazione della valutazione di impatto sociale, che costituirà oggetto di specifiche linee guida, ai sensi dell’art. 7, comma 3 della legge 6 giugno 2016, n. 106. </w:t>
      </w:r>
    </w:p>
    <w:p w:rsidR="00D672FE" w:rsidRPr="006B0B81" w:rsidRDefault="00D672FE" w:rsidP="00D672FE">
      <w:pPr>
        <w:keepNext/>
        <w:keepLines/>
        <w:spacing w:after="0" w:line="20" w:lineRule="atLeast"/>
        <w:jc w:val="both"/>
        <w:rPr>
          <w:rFonts w:cstheme="minorHAnsi"/>
        </w:rPr>
      </w:pPr>
    </w:p>
    <w:p w:rsidR="00D672FE" w:rsidRPr="006B0B81" w:rsidRDefault="00D672FE" w:rsidP="00D672FE">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both"/>
        <w:rPr>
          <w:rFonts w:cstheme="minorHAnsi"/>
        </w:rPr>
      </w:pPr>
      <w:r w:rsidRPr="006B0B81">
        <w:rPr>
          <w:rFonts w:cstheme="minorHAnsi"/>
        </w:rPr>
        <w:t xml:space="preserve">(1) Agenzia per il Terzo settore, Linee Guida per la redazione del bilancio sociale delle organizzazioni no profit, 2011. </w:t>
      </w:r>
    </w:p>
    <w:p w:rsidR="00D672FE" w:rsidRPr="006B0B81" w:rsidRDefault="00D672FE" w:rsidP="00D672FE">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both"/>
        <w:rPr>
          <w:rFonts w:cstheme="minorHAnsi"/>
        </w:rPr>
      </w:pPr>
      <w:r w:rsidRPr="006B0B81">
        <w:rPr>
          <w:rFonts w:cstheme="minorHAnsi"/>
        </w:rPr>
        <w:t xml:space="preserve">(2) cfr. voce «Accountability» in Dizionario Treccani di Economia e Finanza, 2012. </w:t>
      </w:r>
    </w:p>
    <w:p w:rsidR="00D672FE" w:rsidRPr="006B0B81" w:rsidRDefault="00D672FE" w:rsidP="00D672FE">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both"/>
        <w:rPr>
          <w:rFonts w:cstheme="minorHAnsi"/>
        </w:rPr>
      </w:pPr>
      <w:r w:rsidRPr="006B0B81">
        <w:rPr>
          <w:rFonts w:cstheme="minorHAnsi"/>
        </w:rPr>
        <w:t xml:space="preserve">(3) Si tratta di un principio ormai diffuso anche in altri contesti (ad esempio già volontariamente adottato dalle imprese cd. «socialmente responsabili», che appartengono all’universo «profit») e recentemente previsto nei confronti della generalità di imprese di dimensioni rilevanti (cfr. la direttiva 2014/95/UE del Parlamento europeo e del Consiglio del 22 ottobre 2014 recante «Modifica della direttiva 2013/34/UE per quanto riguarda la comunicazione di informazioni di carattere non finanziario e di informazioni sulla diversità da parte di talune imprese e di taluni gruppi di grandi dimensioni» e il relativo decreto legislativo 30/12/2016 n. 254). </w:t>
      </w:r>
    </w:p>
    <w:p w:rsidR="00D672FE" w:rsidRDefault="00D672FE" w:rsidP="00D672FE">
      <w:pPr>
        <w:keepNext/>
        <w:keepLines/>
        <w:spacing w:after="0" w:line="20" w:lineRule="atLeast"/>
        <w:jc w:val="both"/>
        <w:rPr>
          <w:rFonts w:cstheme="minorHAnsi"/>
        </w:rPr>
      </w:pPr>
    </w:p>
    <w:p w:rsidR="009156DF" w:rsidRPr="006B0B81" w:rsidRDefault="009156DF" w:rsidP="00D672FE">
      <w:pPr>
        <w:keepNext/>
        <w:keepLines/>
        <w:spacing w:after="0" w:line="20" w:lineRule="atLeast"/>
        <w:jc w:val="both"/>
        <w:rPr>
          <w:rFonts w:cstheme="minorHAnsi"/>
        </w:rPr>
      </w:pPr>
      <w:r>
        <w:t>§ 3. I soggetti tenuti alla redazione del bilancio sociale</w:t>
      </w:r>
    </w:p>
    <w:p w:rsidR="009156DF" w:rsidRDefault="009156DF" w:rsidP="00D672FE">
      <w:pPr>
        <w:keepNext/>
        <w:keepLines/>
        <w:spacing w:after="0" w:line="20" w:lineRule="atLeast"/>
        <w:jc w:val="both"/>
      </w:pPr>
      <w:r>
        <w:t>Dalle disposizioni normative citate al paragrafo 1 risulta pertanto che sono tenuti alla redazione del bilancio sociale i seguenti enti del Terzo settore:</w:t>
      </w:r>
    </w:p>
    <w:p w:rsidR="009156DF" w:rsidRDefault="009156DF" w:rsidP="00D672FE">
      <w:pPr>
        <w:keepNext/>
        <w:keepLines/>
        <w:spacing w:after="0" w:line="20" w:lineRule="atLeast"/>
        <w:jc w:val="both"/>
      </w:pPr>
      <w:r>
        <w:t xml:space="preserve"> </w:t>
      </w:r>
      <w:proofErr w:type="gramStart"/>
      <w:r>
        <w:t>gli</w:t>
      </w:r>
      <w:proofErr w:type="gramEnd"/>
      <w:r>
        <w:t xml:space="preserve"> enti del Terzo settore con ricavi, rendite, proventi o entrate comunque denominate superiori ad 1 milione di euro (art. 14, comma 1 decreto legislativo n. 117/2017);</w:t>
      </w:r>
    </w:p>
    <w:p w:rsidR="009156DF" w:rsidRDefault="009156DF" w:rsidP="00D672FE">
      <w:pPr>
        <w:keepNext/>
        <w:keepLines/>
        <w:spacing w:after="0" w:line="20" w:lineRule="atLeast"/>
        <w:jc w:val="both"/>
      </w:pPr>
      <w:r>
        <w:t xml:space="preserve"> </w:t>
      </w:r>
      <w:proofErr w:type="gramStart"/>
      <w:r>
        <w:t>i</w:t>
      </w:r>
      <w:proofErr w:type="gramEnd"/>
      <w:r>
        <w:t xml:space="preserve"> centri di servizio per il volontariato (art. 61, comma 1, lettera l, decreto legislativo n. 117/2017); </w:t>
      </w:r>
    </w:p>
    <w:p w:rsidR="009156DF" w:rsidRDefault="009156DF" w:rsidP="00D672FE">
      <w:pPr>
        <w:keepNext/>
        <w:keepLines/>
        <w:spacing w:after="0" w:line="20" w:lineRule="atLeast"/>
        <w:jc w:val="both"/>
      </w:pPr>
      <w:proofErr w:type="gramStart"/>
      <w:r>
        <w:t>le</w:t>
      </w:r>
      <w:proofErr w:type="gramEnd"/>
      <w:r>
        <w:t xml:space="preserve"> imprese sociali (art. 9, comma 2, decreto legislativo n. 112/2017), ivi comprese le cooperative sociali (4)</w:t>
      </w:r>
    </w:p>
    <w:p w:rsidR="009156DF" w:rsidRDefault="009156DF" w:rsidP="00D672FE">
      <w:pPr>
        <w:keepNext/>
        <w:keepLines/>
        <w:spacing w:after="0" w:line="20" w:lineRule="atLeast"/>
        <w:jc w:val="both"/>
      </w:pPr>
      <w:r>
        <w:t xml:space="preserve"> </w:t>
      </w:r>
      <w:proofErr w:type="gramStart"/>
      <w:r>
        <w:t>i</w:t>
      </w:r>
      <w:proofErr w:type="gramEnd"/>
      <w:r>
        <w:t xml:space="preserve"> gruppi di imprese sociali (con l’obbligo, ai sensi dell’art. 4, comma 2, decreto legislativo n. 112/2017, di redigerlo in forma consolidata). </w:t>
      </w:r>
    </w:p>
    <w:p w:rsidR="009156DF" w:rsidRDefault="009156DF" w:rsidP="00D672FE">
      <w:pPr>
        <w:keepNext/>
        <w:keepLines/>
        <w:spacing w:after="0" w:line="20" w:lineRule="atLeast"/>
        <w:jc w:val="both"/>
      </w:pPr>
      <w:r>
        <w:t xml:space="preserve">La redazione e pubblicazione del bilancio sociale, nei casi in cui l’ente del Terzo settore non vi sia tenuto per esplicita disposizione di legge, può rappresentare anche il soddisfacimento di un impegno assunto direttamente dall’ente nei confronti dei propri </w:t>
      </w:r>
      <w:proofErr w:type="gramStart"/>
      <w:r>
        <w:t>stakeholders ,</w:t>
      </w:r>
      <w:proofErr w:type="gramEnd"/>
      <w:r>
        <w:t xml:space="preserve"> o lo strumento attraverso il quale l’ente stesso ha modo di rendere visibili i risultati raggiunti nel corso del tempo, aumentando il numero di terzi potenzialmente interessati ad associarsi o sostenerlo finanziariamente. </w:t>
      </w:r>
    </w:p>
    <w:p w:rsidR="009156DF" w:rsidRDefault="009156DF" w:rsidP="00D672FE">
      <w:pPr>
        <w:keepNext/>
        <w:keepLines/>
        <w:spacing w:after="0" w:line="20" w:lineRule="atLeast"/>
        <w:jc w:val="both"/>
      </w:pPr>
      <w:r>
        <w:t xml:space="preserve">Nulla vieta quindi che quanti non siano tenuti per legge decidano comunque di redigere e pubblicare, ad es. sul proprio sito istituzionale, il bilancio sociale. </w:t>
      </w:r>
    </w:p>
    <w:p w:rsidR="009156DF" w:rsidRDefault="009156DF" w:rsidP="00D672FE">
      <w:pPr>
        <w:keepNext/>
        <w:keepLines/>
        <w:spacing w:after="0" w:line="20" w:lineRule="atLeast"/>
        <w:jc w:val="both"/>
        <w:rPr>
          <w:rFonts w:cstheme="minorHAnsi"/>
        </w:rPr>
      </w:pPr>
      <w:r>
        <w:t>Naturalmente in questo caso, il documento non dovrà necessariamente essere predisposto in conformità con le presenti linee guida e con la disciplina contenuta nelle disposizioni rinvenibili nei decreti legislativi sopra citati, pur invitando alla loro applicazione. Ovviamente, solo i documenti conformi alle presenti linee guida potranno fregiarsi della dicitura «Bilancio sociale predisposto ai sensi dell’art. 14 del decreto legislativo n. 117/2017».</w:t>
      </w:r>
    </w:p>
    <w:p w:rsidR="00867DCF" w:rsidRDefault="00867DCF" w:rsidP="00D672FE">
      <w:pPr>
        <w:keepNext/>
        <w:keepLines/>
        <w:spacing w:after="0" w:line="20" w:lineRule="atLeast"/>
        <w:jc w:val="both"/>
        <w:rPr>
          <w:rFonts w:cstheme="minorHAnsi"/>
        </w:rPr>
      </w:pPr>
    </w:p>
    <w:p w:rsidR="009156DF" w:rsidRDefault="00867DCF" w:rsidP="00D672FE">
      <w:pPr>
        <w:keepNext/>
        <w:keepLines/>
        <w:spacing w:after="0" w:line="20" w:lineRule="atLeast"/>
        <w:jc w:val="both"/>
      </w:pPr>
      <w:r>
        <w:t xml:space="preserve">§ 4. I destinatari del bilancio sociale </w:t>
      </w:r>
    </w:p>
    <w:p w:rsidR="000D60D5" w:rsidRDefault="00867DCF" w:rsidP="00D672FE">
      <w:pPr>
        <w:keepNext/>
        <w:keepLines/>
        <w:spacing w:after="0" w:line="20" w:lineRule="atLeast"/>
        <w:jc w:val="both"/>
      </w:pPr>
      <w:r>
        <w:lastRenderedPageBreak/>
        <w:t>Il bilancio sociale è per sua natura «un documento pubblico, rivolto a tutti gli stakeholders interessati a reperire informazioni sull’ente del Terzo settore che lo ha redatto, attraverso il quale «i lettori devono essere messi nelle condizioni di valutare il grado di attenzione e considerazione che l’Organizzazione riserva nella propria gestione rispetto alle esigenze degli stakeholders » (5) Inoltre, considerato che si tratta di un documento da pubblicare assicurandone una idonea diffusione, lo stesso è destinato a raggiungere un numero elevato di terzi potenzialmente interessati.</w:t>
      </w:r>
    </w:p>
    <w:p w:rsidR="000D60D5" w:rsidRDefault="00867DCF" w:rsidP="00D672FE">
      <w:pPr>
        <w:keepNext/>
        <w:keepLines/>
        <w:spacing w:after="0" w:line="20" w:lineRule="atLeast"/>
        <w:jc w:val="both"/>
      </w:pPr>
      <w:r>
        <w:t xml:space="preserve"> L’art. 4, comma 1, lettera g) della legge delega individua anche gli associati e i lavoratori tra i beneficiari degli obblighi di rendicontazione, di trasparenza e di informazione in capo all’ente del Terzo settore. Infine, considerato che tale strumento può «favorire lo sviluppo, all’interno… di processi di rendicontazione di valutazione e controllo dei risultati, che possono contribuire ad una gestione più efficace e coerente con i valori e la missione» (6) , è evidente come tra i destinatari del bilancio sociale vi siano gli operatori, decisori e amministratori interni, ovvero coloro che all’interno dell’ente formulano e/o approvano le strategie e le pongono in essere, gli associati, che approvano il bilancio annuale e sono chiamati a condividere le strategie di più lungo periodo, le istituzioni (autorità amministrative e decisori politici), il pubblico dei potenziali donatori. Le informazioni sui risultati sociali, ambientali o economici finanziari rivestono, per i differenti interlocutori dell’ente, importanza diversa in relazione ai contributi apportati e alle attese che ne derivano. A mero titolo esemplificativo, la lettura del bilancio sociale consente: </w:t>
      </w:r>
    </w:p>
    <w:p w:rsidR="000D60D5" w:rsidRDefault="00867DCF" w:rsidP="00D672FE">
      <w:pPr>
        <w:keepNext/>
        <w:keepLines/>
        <w:spacing w:after="0" w:line="20" w:lineRule="atLeast"/>
        <w:jc w:val="both"/>
      </w:pPr>
      <w:proofErr w:type="gramStart"/>
      <w:r>
        <w:t>agli</w:t>
      </w:r>
      <w:proofErr w:type="gramEnd"/>
      <w:r>
        <w:t xml:space="preserve"> associati di comprendere se le strategie sono state formulate correttamente, di adattarle ad un cambio del contesto esterno, di verificare l’operato degli amministratori; </w:t>
      </w:r>
    </w:p>
    <w:p w:rsidR="000D60D5" w:rsidRDefault="000D60D5" w:rsidP="00D672FE">
      <w:pPr>
        <w:keepNext/>
        <w:keepLines/>
        <w:spacing w:after="0" w:line="20" w:lineRule="atLeast"/>
        <w:jc w:val="both"/>
      </w:pPr>
    </w:p>
    <w:p w:rsidR="000D60D5" w:rsidRDefault="000D60D5" w:rsidP="000D60D5">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both"/>
      </w:pPr>
      <w:r>
        <w:t>(</w:t>
      </w:r>
      <w:r w:rsidR="00867DCF">
        <w:t>4) L’obbligo di redazione e pubblicazione del bilancio sociale in capo alle cooperative sociali, imprese sociali ex lege, discende direttamente dalla qualificazione non emergendo incompatibilità tra l’obbligo in questione e la natura delle cooperative sociali. Cfr. Ministero del lavoro e delle politiche sociali, nota direttoriale prot. 2491 del 22.2.2018, «D.Lgs. 112/2017. Quesiti in materia di cooperative sociali».</w:t>
      </w:r>
    </w:p>
    <w:p w:rsidR="000D60D5" w:rsidRDefault="00867DCF" w:rsidP="000D60D5">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both"/>
      </w:pPr>
      <w:r>
        <w:t xml:space="preserve"> (5) Agenzia per il Terzo settore, Linee Guida e schemi per la redazione del bilancio sociale delle organizzazioni non profit, 2011, pag. 12. </w:t>
      </w:r>
    </w:p>
    <w:p w:rsidR="00867DCF" w:rsidRDefault="00867DCF" w:rsidP="000D60D5">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both"/>
        <w:rPr>
          <w:rFonts w:cstheme="minorHAnsi"/>
        </w:rPr>
      </w:pPr>
      <w:r>
        <w:t>(6) Ibidem, pag. 11</w:t>
      </w:r>
    </w:p>
    <w:p w:rsidR="009156DF" w:rsidRDefault="009156DF" w:rsidP="00D672FE">
      <w:pPr>
        <w:keepNext/>
        <w:keepLines/>
        <w:spacing w:after="0" w:line="20" w:lineRule="atLeast"/>
        <w:jc w:val="both"/>
        <w:rPr>
          <w:rFonts w:cstheme="minorHAnsi"/>
        </w:rPr>
      </w:pPr>
    </w:p>
    <w:p w:rsidR="00D672FE" w:rsidRPr="006B0B81" w:rsidRDefault="00D672FE" w:rsidP="00D672FE">
      <w:pPr>
        <w:keepNext/>
        <w:keepLines/>
        <w:spacing w:after="0" w:line="20" w:lineRule="atLeast"/>
        <w:jc w:val="both"/>
        <w:rPr>
          <w:rFonts w:cstheme="minorHAnsi"/>
        </w:rPr>
      </w:pPr>
      <w:r w:rsidRPr="006B0B81">
        <w:rPr>
          <w:rFonts w:cstheme="minorHAnsi"/>
        </w:rPr>
        <w:t xml:space="preserve">agli amministratori di correggere / riprogrammare le attività a breve/medio termine, di «rispondere» a chi ha loro conferito l’incarico evidenziando i risultati positivi conseguiti, di confrontare i risultati nel tempo (relativamente ai risultati precedenti) e nello spazio (con le attività di enti analoghi), di verificare l’efficacia delle azioni intraprese in relazione ai destinatari di riferimento; alle istituzioni di acquisire informazioni sulla platea degli enti in vista di eventuali finanziamenti, convenzioni, collaborazioni e di verificarne le modalità di impiego dei fondi pubblici; ai potenziali donatori di individuare in maniera attendibile e trasparente un ente meritevole cui devolvere risorse a determinati fini e verificare ex post in che modo le risorse donate sono state utilizzate e con quale grado di efficienza e coerenza nei confronti delle finalità istituzionali.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 5. I principi di redazione del bilancio sociale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La redazione del bilancio sociale deve attenersi ai principi di: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i. rilevanza: nel bilancio sociale devono essere riportate solo le informazioni rilevanti per la comprensione della situazione e dell’andamento dell’ente e degli impatti economici, sociali e ambientali della sua attività, o che comunque potrebbero influenzare in modo sostanziale le valutazioni e le decisioni degli </w:t>
      </w:r>
      <w:proofErr w:type="gramStart"/>
      <w:r w:rsidRPr="006B0B81">
        <w:rPr>
          <w:rFonts w:cstheme="minorHAnsi"/>
        </w:rPr>
        <w:t>stakeholder ;</w:t>
      </w:r>
      <w:proofErr w:type="gramEnd"/>
      <w:r w:rsidRPr="006B0B81">
        <w:rPr>
          <w:rFonts w:cstheme="minorHAnsi"/>
        </w:rPr>
        <w:t xml:space="preserve"> eventuali esclusioni o limitazioni delle attività rendicontate devono essere motivate;</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 ii. completezza: occorre identificare i principali stakeholder che influenzano e/o sono influenzati dall’organizzazione e inserire tutte le informazioni ritenute utili per consentire a tali stakeholder di valutare i risultati sociali, economici e ambientali dell’ente;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iii. trasparenza: occorre rendere chiaro il procedimento logico seguito per rilevare e classificare le informazioni;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iv. neutralità: le informazioni devono essere rappresentate in maniera imparziale, indipendente da interessi di parte e completa, riguardare gli aspetti sia positivi che negativi della gestione senza distorsioni volte al soddisfacimento dell’interesse degli amministratori o di una categoria di portatori di interesse; </w:t>
      </w:r>
    </w:p>
    <w:p w:rsidR="00D672FE" w:rsidRPr="006B0B81" w:rsidRDefault="00D672FE" w:rsidP="00D672FE">
      <w:pPr>
        <w:keepNext/>
        <w:keepLines/>
        <w:spacing w:after="0" w:line="20" w:lineRule="atLeast"/>
        <w:jc w:val="both"/>
        <w:rPr>
          <w:rFonts w:cstheme="minorHAnsi"/>
        </w:rPr>
      </w:pPr>
      <w:r w:rsidRPr="006B0B81">
        <w:rPr>
          <w:rFonts w:cstheme="minorHAnsi"/>
        </w:rPr>
        <w:t>v. competenza di periodo: le attività e i risultati sociali rendicontati devono essere quelle/i svoltesi / manifestatisi nell’anno di riferimento;</w:t>
      </w:r>
    </w:p>
    <w:p w:rsidR="00D672FE" w:rsidRPr="006B0B81" w:rsidRDefault="00D672FE" w:rsidP="00D672FE">
      <w:pPr>
        <w:keepNext/>
        <w:keepLines/>
        <w:spacing w:after="0" w:line="20" w:lineRule="atLeast"/>
        <w:jc w:val="both"/>
        <w:rPr>
          <w:rFonts w:cstheme="minorHAnsi"/>
        </w:rPr>
      </w:pPr>
      <w:r w:rsidRPr="006B0B81">
        <w:rPr>
          <w:rFonts w:cstheme="minorHAnsi"/>
        </w:rPr>
        <w:lastRenderedPageBreak/>
        <w:t xml:space="preserve">vi. comparabilità: l’esposizione deve rendere possibile il confronto sia temporale (cambiamenti nel tempo dello stesso ente) sia - per quanto possibile - spaziale (presenza di altre organizzazioni con caratteristiche simili o operanti nel medesimo/analogo settore e/o con medie di settore);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vii. chiarezza: le informazioni devono essere esposte in maniera chiara e comprensibile per il linguaggio usato, accessibile anche a lettori non esperti o privi di particolare competenza tecnica;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viii. veridicità e verificabilità: i dati riportati devono far riferimento alle fonti informative utilizzate;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ix. attendibilità: i dati positivi riportati devono essere forniti in maniera oggettiva e non sovrastimata; analogamente i dati negativi e i rischi connessi non devono essere sottostimati; gli effetti incerti non devono essere inoltre prematuramente documentati come certi;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x. autonomia delle terze parti: ove terze parti siano incaricate di trattare specifici aspetti del bilancio sociale ovvero di garantire la qualità del processo o formulare valutazioni o commenti, deve essere loro richiesta e garantita la più completa autonomia e indipendenza di giudizio.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Valutazioni, giudizi e commenti di terze parti possono formare oggetto di apposito allegato.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 6. La struttura e il contenuto del bilancio sociale </w:t>
      </w:r>
    </w:p>
    <w:p w:rsidR="00D672FE" w:rsidRPr="006B0B81" w:rsidRDefault="00D672FE" w:rsidP="00D672FE">
      <w:pPr>
        <w:keepNext/>
        <w:keepLines/>
        <w:spacing w:after="0" w:line="20" w:lineRule="atLeast"/>
        <w:jc w:val="both"/>
        <w:rPr>
          <w:rFonts w:cstheme="minorHAnsi"/>
        </w:rPr>
      </w:pPr>
      <w:r w:rsidRPr="006B0B81">
        <w:rPr>
          <w:rFonts w:cstheme="minorHAnsi"/>
        </w:rPr>
        <w:t>Per gli enti di Terzo settore tenuti ex lege alla redazione, il bilancio sociale dovrà contenere almeno le informazioni di seguito indicate, suddivise in sezioni a seconda della dimensione oggetto di analisi. In caso di omissione di una o più setto-sezioni l’ente sarà tenuto a illustrare le ragioni che hanno condotto alla mancata esposizione dell’informazione. Gli enti di Terzo settore che volontariamente scelgono di redigere il bilancio sociale devono comunque fare riferimento al predetto schema ai fini di una rappresentazione attendibile ed esaustiva delle informazioni. Per questi ultimi è consentita una esposizione ridotta in relazione alle specificità proprie dell’ente ma che sia comunque in grado di rispondere alle finalità informative del bilancio sociale quale strumento di rendicontazione delle responsabilità, dei comportamenti e dei risultati sociali, ambientali ed economici delle attiv</w:t>
      </w:r>
      <w:r w:rsidR="000D60D5">
        <w:rPr>
          <w:rFonts w:cstheme="minorHAnsi"/>
        </w:rPr>
        <w:t>ità svolte dall’organizzazione.</w:t>
      </w:r>
      <w:r w:rsidRPr="006B0B81">
        <w:rPr>
          <w:rFonts w:cstheme="minorHAnsi"/>
        </w:rPr>
        <w:t>1) Metodologia adottata per la redazione del bilancio sociale: eventuali standard di rendicontazione utilizzati; (7) cambiamenti significativi di perimetro o metodi di misurazione rispetto al precedente periodo di rendicontazione; altre informazioni utili a comprendere il processo e la metodologia di rendicontazione. 2) Informazioni generali sull’ente: nome dell’ente; codice fiscale; partita IVA; forma giuridica (8) e qualificazione ai sensi del codice del Terzo settore; indirizzo sede legale; altre sedi; aree territoriali di operatività; valori e finalità perseguite (missione dell’ente); (9) attività statutarie individuate facendo riferimento all’art. 5 del decreto legislativo n. 117/2017 e/o all’art. 2 del decreto legislativo n. 112/2017 (oggetto sociale); evidenziare se il perimetro delle attività statutarie sia più ampio di quelle effettivamente realizzate, circostanziando le attività effettivamente svolte; altre attività svolte in maniera secondaria/strumentale; collegamenti con altri enti del Terzo settore (inserimento in reti, gruppi di imprese sociali…); contesto di riferimento. 3) Struttura, governo e amministrazione: consistenza e composizione della base sociale /associativa (se esistente); sistema di governo e controllo, articolazione, responsabilità e composizione degli organi (indicando in ogni caso nominativi degli amministratori e degli altri soggetti che ricoprono cariche istituzionali, data di prima nomina, periodo per il quale rimangono in carica, nonché eventuali cariche o incaricati espressione di specifiche categorie di soci o associati); quando rilevante rispetto alle previsioni statutarie, approfondimento sugli aspetti relativi alla democraticità interna e alla partecipazione degli associati alla vita dell’ente; mappatura dei principali stakeholder (personale, soci, finanziatori, clienti/utenti, fornitori, pubblica amministrazione, collettività) e modalità del loro coinvolgimento. In particolare, le imprese sociali (ad eccezione delle imprese sociali costituite nella forma di società cooperativa a mutualità prevalente e agli enti religiosi civilmente riconosciuti di cui all’art. 1, comma 3 del decreto legislativo n. 112/2017 «Revisione della disciplina in materia di impresa sociale») sono tenute a dar conto delle forme e modalità di coinvolgimento di lavoratori, utenti e altri soggetti direttamente interessati alle attività dell’impresa sociale realizzate ai sensi dell’art. 11 del decreto legislativo n. 112/2017; (7) Standard specifici di settore potranno essere elaborati e promossi ad opera delle reti associative di cui all’art. 41 del Codice del Terzo settore. In ogni caso l’ente deve dichiarare nella nota metodologica se è stato adottato uno standard di rendicontazione sociale e, in tal caso, quale sia e quale sia il livello di conformità con tale standard. (8) Dovrà farsi riferimento non solo all’inquadramento civilistico (es. associazione riconosciuta, associazione non riconosciuta, fondazione, società ecc.) ma anche alla qualificazione ai sensi del Codice del Terzo settore (es. associazione di promozione sociale, organizzazione di volontariato, rete associativa, ente filantropico, impresa sociale, società di mutuo soccorso, altro ente del Terzo settore. (9) L’espressione del sistema di valori dell’ente deve essere comprensibile ad ogni stakeholder.</w:t>
      </w:r>
    </w:p>
    <w:p w:rsidR="00D672FE" w:rsidRPr="006B0B81" w:rsidRDefault="00D672FE" w:rsidP="00D672FE">
      <w:pPr>
        <w:keepNext/>
        <w:keepLines/>
        <w:spacing w:after="0" w:line="20" w:lineRule="atLeast"/>
        <w:jc w:val="both"/>
        <w:rPr>
          <w:rFonts w:cstheme="minorHAnsi"/>
        </w:rPr>
      </w:pPr>
      <w:r w:rsidRPr="006B0B81">
        <w:rPr>
          <w:rFonts w:cstheme="minorHAnsi"/>
        </w:rPr>
        <w:lastRenderedPageBreak/>
        <w:t>In particolare, i valori devono essere «prescrittivi» (cioè devono essere intesi come l guida effettiva del comportamento e dell’attività dell’ente), «stabili» (essere cioè cogenti per una durata significativa), «generali» (devono essere in grado di caratterizzare l’insieme delle attività e delle relazioni tra l’ente e i suoi stakeholders), «universalizzabili (devono essere intesi dall’ente in modo non occasionale ed essere considerati come validi in tutti i casi in cui ricorrono le caratteristiche alle quali i valori si riferiscono). 4) Persone che operano per l’ente: tipologie, consistenza e composizione (10) del personale che ha effettivamente operato per l’ente (con esclusione quindi dei lavoratori distaccati presso altri enti, cd. «</w:t>
      </w:r>
      <w:proofErr w:type="gramStart"/>
      <w:r w:rsidRPr="006B0B81">
        <w:rPr>
          <w:rFonts w:cstheme="minorHAnsi"/>
        </w:rPr>
        <w:t>distaccati</w:t>
      </w:r>
      <w:proofErr w:type="gramEnd"/>
      <w:r w:rsidRPr="006B0B81">
        <w:rPr>
          <w:rFonts w:cstheme="minorHAnsi"/>
        </w:rPr>
        <w:t xml:space="preserve"> out ») con una retribuzione (a carico dell’ente o di altri soggetti) o a titolo volontario, comprendendo e distinguendo tutte le diverse componenti; (11) attività di formazione e valorizzazione realizzate. Contratto di lavoro applicato ai dipendenti. Natura delle attività svolte dai volontari; struttura dei compensi, delle retribuzioni, delle indennità di carica e modalità e importi dei rimborsi ai volontari: emolumenti, compensi o corrispettivi a qualsiasi titolo attribuiti ai componenti degli organi di amministrazione e controllo, ai dirigenti nonché agli associati; rapporto tra retribuzione annua lorda massima e minima dei lavoratori dipendenti dell’ente; in caso di utilizzo della possibilità di effettuare rimborsi ai volontari a fronte di autocertificazione, modalità di regolamentazione, importo dei rimborsi complessivi annuali e numero di volontari che ne hanno usufruito; Le informazioni sui compensi di cui all’art. 14, comma 2 del codice del Terzo settore costituiscono oggetto di pubblicazione, anche in forma anonima, sul sito internet dell’ente o della rete associativa cui l’ente aderisce. 5) Obiettivi e attività: informazioni qualitative e quantitative sulle azioni realizzate nelle diverse aree di attività, sui beneficiari diretti e indiretti, sugli output risultanti dalle attività poste in essere e, per quanto possibile, sugli effetti di conseguenza prodotti sui principali portatori di interessi. Se pertinenti possono essere inserite informazioni relative al possesso di certificazioni di qualità. Le attività devono essere esposte evidenziando la coerenza con le finalità dell’ente, il livello di raggiungimento degli obiettivi di gestione individuati, gli eventuali fattori risultati rilevanti per il raggiungimento (o il mancato raggiungimento) degli obiettivi programmati; per gli enti filantropici: elenco e importi delle erogazioni deliberate ed effettuate nel corso dell’esercizio, con l’indicazione dei beneficiari diversi dalle persone fisiche, numero dei beneficiari persone fisiche, totale degli importi erogati alle persone fisiche; elementi/fattori che possono compromettere il raggiungimento dei fini istituzionali e procedure poste in essere per prevenire tali situazioni. 6) Situazione economico-finanziaria: provenienza delle risorse economiche con separata indicazione dei contributi pubblici e privati; specifiche informazioni sulle attività di raccolta fondi; finalità generali e specifiche delle raccolte effettuate nel periodo di riferimento, strumenti utilizzati per fornire informazioni al pubblico sulle risorse raccolte e sulla destinazione delle stesse; segnalazioni da parte degli amministratori di eventuali criticità emerse nella gestione ed evidenziazione delle azioni messe in campo per la mitigazione degli effetti negativi. 7) Altre informazioni: indicazioni su contenziosi/controversie in corso che sono rilevanti ai fini della rendicontazione sociale; informazioni di tipo ambientale, se rilevanti con riferimento alle attività dell’ente (12) : tipologie di impatto ambientale connesse alle attività svolte; politiche e modalità di gestione di tali impatti; indicatori di impatto ambientale (consumi di energia e materie prime, produzione di rifiuti ecc.) e variazione dei valori assunti dagli stessi; nel caso delle imprese sociali che operano nei settori sanitario, agricolo, ecc. in considerazione del maggior livello di rischi ambientali connessi, potrebbe essere opportuno enucleare un punto specifico («Informazioni ambientali») prima delle «altre informazioni», per trattare l’argomento con un maggior livello di approfondimento; (10) La composizione terrà conto di eventuali elementi rilevanti (ad es. per genere, per fascia di età, per titolo di studio ecc.). (11) Specificare ad es. l’utilizzo di personale religioso, persone distaccate da imprese o enti, operatori volontari del Servizio Civile Universale, volontari di altri enti ecc. (12) Le informazioni in materia ambientale assumono rilevanza per gli enti del Terzo settore che gestiscono attività comportanti un impatto ambientale non trascurabile, ad es. per consumo di energia, produzione di rifiuti ecc. altre informazioni di natura non finanziaria (13) , inerenti gli aspetti di natura sociale, la parità di genere, il rispetto dei diritti umani, la lotta contro la corruzione ecc.; informazioni sulle riunioni degli organi deputati alla gestione e all’approvazione del bilancio, numero dei partecipanti, principali questioni trattate e decisioni adottate nel corso delle riunioni. 8) Monitoraggio svolto dall’organo di controllo (modalità di effettuazione ed esiti): l’art. 10, comma 3 del decreto legislativo n. 112/2017 per le imprese sociali e l’art. 30, comma 7 del codice del Terzo settore per gli altri enti del Terzo settore prevedono che l’organo di controllo eserciti compiti di monitoraggio sui seguenti aspetti: a) per le imprese sociali, ad esclusione delle cooperative sociali alle quali non sono applicabili le disposizioni di cui all’art. 10 del decreto legislativo n. 112/2017, osservanza delle </w:t>
      </w:r>
      <w:r w:rsidRPr="006B0B81">
        <w:rPr>
          <w:rFonts w:cstheme="minorHAnsi"/>
        </w:rPr>
        <w:lastRenderedPageBreak/>
        <w:t xml:space="preserve">finalità sociali, con particolare riguardo alle disposizioni di cui al decreto legislativo n. 112/2017 in materia di: svolgimento da parte dell’impresa, in via stabile e principale, delle attività di cui all’art. 2, comma 1, in conformità con le norme particolari che ne disciplinano l’esercizio; per «via principale» deve intendersi che i relativi ricavi siano superiori al 70% dei ricavi complessivi dell’impresa sociale; oppure delle attività in cui siano occupati in misura non inferiore al trenta per cento dei lavoratori appartenenti ad una delle tipologie di cui all’art. 2, comma 4, lettere a) e b) secondo le modalità di calcolo di cui al comma 5, secondo periodo; perseguimento dell’assenza dello scopo di lucro, attraverso la destinazione di utili ed avanzi di gestione esclusivamente allo svolgimento dell’attività statutaria o all’incremento del patrimonio e l’osservanza del divieto di distribuzione anche indiretta di utili (14) , avanzi di gestione, fondi e riserve a fondatori, soci, associati, lavoratori e collaboratori, amministratori ed altri componenti degli organi sociali, tenendo conto degli indici di cui all’art. 3, comma 2, lettere da a) a f) e fatta salva la possibilità di destinare parte degli utili ad aumenti gratuiti del capitale sociale o a erogazioni gratuite in favore di enti del Terzo settore ai sensi e con i limiti di cui all’art. 3, comma 3; struttura proprietaria e disciplina dei gruppi, con particolare riferimento alle attività di direzione e coordinamento di un’impresa sociale da parte di soggetti di cui all’art. 4, comma 3; coinvolgimento dei lavoratori degli utenti e di altri soggetti direttamente interessati alle attività (15) , con riferimento sia alla presenza e al rispetto di eventuali disposizioni statutarie, sia alla esplicitazione delle forme e modalità di coinvolgimento in conformità alle linee guida ministeriali di cui all’art. 11, comma 3 (vedi anche punto 3, «Struttura, governo e amministrazione» del presente paragrafo) (16) adeguatezza del trattamento economico e normativo dei lavoratori, tenuto conto dei contratti collettivi vigenti e rispetto del parametro di differenza retributiva massima di cui all’art. 13, comma 1; rispetto delle prescrizioni relative ai volontari (tenuta di apposito registro, divieto di utilizzare un numero di volontari superiori a quello dei lavoratori, obblighi assicurativi); b) per gli enti diversi dalle imprese sociali osservanza delle finalità sociali, con particolare riguardo alle disposizioni di cui al decreto legislativo n. 117/2017 in materia di: (art. 5, 6, 7 e 8); esercizio in via esclusiva o principale di una o più attività di cui all’art. 5, comma 1 per finalità civiche solidaristiche e di utilità sociale, in conformità con le norme particolari che ne disciplinano l’esercizio, nonché, eventualmente, di attività diverse da quelle di cui al periodo precedente, purché nei limiti delle previsioni statutarie e secondo criteri di secondarietà e strumentalità secondo criteri e limiti definiti dal decreto ministeriale di cui all’art. 6 del codice del Terzo settore; (13) Quali quelle contenute del decreto legislativo 30/12/2016 n. 254 (14) Si sottolinea che non costituisce distribuzione indiretta degli utili ed avanzi di gestione la ripartizione ai soci di ristorni correlati ad attività di interesse generale di cui all’art. 2 del decreto legislativo n. n.112/2017 effettuata ai sensi dell’art. 2545-sexies del codice civile e nel rispetto di condizioni e limiti stabiliti dalla legge o dallo statuto, da imprese sociali costituite in forma di società cooperativa. (15) Tra cui i volontari (16) Si ricorda che l’art. 11 del decreto legislativo n. 112/2017 non è applicabile alle cooperative a mutualità prevalente e agli enti religiosi civilmente riconosciuti.;  rispetto, nelle attività di raccolta fondi effettuate nel corso del periodo di riferimento, dei principi di verità trasparenza e correttezza nei rapporti con i sostenitori e il pubblico e in conformità alle linee guida ministeriali di cui all’art. 7 comma 2 del codice del Terzo settore; perseguimento dell’assenza dello scopo di lucro, attraverso la destinazione del patrimonio, comprensivo di tutte le sue componenti (ricavi, rendite, proventi, entrate comunque denominate) per lo svolgimento dell’attività statutaria; l’osservanza del divieto di distribuzione anche indiretta di utili, avanzi di gestione, fondi e riserve a fondatori, associati, lavoratori e collaboratori, amministratori ed altri componenti degli organi sociali, tenendo conto degli indici di cui all’art. 8, comma 3, lettere da a) a e) ; Il bilancio sociale dovrà pertanto dare conto del monitoraggio posto in essere per ciascuno dei punti sopra indicati e degli esiti dello stesso mediante la relazione dell’organo di controllo, costituente parte integrante del bilancio sociale stesso.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 7. L’Approvazione, il deposito, la pubblicazione e la diffusione del bilancio sociale </w:t>
      </w:r>
    </w:p>
    <w:p w:rsidR="00D672FE" w:rsidRPr="006B0B81" w:rsidRDefault="00D672FE" w:rsidP="00D672FE">
      <w:pPr>
        <w:keepNext/>
        <w:keepLines/>
        <w:spacing w:after="0" w:line="20" w:lineRule="atLeast"/>
        <w:jc w:val="both"/>
        <w:rPr>
          <w:rFonts w:cstheme="minorHAnsi"/>
        </w:rPr>
      </w:pPr>
      <w:r w:rsidRPr="006B0B81">
        <w:rPr>
          <w:rFonts w:cstheme="minorHAnsi"/>
        </w:rPr>
        <w:lastRenderedPageBreak/>
        <w:t xml:space="preserve">Il bilancio sociale deve essere approvato dall’organo statutariamente competente, dopo essere stato esaminato dall’organo di controllo che lo integra con le informazioni sul monitoraggio e l’attestazione di conformità alle linee guida (punto 8 del precedente paragrafo). Gli enti sui quali grava l’obbligo di redazione e deposito (paragrafo 3 delle presenti linee guida) provvedono al deposito presso il registro unico nazionale del Terzo settore o nel caso di imprese sociali presso il registro delle imprese, provvedendo altresì alla pubblicazione del documento sul proprio sito internet o, qualora ne siano sprovvisti, su quello della rete associativa cui aderiscono. In particolare: enti iscritti al registro unico del Terzo settore: 30 giugno di ogni anno con riferimento all’esercizio precedente (art. 48, comma 3, codice del Terzo settore); imprese sociali: in assenza di una specifica disposizione rinvenibile nel decreto legislativo n. 112/2017, si ritiene applicabile per effetto dell’art. 1, comma 5, di quest’ultimo, la medesima scadenza di cui al punto precedente, applicabile pertanto in via generale agli enti del Terzo settore.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La data sopra individuata riguarda il termine per l’effettuazione del deposito del bilancio sociale regolarmente approvato.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Le imprese sociali che, costituite nelle forme di cui al libro V del codice civile, tenute al deposito del bilancio di esercizio presso il registro delle imprese entro trenta giorni dalla data del verbale di approvazione (art. 2435 del codice civile), possono, secondo quanto previsto dalle normative proprie delle loro tipologie societarie, effettuare il deposito del bilancio di esercizio successivamente al 30 giugno, potranno depositare il bilancio sociale entro la medesima scadenza consentita dalla legge per il deposito del bilancio di esercizio, per ragioni di semplificazione procedimentale. </w:t>
      </w:r>
    </w:p>
    <w:p w:rsidR="00D672FE" w:rsidRPr="006B0B81" w:rsidRDefault="00D672FE" w:rsidP="00D672FE">
      <w:pPr>
        <w:keepNext/>
        <w:keepLines/>
        <w:spacing w:after="0" w:line="20" w:lineRule="atLeast"/>
        <w:jc w:val="both"/>
        <w:rPr>
          <w:rFonts w:cstheme="minorHAnsi"/>
        </w:rPr>
      </w:pPr>
      <w:r w:rsidRPr="006B0B81">
        <w:rPr>
          <w:rFonts w:cstheme="minorHAnsi"/>
        </w:rPr>
        <w:t>Gli enti che redigono volontariamente il bilancio sociale ne assicurano comunque l’opportuna diffusione tramite i canali di comunicazione digitali propri o delle relative reti associative.</w:t>
      </w:r>
    </w:p>
    <w:p w:rsidR="00D672FE" w:rsidRPr="006B0B81" w:rsidRDefault="00D672FE" w:rsidP="00D672FE">
      <w:pPr>
        <w:keepNext/>
        <w:keepLines/>
        <w:spacing w:after="0" w:line="20" w:lineRule="atLeast"/>
        <w:jc w:val="both"/>
        <w:rPr>
          <w:rFonts w:cstheme="minorHAnsi"/>
        </w:rPr>
      </w:pPr>
      <w:r w:rsidRPr="006B0B81">
        <w:rPr>
          <w:rFonts w:cstheme="minorHAnsi"/>
        </w:rPr>
        <w:t>La pubblicazione sul sito internet e sugli altri canali digitali avviene assicurando per quanto possibile criteri di accessibilità e di pronta reperibilità delle informazioni (ad esempio anche creando sul sito una pagina o sezione dedicata).</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 Sommario</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 § 1. Introduzione e riferimenti normativi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 2. Le finalità delle linee guida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 3. I Soggetti tenuti alla redazione del bilancio sociale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 4. I Destinatari del bilancio sociale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 5. I Principi di redazione del bilancio sociale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 6. La struttura e il contenuto del bilancio sociale </w:t>
      </w:r>
    </w:p>
    <w:p w:rsidR="00D672FE" w:rsidRPr="006B0B81" w:rsidRDefault="00D672FE" w:rsidP="00D672FE">
      <w:pPr>
        <w:keepNext/>
        <w:keepLines/>
        <w:spacing w:after="0" w:line="20" w:lineRule="atLeast"/>
        <w:jc w:val="both"/>
        <w:rPr>
          <w:rFonts w:cstheme="minorHAnsi"/>
        </w:rPr>
      </w:pPr>
      <w:r w:rsidRPr="006B0B81">
        <w:rPr>
          <w:rFonts w:cstheme="minorHAnsi"/>
        </w:rPr>
        <w:t xml:space="preserve">§ 7. L’Approvazione, il deposito, la pubblicazione e la diffusione del bilancio sociale </w:t>
      </w:r>
    </w:p>
    <w:p w:rsidR="00D672FE" w:rsidRPr="006B0B81" w:rsidRDefault="00D672FE" w:rsidP="00D672FE">
      <w:pPr>
        <w:keepNext/>
        <w:keepLines/>
        <w:spacing w:after="0" w:line="20" w:lineRule="atLeast"/>
        <w:jc w:val="both"/>
        <w:rPr>
          <w:rFonts w:cstheme="minorHAnsi"/>
        </w:rPr>
      </w:pPr>
    </w:p>
    <w:p w:rsidR="00D672FE" w:rsidRPr="006B0B81" w:rsidRDefault="00D672FE" w:rsidP="00C21335">
      <w:pPr>
        <w:keepNext/>
        <w:keepLines/>
        <w:spacing w:after="0" w:line="20" w:lineRule="atLeast"/>
        <w:jc w:val="both"/>
        <w:rPr>
          <w:rFonts w:cstheme="minorHAnsi"/>
        </w:rPr>
      </w:pPr>
    </w:p>
    <w:p w:rsidR="00C7458B" w:rsidRPr="00BA0CD5" w:rsidRDefault="00C7458B" w:rsidP="00C7458B">
      <w:pPr>
        <w:jc w:val="center"/>
        <w:rPr>
          <w:rFonts w:cstheme="minorHAnsi"/>
          <w:b/>
        </w:rPr>
      </w:pPr>
      <w:r>
        <w:rPr>
          <w:rFonts w:ascii="Broadway" w:hAnsi="Broadway" w:cstheme="majorHAnsi"/>
          <w:b/>
          <w:sz w:val="40"/>
          <w:szCs w:val="40"/>
        </w:rPr>
        <w:t>REGIONI</w:t>
      </w:r>
      <w:r w:rsidRPr="00BA0CD5">
        <w:rPr>
          <w:rFonts w:cstheme="minorHAnsi"/>
          <w:b/>
        </w:rPr>
        <w:t xml:space="preserve">  </w:t>
      </w:r>
    </w:p>
    <w:p w:rsidR="00C7458B" w:rsidRPr="00BA0CD5" w:rsidRDefault="00C7458B" w:rsidP="00C7458B">
      <w:pPr>
        <w:rPr>
          <w:rFonts w:cstheme="minorHAnsi"/>
          <w:b/>
          <w:u w:val="single"/>
        </w:rPr>
      </w:pPr>
      <w:r w:rsidRPr="00BA0CD5">
        <w:rPr>
          <w:rFonts w:cstheme="minorHAnsi"/>
          <w:b/>
          <w:u w:val="single"/>
        </w:rPr>
        <w:t>BOLLETTINI U</w:t>
      </w:r>
      <w:r w:rsidR="00B33967">
        <w:rPr>
          <w:rFonts w:cstheme="minorHAnsi"/>
          <w:b/>
          <w:u w:val="single"/>
        </w:rPr>
        <w:t xml:space="preserve">FFICIALI REGIONALI PERVENUTI AL </w:t>
      </w:r>
      <w:proofErr w:type="gramStart"/>
      <w:r w:rsidR="00B33967">
        <w:rPr>
          <w:rFonts w:cstheme="minorHAnsi"/>
          <w:b/>
          <w:u w:val="single"/>
        </w:rPr>
        <w:t>31</w:t>
      </w:r>
      <w:r w:rsidRPr="00BA0CD5">
        <w:rPr>
          <w:rFonts w:cstheme="minorHAnsi"/>
          <w:b/>
          <w:u w:val="single"/>
        </w:rPr>
        <w:t xml:space="preserve"> </w:t>
      </w:r>
      <w:r>
        <w:rPr>
          <w:rFonts w:cstheme="minorHAnsi"/>
          <w:b/>
          <w:u w:val="single"/>
        </w:rPr>
        <w:t xml:space="preserve"> AGOSTO</w:t>
      </w:r>
      <w:proofErr w:type="gramEnd"/>
      <w:r w:rsidRPr="00BA0CD5">
        <w:rPr>
          <w:rFonts w:cstheme="minorHAnsi"/>
          <w:b/>
          <w:u w:val="single"/>
        </w:rPr>
        <w:t xml:space="preserve">  2019, ARRETRATI COMPRESI</w:t>
      </w:r>
    </w:p>
    <w:p w:rsidR="00C7458B" w:rsidRDefault="00C7458B" w:rsidP="00C7458B">
      <w:pPr>
        <w:jc w:val="center"/>
        <w:rPr>
          <w:rFonts w:cstheme="minorHAnsi"/>
          <w:b/>
        </w:rPr>
      </w:pPr>
      <w:r>
        <w:rPr>
          <w:rFonts w:ascii="Broadway" w:hAnsi="Broadway" w:cstheme="majorHAnsi"/>
          <w:b/>
          <w:sz w:val="40"/>
          <w:szCs w:val="40"/>
        </w:rPr>
        <w:t>ABRUZZO</w:t>
      </w:r>
      <w:r>
        <w:rPr>
          <w:rFonts w:cstheme="minorHAnsi"/>
          <w:b/>
        </w:rPr>
        <w:tab/>
      </w:r>
      <w:r w:rsidRPr="00BA0CD5">
        <w:rPr>
          <w:rFonts w:cstheme="minorHAnsi"/>
          <w:b/>
        </w:rPr>
        <w:t xml:space="preserve"> </w:t>
      </w:r>
    </w:p>
    <w:p w:rsidR="00C7458B" w:rsidRPr="00BA0CD5" w:rsidRDefault="00C7458B" w:rsidP="00C7458B">
      <w:pPr>
        <w:pBdr>
          <w:top w:val="single" w:sz="4" w:space="1" w:color="auto"/>
          <w:left w:val="single" w:sz="4" w:space="4" w:color="auto"/>
          <w:bottom w:val="single" w:sz="4" w:space="1" w:color="auto"/>
          <w:right w:val="single" w:sz="4" w:space="4" w:color="auto"/>
          <w:between w:val="single" w:sz="4" w:space="1" w:color="auto"/>
          <w:bar w:val="single" w:sz="4" w:color="auto"/>
        </w:pBdr>
        <w:jc w:val="center"/>
        <w:rPr>
          <w:rFonts w:cstheme="minorHAnsi"/>
          <w:b/>
        </w:rPr>
      </w:pPr>
      <w:r>
        <w:rPr>
          <w:rFonts w:cstheme="minorHAnsi"/>
          <w:b/>
        </w:rPr>
        <w:t xml:space="preserve">AMMINISTRAZIONE REGIONALE </w:t>
      </w:r>
    </w:p>
    <w:p w:rsidR="00C7458B" w:rsidRPr="00BA0CD5" w:rsidRDefault="00C7458B" w:rsidP="00C7458B">
      <w:pPr>
        <w:autoSpaceDE w:val="0"/>
        <w:autoSpaceDN w:val="0"/>
        <w:adjustRightInd w:val="0"/>
        <w:spacing w:after="0" w:line="240" w:lineRule="auto"/>
        <w:jc w:val="center"/>
        <w:rPr>
          <w:rFonts w:cstheme="minorHAnsi"/>
          <w:b/>
          <w:bCs/>
          <w:sz w:val="24"/>
          <w:szCs w:val="24"/>
          <w:u w:val="single"/>
        </w:rPr>
      </w:pPr>
    </w:p>
    <w:p w:rsidR="00C7458B" w:rsidRDefault="00C7458B" w:rsidP="00C7458B">
      <w:pPr>
        <w:keepNext/>
        <w:keepLines/>
        <w:spacing w:after="0" w:line="20" w:lineRule="atLeast"/>
        <w:jc w:val="both"/>
        <w:rPr>
          <w:rFonts w:cstheme="minorHAnsi"/>
        </w:rPr>
      </w:pPr>
      <w:r w:rsidRPr="0042413C">
        <w:rPr>
          <w:rFonts w:cstheme="minorHAnsi"/>
          <w:b/>
        </w:rPr>
        <w:t xml:space="preserve">DECRETO 30 luglio 2019, n.  </w:t>
      </w:r>
      <w:proofErr w:type="gramStart"/>
      <w:r w:rsidRPr="0042413C">
        <w:rPr>
          <w:rFonts w:cstheme="minorHAnsi"/>
          <w:b/>
        </w:rPr>
        <w:t>24</w:t>
      </w:r>
      <w:r>
        <w:rPr>
          <w:rFonts w:cstheme="minorHAnsi"/>
        </w:rPr>
        <w:t xml:space="preserve">, </w:t>
      </w:r>
      <w:r w:rsidRPr="00E46EF1">
        <w:rPr>
          <w:rFonts w:cstheme="minorHAnsi"/>
        </w:rPr>
        <w:t xml:space="preserve"> Commissione</w:t>
      </w:r>
      <w:proofErr w:type="gramEnd"/>
      <w:r w:rsidRPr="00E46EF1">
        <w:rPr>
          <w:rFonts w:cstheme="minorHAnsi"/>
        </w:rPr>
        <w:t xml:space="preserve"> speciale per l’attuazione e le modifiche allo Statuto, per le modifiche alla legge elettorale e per lo studio del regionalismo differenziato</w:t>
      </w:r>
      <w:r>
        <w:rPr>
          <w:rFonts w:cstheme="minorHAnsi"/>
        </w:rPr>
        <w:t>.(BUR n. 31 del 7.8.19)</w:t>
      </w:r>
    </w:p>
    <w:p w:rsidR="00C7458B" w:rsidRDefault="00C7458B" w:rsidP="00C7458B">
      <w:pPr>
        <w:keepNext/>
        <w:keepLines/>
        <w:spacing w:after="0" w:line="20" w:lineRule="atLeast"/>
        <w:jc w:val="both"/>
        <w:rPr>
          <w:rFonts w:cstheme="minorHAnsi"/>
        </w:rPr>
      </w:pPr>
      <w:r w:rsidRPr="0042413C">
        <w:rPr>
          <w:rFonts w:cstheme="minorHAnsi"/>
          <w:b/>
        </w:rPr>
        <w:t xml:space="preserve">DECRETO 30 luglio 2019, n.  </w:t>
      </w:r>
      <w:proofErr w:type="gramStart"/>
      <w:r w:rsidRPr="0042413C">
        <w:rPr>
          <w:rFonts w:cstheme="minorHAnsi"/>
          <w:b/>
        </w:rPr>
        <w:t>24</w:t>
      </w:r>
      <w:r>
        <w:rPr>
          <w:rFonts w:cstheme="minorHAnsi"/>
        </w:rPr>
        <w:t xml:space="preserve">, </w:t>
      </w:r>
      <w:r w:rsidRPr="00E46EF1">
        <w:rPr>
          <w:rFonts w:cstheme="minorHAnsi"/>
        </w:rPr>
        <w:t xml:space="preserve"> Commissione</w:t>
      </w:r>
      <w:proofErr w:type="gramEnd"/>
      <w:r w:rsidRPr="00E46EF1">
        <w:rPr>
          <w:rFonts w:cstheme="minorHAnsi"/>
        </w:rPr>
        <w:t xml:space="preserve"> speciale per l’attuazione e le modifiche allo Statuto, per le modifiche alla legge elettorale e per lo studio del regionalismo differenziato</w:t>
      </w:r>
      <w:r>
        <w:rPr>
          <w:rFonts w:cstheme="minorHAnsi"/>
        </w:rPr>
        <w:t>.(BUR n. 31 del 7.8.19)</w:t>
      </w:r>
    </w:p>
    <w:p w:rsidR="00C7458B" w:rsidRDefault="00C7458B" w:rsidP="00C7458B">
      <w:pPr>
        <w:spacing w:after="0" w:line="20" w:lineRule="atLeast"/>
        <w:jc w:val="both"/>
        <w:rPr>
          <w:rFonts w:cstheme="minorHAnsi"/>
        </w:rPr>
      </w:pPr>
      <w:r>
        <w:rPr>
          <w:rFonts w:cstheme="minorHAnsi"/>
        </w:rPr>
        <w:t>Note</w:t>
      </w:r>
    </w:p>
    <w:p w:rsidR="00C7458B" w:rsidRDefault="00C7458B" w:rsidP="00C7458B">
      <w:pPr>
        <w:spacing w:after="0" w:line="20" w:lineRule="atLeast"/>
        <w:jc w:val="both"/>
        <w:rPr>
          <w:rFonts w:cstheme="minorHAnsi"/>
        </w:rPr>
      </w:pPr>
      <w:r>
        <w:rPr>
          <w:rFonts w:cstheme="minorHAnsi"/>
        </w:rPr>
        <w:t xml:space="preserve">Con </w:t>
      </w:r>
      <w:r w:rsidRPr="00E46EF1">
        <w:rPr>
          <w:rFonts w:cstheme="minorHAnsi"/>
        </w:rPr>
        <w:t>deliberazione del Consiglio regionale n. 3/3 del 16/04/2019 è stata istituita la Commissione speciale per l’attuazione e le modifiche allo Statuto, per le modifiche alla legge elettorale e per lo studio del regionalismo differenziato</w:t>
      </w:r>
      <w:r>
        <w:rPr>
          <w:rFonts w:cstheme="minorHAnsi"/>
        </w:rPr>
        <w:t>-</w:t>
      </w:r>
    </w:p>
    <w:p w:rsidR="00C7458B" w:rsidRDefault="00C7458B" w:rsidP="00C7458B">
      <w:pPr>
        <w:spacing w:after="0" w:line="20" w:lineRule="atLeast"/>
        <w:jc w:val="both"/>
        <w:rPr>
          <w:rFonts w:cstheme="minorHAnsi"/>
        </w:rPr>
      </w:pPr>
      <w:r>
        <w:rPr>
          <w:rFonts w:cstheme="minorHAnsi"/>
        </w:rPr>
        <w:lastRenderedPageBreak/>
        <w:t>L</w:t>
      </w:r>
      <w:r w:rsidRPr="00E46EF1">
        <w:rPr>
          <w:rFonts w:cstheme="minorHAnsi"/>
        </w:rPr>
        <w:t xml:space="preserve">a “Commissione speciale per l’attuazione e le modifiche allo Statuto, per le modifiche alla legge elettorale e per lo studio del regionalismo differenziato” è così composta: </w:t>
      </w:r>
    </w:p>
    <w:p w:rsidR="00C7458B" w:rsidRDefault="00C7458B" w:rsidP="00C7458B">
      <w:pPr>
        <w:spacing w:after="0" w:line="20" w:lineRule="atLeast"/>
        <w:jc w:val="both"/>
        <w:rPr>
          <w:rFonts w:cstheme="minorHAnsi"/>
        </w:rPr>
      </w:pPr>
      <w:r w:rsidRPr="00E46EF1">
        <w:rPr>
          <w:rFonts w:cstheme="minorHAnsi"/>
        </w:rPr>
        <w:t xml:space="preserve">Lorenzo Sospiri Lega Salvini Abruzzo </w:t>
      </w:r>
    </w:p>
    <w:p w:rsidR="00C7458B" w:rsidRDefault="00C7458B" w:rsidP="00C7458B">
      <w:pPr>
        <w:spacing w:after="0" w:line="20" w:lineRule="atLeast"/>
        <w:jc w:val="both"/>
        <w:rPr>
          <w:rFonts w:cstheme="minorHAnsi"/>
        </w:rPr>
      </w:pPr>
      <w:r w:rsidRPr="00E46EF1">
        <w:rPr>
          <w:rFonts w:cstheme="minorHAnsi"/>
        </w:rPr>
        <w:t xml:space="preserve">La Porta </w:t>
      </w:r>
      <w:proofErr w:type="gramStart"/>
      <w:r w:rsidRPr="00E46EF1">
        <w:rPr>
          <w:rFonts w:cstheme="minorHAnsi"/>
        </w:rPr>
        <w:t>Antonietta  Fed</w:t>
      </w:r>
      <w:proofErr w:type="gramEnd"/>
      <w:r w:rsidRPr="00E46EF1">
        <w:rPr>
          <w:rFonts w:cstheme="minorHAnsi"/>
        </w:rPr>
        <w:t xml:space="preserve">. “Forza Italia, DC-UDC” </w:t>
      </w:r>
    </w:p>
    <w:p w:rsidR="00C7458B" w:rsidRDefault="00C7458B" w:rsidP="00C7458B">
      <w:pPr>
        <w:spacing w:after="0" w:line="20" w:lineRule="atLeast"/>
        <w:jc w:val="both"/>
        <w:rPr>
          <w:rFonts w:cstheme="minorHAnsi"/>
        </w:rPr>
      </w:pPr>
      <w:r w:rsidRPr="00E46EF1">
        <w:rPr>
          <w:rFonts w:cstheme="minorHAnsi"/>
        </w:rPr>
        <w:t xml:space="preserve">D’Annuntiis Umberto Fed. “Forza Italia, DC-UDC” </w:t>
      </w:r>
    </w:p>
    <w:p w:rsidR="00C7458B" w:rsidRDefault="00C7458B" w:rsidP="00C7458B">
      <w:pPr>
        <w:spacing w:after="0" w:line="20" w:lineRule="atLeast"/>
        <w:jc w:val="both"/>
        <w:rPr>
          <w:rFonts w:cstheme="minorHAnsi"/>
        </w:rPr>
      </w:pPr>
      <w:r w:rsidRPr="00E46EF1">
        <w:rPr>
          <w:rFonts w:cstheme="minorHAnsi"/>
        </w:rPr>
        <w:t xml:space="preserve">Scoccia Marianna Fratelli d’Italia </w:t>
      </w:r>
    </w:p>
    <w:p w:rsidR="00C7458B" w:rsidRDefault="00C7458B" w:rsidP="00C7458B">
      <w:pPr>
        <w:spacing w:after="0" w:line="20" w:lineRule="atLeast"/>
        <w:jc w:val="both"/>
        <w:rPr>
          <w:rFonts w:cstheme="minorHAnsi"/>
        </w:rPr>
      </w:pPr>
      <w:r w:rsidRPr="00E46EF1">
        <w:rPr>
          <w:rFonts w:cstheme="minorHAnsi"/>
        </w:rPr>
        <w:t xml:space="preserve">Testa Guerino Azione Politica </w:t>
      </w:r>
    </w:p>
    <w:p w:rsidR="00C7458B" w:rsidRDefault="00C7458B" w:rsidP="00C7458B">
      <w:pPr>
        <w:spacing w:after="0" w:line="20" w:lineRule="atLeast"/>
        <w:jc w:val="both"/>
        <w:rPr>
          <w:rFonts w:cstheme="minorHAnsi"/>
        </w:rPr>
      </w:pPr>
      <w:r w:rsidRPr="00E46EF1">
        <w:rPr>
          <w:rFonts w:cstheme="minorHAnsi"/>
        </w:rPr>
        <w:t xml:space="preserve">Santangelo Roberto Movimento 5 Stelle </w:t>
      </w:r>
    </w:p>
    <w:p w:rsidR="00C7458B" w:rsidRDefault="00C7458B" w:rsidP="00C7458B">
      <w:pPr>
        <w:spacing w:after="0" w:line="20" w:lineRule="atLeast"/>
        <w:jc w:val="both"/>
        <w:rPr>
          <w:rFonts w:cstheme="minorHAnsi"/>
        </w:rPr>
      </w:pPr>
      <w:r w:rsidRPr="00E46EF1">
        <w:rPr>
          <w:rFonts w:cstheme="minorHAnsi"/>
        </w:rPr>
        <w:t xml:space="preserve">Marcozzi Sara voti “Legnini Presidente, Partito Democratico e Abruzzo in Comune” </w:t>
      </w:r>
    </w:p>
    <w:p w:rsidR="00C7458B" w:rsidRDefault="00C7458B" w:rsidP="00C7458B">
      <w:pPr>
        <w:spacing w:after="0" w:line="20" w:lineRule="atLeast"/>
        <w:jc w:val="both"/>
        <w:rPr>
          <w:rFonts w:cstheme="minorHAnsi"/>
        </w:rPr>
      </w:pPr>
      <w:r w:rsidRPr="00E46EF1">
        <w:rPr>
          <w:rFonts w:cstheme="minorHAnsi"/>
        </w:rPr>
        <w:t xml:space="preserve">Di Benedetto </w:t>
      </w:r>
      <w:proofErr w:type="gramStart"/>
      <w:r w:rsidRPr="00E46EF1">
        <w:rPr>
          <w:rFonts w:cstheme="minorHAnsi"/>
        </w:rPr>
        <w:t>Americo  “</w:t>
      </w:r>
      <w:proofErr w:type="gramEnd"/>
      <w:r w:rsidRPr="00E46EF1">
        <w:rPr>
          <w:rFonts w:cstheme="minorHAnsi"/>
        </w:rPr>
        <w:t xml:space="preserve">Legnini Presidente, Partito Democratico e Abruzzo in Comune” </w:t>
      </w:r>
    </w:p>
    <w:p w:rsidR="00C7458B" w:rsidRDefault="00C7458B" w:rsidP="00626D17">
      <w:pPr>
        <w:tabs>
          <w:tab w:val="left" w:pos="8460"/>
        </w:tabs>
        <w:spacing w:line="20" w:lineRule="atLeast"/>
        <w:rPr>
          <w:rFonts w:cstheme="minorHAnsi"/>
        </w:rPr>
      </w:pPr>
      <w:r w:rsidRPr="00E46EF1">
        <w:rPr>
          <w:rFonts w:cstheme="minorHAnsi"/>
        </w:rPr>
        <w:t>Paolucci Silvio – N. 31 Ordinario (07.08.2019) Bollettino Ufficiale della Regione Abruzzo</w:t>
      </w:r>
      <w:r w:rsidR="00626D17">
        <w:rPr>
          <w:rFonts w:cstheme="minorHAnsi"/>
        </w:rPr>
        <w:t>.</w:t>
      </w:r>
    </w:p>
    <w:p w:rsidR="00626D17" w:rsidRPr="00AA7CB0" w:rsidRDefault="00626D17" w:rsidP="00626D17">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AA7CB0">
        <w:rPr>
          <w:rFonts w:cstheme="minorHAnsi"/>
          <w:b/>
        </w:rPr>
        <w:t>ASSISTENZA PENITENZIARIA</w:t>
      </w:r>
    </w:p>
    <w:p w:rsidR="00626D17" w:rsidRDefault="00626D17" w:rsidP="00626D17">
      <w:pPr>
        <w:spacing w:after="0" w:line="20" w:lineRule="atLeast"/>
        <w:jc w:val="both"/>
        <w:rPr>
          <w:rFonts w:cstheme="minorHAnsi"/>
        </w:rPr>
      </w:pPr>
    </w:p>
    <w:p w:rsidR="00626D17" w:rsidRDefault="00626D17" w:rsidP="00626D17">
      <w:pPr>
        <w:keepNext/>
        <w:keepLines/>
        <w:spacing w:after="0" w:line="20" w:lineRule="atLeast"/>
        <w:jc w:val="both"/>
        <w:rPr>
          <w:rFonts w:cstheme="minorHAnsi"/>
        </w:rPr>
      </w:pPr>
      <w:r w:rsidRPr="00AA7CB0">
        <w:rPr>
          <w:rFonts w:cstheme="minorHAnsi"/>
          <w:b/>
        </w:rPr>
        <w:t>DCR 23 luglio 2019, n. 10/</w:t>
      </w:r>
      <w:proofErr w:type="gramStart"/>
      <w:r w:rsidRPr="00AA7CB0">
        <w:rPr>
          <w:rFonts w:cstheme="minorHAnsi"/>
          <w:b/>
        </w:rPr>
        <w:t>4</w:t>
      </w:r>
      <w:r>
        <w:rPr>
          <w:rFonts w:cstheme="minorHAnsi"/>
        </w:rPr>
        <w:t xml:space="preserve">, </w:t>
      </w:r>
      <w:r w:rsidRPr="00E46EF1">
        <w:rPr>
          <w:rFonts w:cstheme="minorHAnsi"/>
        </w:rPr>
        <w:t xml:space="preserve"> Elezione</w:t>
      </w:r>
      <w:proofErr w:type="gramEnd"/>
      <w:r w:rsidRPr="00E46EF1">
        <w:rPr>
          <w:rFonts w:cstheme="minorHAnsi"/>
        </w:rPr>
        <w:t xml:space="preserve"> del Garante delle persone sottoposte a misure restrittive della libertà personale.</w:t>
      </w:r>
      <w:r>
        <w:rPr>
          <w:rFonts w:cstheme="minorHAnsi"/>
        </w:rPr>
        <w:t xml:space="preserve"> (BUR n. 31 del 7.8.19)</w:t>
      </w:r>
    </w:p>
    <w:p w:rsidR="00626D17" w:rsidRPr="00AA7CB0" w:rsidRDefault="00626D17" w:rsidP="00626D17">
      <w:pPr>
        <w:spacing w:after="0" w:line="20" w:lineRule="atLeast"/>
        <w:jc w:val="both"/>
        <w:rPr>
          <w:rFonts w:cstheme="minorHAnsi"/>
          <w:b/>
        </w:rPr>
      </w:pPr>
      <w:r w:rsidRPr="00AA7CB0">
        <w:rPr>
          <w:rFonts w:cstheme="minorHAnsi"/>
          <w:b/>
        </w:rPr>
        <w:t>Note</w:t>
      </w:r>
    </w:p>
    <w:p w:rsidR="00626D17" w:rsidRDefault="00626D17" w:rsidP="00626D17">
      <w:pPr>
        <w:spacing w:after="0" w:line="20" w:lineRule="atLeast"/>
        <w:jc w:val="both"/>
        <w:rPr>
          <w:rFonts w:cstheme="minorHAnsi"/>
        </w:rPr>
      </w:pPr>
      <w:r>
        <w:rPr>
          <w:rFonts w:cstheme="minorHAnsi"/>
        </w:rPr>
        <w:t>A</w:t>
      </w:r>
      <w:r w:rsidRPr="00E46EF1">
        <w:rPr>
          <w:rFonts w:cstheme="minorHAnsi"/>
        </w:rPr>
        <w:t xml:space="preserve"> seguito di Avviso pubblico </w:t>
      </w:r>
      <w:r>
        <w:rPr>
          <w:rFonts w:cstheme="minorHAnsi"/>
        </w:rPr>
        <w:t xml:space="preserve">viene nominato </w:t>
      </w:r>
      <w:r w:rsidRPr="00E46EF1">
        <w:rPr>
          <w:rFonts w:cstheme="minorHAnsi"/>
        </w:rPr>
        <w:t>a Garante delle persone sottoposte a misure restrittive della libertà personale il sig. Gianmarco Cifaldi, docente universitario, titolare della cattedra di Sociologia Penitenziaria e Rieducazione Sociale dell’Università di Chieti – Pescara</w:t>
      </w:r>
      <w:r>
        <w:rPr>
          <w:rFonts w:cstheme="minorHAnsi"/>
        </w:rPr>
        <w:t>.</w:t>
      </w:r>
    </w:p>
    <w:p w:rsidR="00626D17" w:rsidRDefault="00626D17" w:rsidP="00626D17">
      <w:pPr>
        <w:spacing w:after="0" w:line="20" w:lineRule="atLeast"/>
        <w:jc w:val="both"/>
        <w:rPr>
          <w:rFonts w:cstheme="minorHAnsi"/>
        </w:rPr>
      </w:pPr>
    </w:p>
    <w:p w:rsidR="00626D17" w:rsidRPr="00626D17" w:rsidRDefault="00626D17" w:rsidP="00626D17">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8460"/>
        </w:tabs>
        <w:spacing w:line="20" w:lineRule="atLeast"/>
        <w:jc w:val="center"/>
        <w:rPr>
          <w:rFonts w:cstheme="minorHAnsi"/>
          <w:b/>
        </w:rPr>
      </w:pPr>
      <w:r w:rsidRPr="00626D17">
        <w:rPr>
          <w:rFonts w:cstheme="minorHAnsi"/>
          <w:b/>
        </w:rPr>
        <w:t>IMMIGRATI</w:t>
      </w:r>
    </w:p>
    <w:p w:rsidR="00626D17" w:rsidRDefault="00626D17" w:rsidP="00626D17">
      <w:pPr>
        <w:spacing w:after="0" w:line="20" w:lineRule="atLeast"/>
        <w:jc w:val="both"/>
        <w:rPr>
          <w:rFonts w:cstheme="minorHAnsi"/>
        </w:rPr>
      </w:pPr>
      <w:r w:rsidRPr="0042413C">
        <w:rPr>
          <w:rFonts w:cstheme="minorHAnsi"/>
          <w:b/>
        </w:rPr>
        <w:t xml:space="preserve">DECRETO 30 luglio 2019, n. </w:t>
      </w:r>
      <w:proofErr w:type="gramStart"/>
      <w:r w:rsidRPr="0042413C">
        <w:rPr>
          <w:rFonts w:cstheme="minorHAnsi"/>
          <w:b/>
        </w:rPr>
        <w:t>25</w:t>
      </w:r>
      <w:r>
        <w:rPr>
          <w:rFonts w:cstheme="minorHAnsi"/>
        </w:rPr>
        <w:t xml:space="preserve">, </w:t>
      </w:r>
      <w:r w:rsidRPr="00E46EF1">
        <w:rPr>
          <w:rFonts w:cstheme="minorHAnsi"/>
        </w:rPr>
        <w:t xml:space="preserve"> Commissione</w:t>
      </w:r>
      <w:proofErr w:type="gramEnd"/>
      <w:r w:rsidRPr="00E46EF1">
        <w:rPr>
          <w:rFonts w:cstheme="minorHAnsi"/>
        </w:rPr>
        <w:t xml:space="preserve"> Speciale sul Fenomeno immigratorio e Lavoro sommerso </w:t>
      </w:r>
    </w:p>
    <w:p w:rsidR="00626D17" w:rsidRDefault="00626D17" w:rsidP="00626D17">
      <w:pPr>
        <w:keepNext/>
        <w:keepLines/>
        <w:spacing w:after="0" w:line="20" w:lineRule="atLeast"/>
        <w:jc w:val="both"/>
        <w:rPr>
          <w:rFonts w:cstheme="minorHAnsi"/>
        </w:rPr>
      </w:pPr>
      <w:r>
        <w:rPr>
          <w:rFonts w:cstheme="minorHAnsi"/>
        </w:rPr>
        <w:t xml:space="preserve">Con </w:t>
      </w:r>
      <w:r w:rsidRPr="00E46EF1">
        <w:rPr>
          <w:rFonts w:cstheme="minorHAnsi"/>
        </w:rPr>
        <w:t>deliberazione del Consiglio regionale n.5/7 del 14/05/</w:t>
      </w:r>
      <w:proofErr w:type="gramStart"/>
      <w:r w:rsidRPr="00E46EF1">
        <w:rPr>
          <w:rFonts w:cstheme="minorHAnsi"/>
        </w:rPr>
        <w:t>2019  è</w:t>
      </w:r>
      <w:proofErr w:type="gramEnd"/>
      <w:r w:rsidRPr="00E46EF1">
        <w:rPr>
          <w:rFonts w:cstheme="minorHAnsi"/>
        </w:rPr>
        <w:t xml:space="preserve"> stata istituita la Commissione speciale sul Fenomeno immigratorio e Lavoro sommerso</w:t>
      </w:r>
      <w:r>
        <w:rPr>
          <w:rFonts w:cstheme="minorHAnsi"/>
        </w:rPr>
        <w:t>, (BUR n. 31 del 7.8.19)</w:t>
      </w:r>
    </w:p>
    <w:p w:rsidR="00626D17" w:rsidRPr="0042413C" w:rsidRDefault="00626D17" w:rsidP="00626D17">
      <w:pPr>
        <w:spacing w:after="0" w:line="20" w:lineRule="atLeast"/>
        <w:jc w:val="both"/>
        <w:rPr>
          <w:rFonts w:cstheme="minorHAnsi"/>
          <w:b/>
        </w:rPr>
      </w:pPr>
      <w:r w:rsidRPr="0042413C">
        <w:rPr>
          <w:rFonts w:cstheme="minorHAnsi"/>
          <w:b/>
        </w:rPr>
        <w:t>Note</w:t>
      </w:r>
    </w:p>
    <w:p w:rsidR="00626D17" w:rsidRDefault="00626D17" w:rsidP="00626D17">
      <w:pPr>
        <w:spacing w:after="0" w:line="20" w:lineRule="atLeast"/>
        <w:jc w:val="both"/>
        <w:rPr>
          <w:rFonts w:cstheme="minorHAnsi"/>
        </w:rPr>
      </w:pPr>
      <w:r w:rsidRPr="00E46EF1">
        <w:rPr>
          <w:rFonts w:cstheme="minorHAnsi"/>
        </w:rPr>
        <w:t xml:space="preserve"> La “Commissione Speciale sul Fenomeno immigratorio e Lavoro sommerso" è così composta: </w:t>
      </w:r>
    </w:p>
    <w:p w:rsidR="00626D17" w:rsidRDefault="00626D17" w:rsidP="00626D17">
      <w:pPr>
        <w:spacing w:after="0" w:line="20" w:lineRule="atLeast"/>
        <w:jc w:val="both"/>
        <w:rPr>
          <w:rFonts w:cstheme="minorHAnsi"/>
        </w:rPr>
      </w:pPr>
      <w:r w:rsidRPr="00E46EF1">
        <w:rPr>
          <w:rFonts w:cstheme="minorHAnsi"/>
        </w:rPr>
        <w:t>Lorenzo Sospiri Lega Salvini Abruzzo</w:t>
      </w:r>
    </w:p>
    <w:p w:rsidR="00626D17" w:rsidRDefault="00626D17" w:rsidP="00626D17">
      <w:pPr>
        <w:spacing w:after="0" w:line="20" w:lineRule="atLeast"/>
        <w:jc w:val="both"/>
        <w:rPr>
          <w:rFonts w:cstheme="minorHAnsi"/>
        </w:rPr>
      </w:pPr>
      <w:r w:rsidRPr="00E46EF1">
        <w:rPr>
          <w:rFonts w:cstheme="minorHAnsi"/>
        </w:rPr>
        <w:t xml:space="preserve"> Di Gianvittorio Antonio Lega Salvini Abruzzo</w:t>
      </w:r>
    </w:p>
    <w:p w:rsidR="00626D17" w:rsidRDefault="00626D17" w:rsidP="00626D17">
      <w:pPr>
        <w:spacing w:after="0" w:line="20" w:lineRule="atLeast"/>
        <w:jc w:val="both"/>
        <w:rPr>
          <w:rFonts w:cstheme="minorHAnsi"/>
        </w:rPr>
      </w:pPr>
      <w:r>
        <w:rPr>
          <w:rFonts w:cstheme="minorHAnsi"/>
        </w:rPr>
        <w:t xml:space="preserve"> Montepara Fabrizio </w:t>
      </w:r>
      <w:r w:rsidRPr="00E46EF1">
        <w:rPr>
          <w:rFonts w:cstheme="minorHAnsi"/>
        </w:rPr>
        <w:t xml:space="preserve">“Forza Italia, DC-UDC” </w:t>
      </w:r>
    </w:p>
    <w:p w:rsidR="00626D17" w:rsidRDefault="00626D17" w:rsidP="00626D17">
      <w:pPr>
        <w:spacing w:after="0" w:line="20" w:lineRule="atLeast"/>
        <w:jc w:val="both"/>
        <w:rPr>
          <w:rFonts w:cstheme="minorHAnsi"/>
        </w:rPr>
      </w:pPr>
      <w:r w:rsidRPr="00E46EF1">
        <w:rPr>
          <w:rFonts w:cstheme="minorHAnsi"/>
        </w:rPr>
        <w:t xml:space="preserve">D’Amario </w:t>
      </w:r>
      <w:proofErr w:type="gramStart"/>
      <w:r w:rsidRPr="00E46EF1">
        <w:rPr>
          <w:rFonts w:cstheme="minorHAnsi"/>
        </w:rPr>
        <w:t>Daniele  “</w:t>
      </w:r>
      <w:proofErr w:type="gramEnd"/>
      <w:r w:rsidRPr="00E46EF1">
        <w:rPr>
          <w:rFonts w:cstheme="minorHAnsi"/>
        </w:rPr>
        <w:t xml:space="preserve">Forza Italia, DC-UDC” </w:t>
      </w:r>
    </w:p>
    <w:p w:rsidR="00626D17" w:rsidRDefault="00626D17" w:rsidP="00626D17">
      <w:pPr>
        <w:spacing w:after="0" w:line="20" w:lineRule="atLeast"/>
        <w:jc w:val="both"/>
        <w:rPr>
          <w:rFonts w:cstheme="minorHAnsi"/>
        </w:rPr>
      </w:pPr>
      <w:r w:rsidRPr="00E46EF1">
        <w:rPr>
          <w:rFonts w:cstheme="minorHAnsi"/>
        </w:rPr>
        <w:t xml:space="preserve">D’Annuntiis </w:t>
      </w:r>
      <w:proofErr w:type="gramStart"/>
      <w:r w:rsidRPr="00E46EF1">
        <w:rPr>
          <w:rFonts w:cstheme="minorHAnsi"/>
        </w:rPr>
        <w:t>Umberto  Fed</w:t>
      </w:r>
      <w:proofErr w:type="gramEnd"/>
      <w:r w:rsidRPr="00E46EF1">
        <w:rPr>
          <w:rFonts w:cstheme="minorHAnsi"/>
        </w:rPr>
        <w:t xml:space="preserve">. “Forza Italia, DC-UDC” </w:t>
      </w:r>
    </w:p>
    <w:p w:rsidR="00626D17" w:rsidRDefault="00626D17" w:rsidP="00626D17">
      <w:pPr>
        <w:spacing w:after="0" w:line="20" w:lineRule="atLeast"/>
        <w:jc w:val="both"/>
        <w:rPr>
          <w:rFonts w:cstheme="minorHAnsi"/>
        </w:rPr>
      </w:pPr>
      <w:r w:rsidRPr="00E46EF1">
        <w:rPr>
          <w:rFonts w:cstheme="minorHAnsi"/>
        </w:rPr>
        <w:t xml:space="preserve">Scoccia Marianna Fratelli d’Italia </w:t>
      </w:r>
    </w:p>
    <w:p w:rsidR="00626D17" w:rsidRDefault="00626D17" w:rsidP="00626D17">
      <w:pPr>
        <w:spacing w:after="0" w:line="20" w:lineRule="atLeast"/>
        <w:jc w:val="both"/>
        <w:rPr>
          <w:rFonts w:cstheme="minorHAnsi"/>
        </w:rPr>
      </w:pPr>
      <w:r w:rsidRPr="00E46EF1">
        <w:rPr>
          <w:rFonts w:cstheme="minorHAnsi"/>
        </w:rPr>
        <w:t xml:space="preserve">Quaglieri Mario Azione Politica </w:t>
      </w:r>
    </w:p>
    <w:p w:rsidR="00626D17" w:rsidRDefault="00626D17" w:rsidP="00626D17">
      <w:pPr>
        <w:spacing w:after="0" w:line="20" w:lineRule="atLeast"/>
        <w:jc w:val="both"/>
        <w:rPr>
          <w:rFonts w:cstheme="minorHAnsi"/>
        </w:rPr>
      </w:pPr>
      <w:r w:rsidRPr="00E46EF1">
        <w:rPr>
          <w:rFonts w:cstheme="minorHAnsi"/>
        </w:rPr>
        <w:t xml:space="preserve">Santangelo Roberto Movimento 5 Stelle </w:t>
      </w:r>
    </w:p>
    <w:p w:rsidR="00626D17" w:rsidRDefault="00626D17" w:rsidP="00626D17">
      <w:pPr>
        <w:spacing w:after="0" w:line="20" w:lineRule="atLeast"/>
        <w:jc w:val="both"/>
        <w:rPr>
          <w:rFonts w:cstheme="minorHAnsi"/>
        </w:rPr>
      </w:pPr>
      <w:r w:rsidRPr="00E46EF1">
        <w:rPr>
          <w:rFonts w:cstheme="minorHAnsi"/>
        </w:rPr>
        <w:t>Cipolletti Marco 7 Fed</w:t>
      </w:r>
      <w:proofErr w:type="gramStart"/>
      <w:r w:rsidRPr="00E46EF1">
        <w:rPr>
          <w:rFonts w:cstheme="minorHAnsi"/>
        </w:rPr>
        <w:t>.”Legnini</w:t>
      </w:r>
      <w:proofErr w:type="gramEnd"/>
      <w:r w:rsidRPr="00E46EF1">
        <w:rPr>
          <w:rFonts w:cstheme="minorHAnsi"/>
        </w:rPr>
        <w:t xml:space="preserve"> Presidente, Partito Democratico e Abruzzo in Comune” </w:t>
      </w:r>
    </w:p>
    <w:p w:rsidR="00626D17" w:rsidRDefault="00626D17" w:rsidP="00626D17">
      <w:pPr>
        <w:spacing w:after="0" w:line="20" w:lineRule="atLeast"/>
        <w:jc w:val="both"/>
        <w:rPr>
          <w:rFonts w:cstheme="minorHAnsi"/>
        </w:rPr>
      </w:pPr>
      <w:r w:rsidRPr="00E46EF1">
        <w:rPr>
          <w:rFonts w:cstheme="minorHAnsi"/>
        </w:rPr>
        <w:t>Mariani Sandro Fed</w:t>
      </w:r>
      <w:proofErr w:type="gramStart"/>
      <w:r w:rsidRPr="00E46EF1">
        <w:rPr>
          <w:rFonts w:cstheme="minorHAnsi"/>
        </w:rPr>
        <w:t>.”Legnini</w:t>
      </w:r>
      <w:proofErr w:type="gramEnd"/>
      <w:r w:rsidRPr="00E46EF1">
        <w:rPr>
          <w:rFonts w:cstheme="minorHAnsi"/>
        </w:rPr>
        <w:t xml:space="preserve"> Presidente, Partito Democratico e Abruzzo in Comune” </w:t>
      </w:r>
    </w:p>
    <w:p w:rsidR="00626D17" w:rsidRDefault="00626D17" w:rsidP="00626D17">
      <w:pPr>
        <w:spacing w:after="0" w:line="20" w:lineRule="atLeast"/>
        <w:jc w:val="both"/>
        <w:rPr>
          <w:rFonts w:cstheme="minorHAnsi"/>
        </w:rPr>
      </w:pPr>
      <w:r w:rsidRPr="00E46EF1">
        <w:rPr>
          <w:rFonts w:cstheme="minorHAnsi"/>
        </w:rPr>
        <w:t>Blasioli Antonio</w:t>
      </w:r>
      <w:r>
        <w:rPr>
          <w:rFonts w:cstheme="minorHAnsi"/>
        </w:rPr>
        <w:t>.</w:t>
      </w:r>
    </w:p>
    <w:p w:rsidR="002E75F9" w:rsidRDefault="002E75F9" w:rsidP="00626D17">
      <w:pPr>
        <w:spacing w:after="0" w:line="20" w:lineRule="atLeast"/>
        <w:jc w:val="both"/>
        <w:rPr>
          <w:rFonts w:cstheme="minorHAnsi"/>
        </w:rPr>
      </w:pPr>
    </w:p>
    <w:p w:rsidR="00626D17" w:rsidRPr="00AA7CB0" w:rsidRDefault="00626D17" w:rsidP="00626D17">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AA7CB0">
        <w:rPr>
          <w:rFonts w:cstheme="minorHAnsi"/>
          <w:b/>
        </w:rPr>
        <w:t>PERSONE CON DISABILITÀ</w:t>
      </w:r>
    </w:p>
    <w:p w:rsidR="00626D17" w:rsidRDefault="00626D17" w:rsidP="00626D17">
      <w:pPr>
        <w:spacing w:after="0" w:line="20" w:lineRule="atLeast"/>
        <w:jc w:val="both"/>
        <w:rPr>
          <w:rFonts w:cstheme="minorHAnsi"/>
        </w:rPr>
      </w:pPr>
    </w:p>
    <w:p w:rsidR="00626D17" w:rsidRDefault="00626D17" w:rsidP="00626D17">
      <w:pPr>
        <w:keepNext/>
        <w:keepLines/>
        <w:spacing w:after="0" w:line="20" w:lineRule="atLeast"/>
        <w:jc w:val="both"/>
        <w:rPr>
          <w:rFonts w:cstheme="minorHAnsi"/>
        </w:rPr>
      </w:pPr>
      <w:r w:rsidRPr="00AA7CB0">
        <w:rPr>
          <w:rFonts w:cstheme="minorHAnsi"/>
          <w:b/>
        </w:rPr>
        <w:t xml:space="preserve">DGR  29 luglio 2019, n. </w:t>
      </w:r>
      <w:proofErr w:type="gramStart"/>
      <w:r w:rsidRPr="00AA7CB0">
        <w:rPr>
          <w:rFonts w:cstheme="minorHAnsi"/>
          <w:b/>
        </w:rPr>
        <w:t>443</w:t>
      </w:r>
      <w:r>
        <w:rPr>
          <w:rFonts w:cstheme="minorHAnsi"/>
        </w:rPr>
        <w:t xml:space="preserve">, </w:t>
      </w:r>
      <w:r w:rsidRPr="00E46EF1">
        <w:rPr>
          <w:rFonts w:cstheme="minorHAnsi"/>
        </w:rPr>
        <w:t xml:space="preserve"> Legge</w:t>
      </w:r>
      <w:proofErr w:type="gramEnd"/>
      <w:r w:rsidRPr="00E46EF1">
        <w:rPr>
          <w:rFonts w:cstheme="minorHAnsi"/>
        </w:rPr>
        <w:t xml:space="preserve"> n. 13 del 09.01.1989 e s.m.i. – D.M. n.67 del 27.02.2018 “Riparto fondo speciale per l’eliminazione delle barriere architettoniche negli edifici privati” – Utilizzo delle risorse disponibili per scorrimento e completamento graduatoria definitiva approvata</w:t>
      </w:r>
      <w:r>
        <w:rPr>
          <w:rFonts w:cstheme="minorHAnsi"/>
        </w:rPr>
        <w:t>.  (BUR n. 31 del 7.8.19)</w:t>
      </w:r>
    </w:p>
    <w:p w:rsidR="00626D17" w:rsidRPr="00AA7CB0" w:rsidRDefault="00626D17" w:rsidP="00626D17">
      <w:pPr>
        <w:keepNext/>
        <w:keepLines/>
        <w:spacing w:after="0" w:line="20" w:lineRule="atLeast"/>
        <w:jc w:val="both"/>
        <w:rPr>
          <w:rFonts w:cstheme="minorHAnsi"/>
          <w:b/>
        </w:rPr>
      </w:pPr>
      <w:r w:rsidRPr="00AA7CB0">
        <w:rPr>
          <w:rFonts w:cstheme="minorHAnsi"/>
          <w:b/>
        </w:rPr>
        <w:t>Note</w:t>
      </w:r>
    </w:p>
    <w:p w:rsidR="00626D17" w:rsidRDefault="00626D17" w:rsidP="00626D17">
      <w:pPr>
        <w:spacing w:after="0" w:line="20" w:lineRule="atLeast"/>
        <w:jc w:val="both"/>
        <w:rPr>
          <w:rFonts w:cstheme="minorHAnsi"/>
        </w:rPr>
      </w:pPr>
      <w:r w:rsidRPr="00E46EF1">
        <w:rPr>
          <w:rFonts w:cstheme="minorHAnsi"/>
        </w:rPr>
        <w:t xml:space="preserve"> </w:t>
      </w:r>
      <w:r>
        <w:rPr>
          <w:rFonts w:cstheme="minorHAnsi"/>
        </w:rPr>
        <w:t xml:space="preserve">Viene </w:t>
      </w:r>
      <w:r w:rsidRPr="00E46EF1">
        <w:rPr>
          <w:rFonts w:cstheme="minorHAnsi"/>
        </w:rPr>
        <w:t>utilizza</w:t>
      </w:r>
      <w:r>
        <w:rPr>
          <w:rFonts w:cstheme="minorHAnsi"/>
        </w:rPr>
        <w:t xml:space="preserve">ta </w:t>
      </w:r>
      <w:r w:rsidRPr="00E46EF1">
        <w:rPr>
          <w:rFonts w:cstheme="minorHAnsi"/>
        </w:rPr>
        <w:t xml:space="preserve"> la somma di € 1.771.787,81 del fondo statale a destinazione vincolata per il cofinanziamento di interventi volti all’abbattimento delle barriere architettoniche negli edifici privati esistenti, secondo le seguenti modalità: - € 650.000,00 per il completamento della graduatoria definitiva approvata con Determina Dirigenziale DPC022/29 del 22/09/2015; - € 1.121.787,81 da assegnare ai Comuni secondo il riparto di cui all’Allegato “A”, che forma parte integrante e sostanziale del presente provvedimento, riferito alle annualità dal 2014 al 2016</w:t>
      </w:r>
      <w:r>
        <w:rPr>
          <w:rFonts w:cstheme="minorHAnsi"/>
        </w:rPr>
        <w:t>.</w:t>
      </w:r>
      <w:r w:rsidRPr="00E46EF1">
        <w:rPr>
          <w:rFonts w:cstheme="minorHAnsi"/>
        </w:rPr>
        <w:t xml:space="preserve"> </w:t>
      </w:r>
    </w:p>
    <w:p w:rsidR="00FE6DA0" w:rsidRDefault="00FE6DA0" w:rsidP="00626D17">
      <w:pPr>
        <w:spacing w:after="0" w:line="20" w:lineRule="atLeast"/>
        <w:jc w:val="both"/>
        <w:rPr>
          <w:rFonts w:cstheme="minorHAnsi"/>
        </w:rPr>
      </w:pPr>
    </w:p>
    <w:p w:rsidR="00FE6DA0" w:rsidRDefault="00FE6DA0" w:rsidP="00FE6DA0">
      <w:pPr>
        <w:spacing w:after="0" w:line="20" w:lineRule="atLeast"/>
        <w:jc w:val="center"/>
        <w:rPr>
          <w:rFonts w:ascii="Broadway" w:hAnsi="Broadway" w:cstheme="majorHAnsi"/>
          <w:b/>
          <w:sz w:val="40"/>
          <w:szCs w:val="40"/>
        </w:rPr>
      </w:pPr>
      <w:r>
        <w:rPr>
          <w:rFonts w:ascii="Broadway" w:hAnsi="Broadway" w:cstheme="majorHAnsi"/>
          <w:b/>
          <w:sz w:val="40"/>
          <w:szCs w:val="40"/>
        </w:rPr>
        <w:lastRenderedPageBreak/>
        <w:t>BASILICATA</w:t>
      </w:r>
    </w:p>
    <w:p w:rsidR="00FE6DA0" w:rsidRPr="00451387" w:rsidRDefault="00FE6DA0" w:rsidP="00FE6DA0">
      <w:pPr>
        <w:spacing w:after="0" w:line="20" w:lineRule="atLeast"/>
        <w:jc w:val="center"/>
        <w:rPr>
          <w:rFonts w:ascii="Broadway" w:hAnsi="Broadway" w:cstheme="majorHAnsi"/>
          <w:b/>
          <w:sz w:val="28"/>
          <w:szCs w:val="28"/>
        </w:rPr>
      </w:pPr>
    </w:p>
    <w:p w:rsidR="00FE6DA0" w:rsidRPr="00685DBC" w:rsidRDefault="00FE6DA0" w:rsidP="00FE6DA0">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685DBC">
        <w:rPr>
          <w:rFonts w:cstheme="minorHAnsi"/>
          <w:b/>
        </w:rPr>
        <w:t>AMMINISTRAZIONE REGIONALE</w:t>
      </w:r>
    </w:p>
    <w:p w:rsidR="00FE6DA0" w:rsidRPr="00E46EF1" w:rsidRDefault="00FE6DA0" w:rsidP="00FE6DA0">
      <w:pPr>
        <w:spacing w:after="0" w:line="20" w:lineRule="atLeast"/>
        <w:jc w:val="both"/>
        <w:rPr>
          <w:rFonts w:cstheme="minorHAnsi"/>
        </w:rPr>
      </w:pPr>
    </w:p>
    <w:p w:rsidR="00FE6DA0" w:rsidRPr="00E46EF1" w:rsidRDefault="00FE6DA0" w:rsidP="00FE6DA0">
      <w:pPr>
        <w:spacing w:after="0" w:line="20" w:lineRule="atLeast"/>
        <w:jc w:val="both"/>
        <w:rPr>
          <w:rFonts w:cstheme="minorHAnsi"/>
        </w:rPr>
      </w:pPr>
      <w:r w:rsidRPr="00AA7CB0">
        <w:rPr>
          <w:rFonts w:cstheme="minorHAnsi"/>
          <w:b/>
        </w:rPr>
        <w:t>DGR 4 luglio 2019, n.420</w:t>
      </w:r>
      <w:r>
        <w:rPr>
          <w:rFonts w:cstheme="minorHAnsi"/>
        </w:rPr>
        <w:t xml:space="preserve">, </w:t>
      </w:r>
      <w:r w:rsidRPr="00E46EF1">
        <w:rPr>
          <w:rFonts w:cstheme="minorHAnsi"/>
        </w:rPr>
        <w:t>D.P.G.R. n. 79404/11A1 del 10 maggio 2019 - Disposizioni organizzative conse</w:t>
      </w:r>
      <w:r>
        <w:rPr>
          <w:rFonts w:cstheme="minorHAnsi"/>
        </w:rPr>
        <w:t>g</w:t>
      </w:r>
      <w:r w:rsidRPr="00E46EF1">
        <w:rPr>
          <w:rFonts w:cstheme="minorHAnsi"/>
        </w:rPr>
        <w:t>uenziali</w:t>
      </w:r>
      <w:r>
        <w:rPr>
          <w:rFonts w:cstheme="minorHAnsi"/>
        </w:rPr>
        <w:t>.  (BUR n. 25 del 1.8.19)</w:t>
      </w:r>
    </w:p>
    <w:p w:rsidR="00FE6DA0" w:rsidRPr="00E46EF1" w:rsidRDefault="00FE6DA0" w:rsidP="00FE6DA0">
      <w:pPr>
        <w:spacing w:after="0" w:line="20" w:lineRule="atLeast"/>
        <w:jc w:val="both"/>
        <w:rPr>
          <w:rFonts w:cstheme="minorHAnsi"/>
        </w:rPr>
      </w:pPr>
      <w:proofErr w:type="gramStart"/>
      <w:r>
        <w:rPr>
          <w:rFonts w:cstheme="minorHAnsi"/>
        </w:rPr>
        <w:t xml:space="preserve">Viene </w:t>
      </w:r>
      <w:r w:rsidRPr="00E46EF1">
        <w:rPr>
          <w:rFonts w:cstheme="minorHAnsi"/>
        </w:rPr>
        <w:t xml:space="preserve"> pre</w:t>
      </w:r>
      <w:r>
        <w:rPr>
          <w:rFonts w:cstheme="minorHAnsi"/>
        </w:rPr>
        <w:t>so</w:t>
      </w:r>
      <w:proofErr w:type="gramEnd"/>
      <w:r w:rsidRPr="00E46EF1">
        <w:rPr>
          <w:rFonts w:cstheme="minorHAnsi"/>
        </w:rPr>
        <w:t xml:space="preserve"> atto delle indicazioni per le vie brevi di riassetto organizzativo fornite dal Capo di Gabinetto, nelle more del riordino delle strutture di diretta collaborazione del Presidente, mirante a concentrare attribuzioni omogenee all'interno di un'unica area, e per l'effetto </w:t>
      </w:r>
      <w:r>
        <w:rPr>
          <w:rFonts w:cstheme="minorHAnsi"/>
        </w:rPr>
        <w:t xml:space="preserve">si </w:t>
      </w:r>
      <w:r w:rsidRPr="00E46EF1">
        <w:rPr>
          <w:rFonts w:cstheme="minorHAnsi"/>
        </w:rPr>
        <w:t xml:space="preserve">provvede: </w:t>
      </w:r>
    </w:p>
    <w:p w:rsidR="00FE6DA0" w:rsidRPr="00E46EF1" w:rsidRDefault="00FE6DA0" w:rsidP="00FE6DA0">
      <w:pPr>
        <w:spacing w:after="0" w:line="20" w:lineRule="atLeast"/>
        <w:jc w:val="both"/>
        <w:rPr>
          <w:rFonts w:cstheme="minorHAnsi"/>
        </w:rPr>
      </w:pPr>
      <w:r w:rsidRPr="00E46EF1">
        <w:rPr>
          <w:rFonts w:cstheme="minorHAnsi"/>
        </w:rPr>
        <w:t xml:space="preserve">a) ad attestare nell'ambito del Gabinetto del Presidente di cui al Decreto n. 79404/11A 1 del 1 O maggio 2019, l'Ufficio Rappresentanza di Roma, la cui declaratoria, approvata con DGR n. 689/2015 si ritiene qui integralmente confermata e le cui competenze sono ascritte al Capo di Gabinetto, salve le competenze propriamente gestionali di cui all'ultimo punto della predetta declaratoria; </w:t>
      </w:r>
    </w:p>
    <w:p w:rsidR="00FE6DA0" w:rsidRPr="00E46EF1" w:rsidRDefault="00FE6DA0" w:rsidP="00FE6DA0">
      <w:pPr>
        <w:spacing w:after="0" w:line="20" w:lineRule="atLeast"/>
        <w:jc w:val="both"/>
        <w:rPr>
          <w:rFonts w:cstheme="minorHAnsi"/>
        </w:rPr>
      </w:pPr>
      <w:r w:rsidRPr="00E46EF1">
        <w:rPr>
          <w:rFonts w:cstheme="minorHAnsi"/>
        </w:rPr>
        <w:t xml:space="preserve">b) ad attestare al Settore legislativo e di consulenza giuridica, istituito in posizione di autonomia nell'ambito del Gabinetto del Presidente di cui al Decreto n. 79404, le competenze attualmente in capo all'Ufficio Segreteria Generale della Giunta e Affari legislativi di cui alla declaratoria approvata con DGR n. 689/2015, cosi come rivisitata con le modifiche di cui all'Allegato 1 al presente provvedimento, specificando, altresi, che le funzioni di Segretario della Giunta regionale e di ufficiale Rogante dei contratti e delle convenzioni della Regione, sono svolte da un Dirigente a tal fine incaricato e assegnato ai sensi dell'articolo 5 comma 3 del Decreto n. 79404; </w:t>
      </w:r>
    </w:p>
    <w:p w:rsidR="00FE6DA0" w:rsidRPr="00E46EF1" w:rsidRDefault="00FE6DA0" w:rsidP="00FE6DA0">
      <w:pPr>
        <w:spacing w:after="0" w:line="20" w:lineRule="atLeast"/>
        <w:jc w:val="both"/>
        <w:rPr>
          <w:rFonts w:cstheme="minorHAnsi"/>
        </w:rPr>
      </w:pPr>
      <w:r w:rsidRPr="00E46EF1">
        <w:rPr>
          <w:rFonts w:cstheme="minorHAnsi"/>
        </w:rPr>
        <w:t xml:space="preserve">c) a dare atto che il Dirigente e le risorse umane attualmente operanti presso l'Ufficio Segreteria Generale della Giunta e Affari legislativi, nonché le posizioni organizzative e di alta professionalità, devono intendersi trasferite al predetto Settore autonomo che ne ha assunto le relative competenze, salve le funzioni propriamente gestionali attinenti la gestione delle risorse umane; </w:t>
      </w:r>
    </w:p>
    <w:p w:rsidR="00FE6DA0" w:rsidRPr="00E46EF1" w:rsidRDefault="00FE6DA0" w:rsidP="00FE6DA0">
      <w:pPr>
        <w:spacing w:after="0" w:line="20" w:lineRule="atLeast"/>
        <w:jc w:val="both"/>
        <w:rPr>
          <w:rFonts w:cstheme="minorHAnsi"/>
        </w:rPr>
      </w:pPr>
      <w:r w:rsidRPr="00E46EF1">
        <w:rPr>
          <w:rFonts w:cstheme="minorHAnsi"/>
        </w:rPr>
        <w:t xml:space="preserve">d) a dare atto che il Dirigente dell'Ufficio di Segreteria Generale della Giunta e Affari legislativi mantiene gli incarichi ad interim ad oggi allo stesso affidati; </w:t>
      </w:r>
    </w:p>
    <w:p w:rsidR="00FE6DA0" w:rsidRPr="00E46EF1" w:rsidRDefault="00FE6DA0" w:rsidP="00FE6DA0">
      <w:pPr>
        <w:spacing w:after="0" w:line="20" w:lineRule="atLeast"/>
        <w:jc w:val="both"/>
        <w:rPr>
          <w:rFonts w:cstheme="minorHAnsi"/>
        </w:rPr>
      </w:pPr>
      <w:r w:rsidRPr="00E46EF1">
        <w:rPr>
          <w:rFonts w:cstheme="minorHAnsi"/>
        </w:rPr>
        <w:t>e) a sopprimere la "Posizione di staff-Attuazione del Programma di Governo" e la "Posizione di staff</w:t>
      </w:r>
      <w:r w:rsidR="00451387">
        <w:rPr>
          <w:rFonts w:cstheme="minorHAnsi"/>
        </w:rPr>
        <w:t xml:space="preserve"> </w:t>
      </w:r>
      <w:r w:rsidRPr="00E46EF1">
        <w:rPr>
          <w:rFonts w:cstheme="minorHAnsi"/>
        </w:rPr>
        <w:t xml:space="preserve">Segreteria tecnica del Presidente" le cui attribuzioni sono riassorbite nella sfera di competenza del Gabinetto del Presidente e nelle sue articolazioni interne, anche al fine di evitare sovrapposizioni e/o interferenze tra i settori di attività; </w:t>
      </w:r>
    </w:p>
    <w:p w:rsidR="00FE6DA0" w:rsidRPr="00E46EF1" w:rsidRDefault="00FE6DA0" w:rsidP="00FE6DA0">
      <w:pPr>
        <w:spacing w:after="0" w:line="20" w:lineRule="atLeast"/>
        <w:jc w:val="both"/>
        <w:rPr>
          <w:rFonts w:cstheme="minorHAnsi"/>
        </w:rPr>
      </w:pPr>
      <w:r w:rsidRPr="00E46EF1">
        <w:rPr>
          <w:rFonts w:cstheme="minorHAnsi"/>
        </w:rPr>
        <w:t xml:space="preserve">f) a dare atto che le funzioni propriamente gestionali di cui alle precedenti lettere a) e c), secondo quanto già disposto con la D.G.R. n. 275 del 17 maggio 2019, sono assegnate ad interim alla Direzione generale del Dipartimento Presidenza; </w:t>
      </w:r>
    </w:p>
    <w:p w:rsidR="00FE6DA0" w:rsidRPr="00E46EF1" w:rsidRDefault="00FE6DA0" w:rsidP="00FE6DA0">
      <w:pPr>
        <w:spacing w:after="0" w:line="20" w:lineRule="atLeast"/>
        <w:jc w:val="both"/>
        <w:rPr>
          <w:rFonts w:cstheme="minorHAnsi"/>
        </w:rPr>
      </w:pPr>
      <w:r w:rsidRPr="00E46EF1">
        <w:rPr>
          <w:rFonts w:cstheme="minorHAnsi"/>
        </w:rPr>
        <w:t xml:space="preserve">g) a confermare, per le restanti parti e comunque nelle more del riordino delle strutture di diretta collaborazione del Presidente, l'organigramma rappresentato nell'allegato A alla DGR n. 624/2016, modificata da ultimo dalla DGR 934/2017, con riferimento all'area istituzionale Presidenza della Giunta, nelle parti riguardanti le strutture di diretta collaborazione e le strutture indipendenti esterne ai dipartimenti regionali; </w:t>
      </w:r>
    </w:p>
    <w:p w:rsidR="00FE6DA0" w:rsidRPr="00E46EF1" w:rsidRDefault="00FE6DA0" w:rsidP="00FE6DA0">
      <w:pPr>
        <w:spacing w:after="0" w:line="20" w:lineRule="atLeast"/>
        <w:jc w:val="both"/>
        <w:rPr>
          <w:rFonts w:cstheme="minorHAnsi"/>
        </w:rPr>
      </w:pPr>
      <w:r w:rsidRPr="00E46EF1">
        <w:rPr>
          <w:rFonts w:cstheme="minorHAnsi"/>
        </w:rPr>
        <w:t xml:space="preserve">h) a prendere atto che, nelle more del riordino complessivo degli Uffici di diretta collaborazione, fermi rimanendo i provvedimenti sin qui adottati, il Presidente, con separati Decreti, può riordinare in via transitoria i medesimi Uffici; </w:t>
      </w:r>
    </w:p>
    <w:p w:rsidR="00FE6DA0" w:rsidRPr="00E46EF1" w:rsidRDefault="00FE6DA0" w:rsidP="00FE6DA0">
      <w:pPr>
        <w:spacing w:after="0" w:line="20" w:lineRule="atLeast"/>
        <w:jc w:val="both"/>
        <w:rPr>
          <w:rFonts w:cstheme="minorHAnsi"/>
        </w:rPr>
      </w:pPr>
      <w:r w:rsidRPr="00E46EF1">
        <w:rPr>
          <w:rFonts w:cstheme="minorHAnsi"/>
        </w:rPr>
        <w:t xml:space="preserve">3. rinviare a successivo atto la definizione di dettaglio della articolazione organizzativa delle strutture afferenti al Gabinetto ed agli uffici di diretta collaborazione del Presidente. </w:t>
      </w:r>
    </w:p>
    <w:p w:rsidR="00FE6DA0" w:rsidRPr="00E46EF1" w:rsidRDefault="00FE6DA0" w:rsidP="00FE6DA0">
      <w:pPr>
        <w:spacing w:after="0" w:line="20" w:lineRule="atLeast"/>
        <w:jc w:val="both"/>
        <w:rPr>
          <w:rFonts w:cstheme="minorHAnsi"/>
        </w:rPr>
      </w:pPr>
      <w:r w:rsidRPr="00E46EF1">
        <w:rPr>
          <w:rFonts w:cstheme="minorHAnsi"/>
        </w:rPr>
        <w:t xml:space="preserve">Settore legislativo e di consulenza giuridica </w:t>
      </w:r>
    </w:p>
    <w:p w:rsidR="00FE6DA0" w:rsidRDefault="00FE6DA0" w:rsidP="00FE6DA0">
      <w:pPr>
        <w:spacing w:after="0" w:line="20" w:lineRule="atLeast"/>
        <w:jc w:val="both"/>
        <w:rPr>
          <w:rFonts w:cstheme="minorHAnsi"/>
        </w:rPr>
      </w:pPr>
      <w:r w:rsidRPr="00E46EF1">
        <w:rPr>
          <w:rFonts w:cstheme="minorHAnsi"/>
        </w:rPr>
        <w:t xml:space="preserve">Svolge attività di assistenza giuridico-legislativa al Presidente e alla Giunta regionale e collaborazione con i Dipartimenti nella predisposizione dei disegni di legge di iniziativa della Giunta regionale e dei regolamenti regionali; </w:t>
      </w:r>
    </w:p>
    <w:p w:rsidR="00FE6DA0" w:rsidRDefault="00FE6DA0" w:rsidP="00FE6DA0">
      <w:pPr>
        <w:spacing w:after="0" w:line="20" w:lineRule="atLeast"/>
        <w:jc w:val="both"/>
        <w:rPr>
          <w:rFonts w:cstheme="minorHAnsi"/>
        </w:rPr>
      </w:pPr>
      <w:r w:rsidRPr="00E46EF1">
        <w:rPr>
          <w:rFonts w:cstheme="minorHAnsi"/>
        </w:rPr>
        <w:t xml:space="preserve">Assicura la qualità della normazione anche attraverso l'impulso e il coordinamento dei dipartimenti nella predisposizione dell'analisi di fattibilità, dell'analisi tecnico normativa e dell'impatto della regolamentazione; Fornisce il supporto tecnico al Presidente e agli assessori nel seguito consiliare dei provvedimenti normativi di iniziativa della Giunta regionale; </w:t>
      </w:r>
    </w:p>
    <w:p w:rsidR="00FE6DA0" w:rsidRDefault="00FE6DA0" w:rsidP="00FE6DA0">
      <w:pPr>
        <w:spacing w:after="0" w:line="20" w:lineRule="atLeast"/>
        <w:jc w:val="both"/>
        <w:rPr>
          <w:rFonts w:cstheme="minorHAnsi"/>
        </w:rPr>
      </w:pPr>
      <w:r w:rsidRPr="00E46EF1">
        <w:rPr>
          <w:rFonts w:cstheme="minorHAnsi"/>
        </w:rPr>
        <w:t xml:space="preserve">Monitora i provvedimenti di iniziativa non governativa all'esame del Consiglio regionale; </w:t>
      </w:r>
    </w:p>
    <w:p w:rsidR="00FE6DA0" w:rsidRDefault="00FE6DA0" w:rsidP="00FE6DA0">
      <w:pPr>
        <w:spacing w:after="0" w:line="20" w:lineRule="atLeast"/>
        <w:jc w:val="both"/>
        <w:rPr>
          <w:rFonts w:cstheme="minorHAnsi"/>
        </w:rPr>
      </w:pPr>
      <w:r w:rsidRPr="00E46EF1">
        <w:rPr>
          <w:rFonts w:cstheme="minorHAnsi"/>
        </w:rPr>
        <w:lastRenderedPageBreak/>
        <w:t xml:space="preserve">Assicura il supporto, in raccordo con il Capo di Gabinetto, per l'attività di sindacato ispettivo per gli aspetti di natura giuridico-normativa o concernenti i giudizi di legittimità costituzionale e i conflitti di attribuzione; Predispone note, pareri e risposte su quesiti concernenti il sistema regionale, su richiesta del Presidente o del Capo di Gabinetto; </w:t>
      </w:r>
    </w:p>
    <w:p w:rsidR="00FE6DA0" w:rsidRDefault="00FE6DA0" w:rsidP="00FE6DA0">
      <w:pPr>
        <w:spacing w:after="0" w:line="20" w:lineRule="atLeast"/>
        <w:jc w:val="both"/>
        <w:rPr>
          <w:rFonts w:cstheme="minorHAnsi"/>
        </w:rPr>
      </w:pPr>
      <w:r w:rsidRPr="00E46EF1">
        <w:rPr>
          <w:rFonts w:cstheme="minorHAnsi"/>
        </w:rPr>
        <w:t>Monitora la produzione normativa dello Stato e delle altre regioni in relazione alle materie di interesse regionale;</w:t>
      </w:r>
    </w:p>
    <w:p w:rsidR="00FE6DA0" w:rsidRDefault="00FE6DA0" w:rsidP="00FE6DA0">
      <w:pPr>
        <w:spacing w:after="0" w:line="20" w:lineRule="atLeast"/>
        <w:jc w:val="both"/>
        <w:rPr>
          <w:rFonts w:cstheme="minorHAnsi"/>
        </w:rPr>
      </w:pPr>
      <w:r w:rsidRPr="00E46EF1">
        <w:rPr>
          <w:rFonts w:cstheme="minorHAnsi"/>
        </w:rPr>
        <w:t xml:space="preserve"> Assicura il supporto tecnico per l'analisi dei progetti normativi statali e per i rapporti con l'amministrazione statale per gli aspetti di natura giuridico-normativa; </w:t>
      </w:r>
    </w:p>
    <w:p w:rsidR="00FE6DA0" w:rsidRDefault="00FE6DA0" w:rsidP="00FE6DA0">
      <w:pPr>
        <w:spacing w:after="0" w:line="20" w:lineRule="atLeast"/>
        <w:jc w:val="both"/>
        <w:rPr>
          <w:rFonts w:cstheme="minorHAnsi"/>
        </w:rPr>
      </w:pPr>
      <w:r w:rsidRPr="00E46EF1">
        <w:rPr>
          <w:rFonts w:cstheme="minorHAnsi"/>
        </w:rPr>
        <w:t xml:space="preserve">Assicura il supporto al Capo di Gabinetto per gli aspetti di natura giuridico-normativa nei rapporti con il sistema delle conferenze; </w:t>
      </w:r>
    </w:p>
    <w:p w:rsidR="00FE6DA0" w:rsidRDefault="00FE6DA0" w:rsidP="00FE6DA0">
      <w:pPr>
        <w:spacing w:after="0" w:line="20" w:lineRule="atLeast"/>
        <w:jc w:val="both"/>
        <w:rPr>
          <w:rFonts w:cstheme="minorHAnsi"/>
        </w:rPr>
      </w:pPr>
      <w:r w:rsidRPr="00E46EF1">
        <w:rPr>
          <w:rFonts w:cstheme="minorHAnsi"/>
        </w:rPr>
        <w:t xml:space="preserve">Provvede alla predisposizione delle disposizioni di attuazione del Titolo V della Costituzione e dello Statuto regionale; </w:t>
      </w:r>
    </w:p>
    <w:p w:rsidR="00FE6DA0" w:rsidRDefault="00FE6DA0" w:rsidP="00FE6DA0">
      <w:pPr>
        <w:spacing w:after="0" w:line="20" w:lineRule="atLeast"/>
        <w:jc w:val="both"/>
        <w:rPr>
          <w:rFonts w:cstheme="minorHAnsi"/>
        </w:rPr>
      </w:pPr>
      <w:r w:rsidRPr="00E46EF1">
        <w:rPr>
          <w:rFonts w:cstheme="minorHAnsi"/>
        </w:rPr>
        <w:t xml:space="preserve">Fornisce supporto ai dipartimenti nella fase ascendente del diritto comunitario e per l'adeguamento della legislazione regionale al diritto comunitario; </w:t>
      </w:r>
    </w:p>
    <w:p w:rsidR="00FE6DA0" w:rsidRDefault="00FE6DA0" w:rsidP="00FE6DA0">
      <w:pPr>
        <w:spacing w:after="0" w:line="20" w:lineRule="atLeast"/>
        <w:jc w:val="both"/>
        <w:rPr>
          <w:rFonts w:cstheme="minorHAnsi"/>
        </w:rPr>
      </w:pPr>
      <w:r w:rsidRPr="00E46EF1">
        <w:rPr>
          <w:rFonts w:cstheme="minorHAnsi"/>
        </w:rPr>
        <w:t xml:space="preserve">Fornisce supporto al Presidente e alla Giunta, in raccordo con l'Ufficio legale, per il promovimento i giudizi di legittimità costituzionale e i conflitti di attribuzione; </w:t>
      </w:r>
    </w:p>
    <w:p w:rsidR="00FE6DA0" w:rsidRDefault="00FE6DA0" w:rsidP="00FE6DA0">
      <w:pPr>
        <w:spacing w:after="0" w:line="20" w:lineRule="atLeast"/>
        <w:jc w:val="both"/>
        <w:rPr>
          <w:rFonts w:cstheme="minorHAnsi"/>
        </w:rPr>
      </w:pPr>
      <w:r w:rsidRPr="00E46EF1">
        <w:rPr>
          <w:rFonts w:cstheme="minorHAnsi"/>
        </w:rPr>
        <w:t xml:space="preserve">Cura i rapporti con il DAR e il DAGL della Presidenza del Consiglio dei ministri, per gli aspetti di propria competenza, e con uffici legislativi dello Stato e delle altre regioni; </w:t>
      </w:r>
    </w:p>
    <w:p w:rsidR="00FE6DA0" w:rsidRPr="00E46EF1" w:rsidRDefault="00FE6DA0" w:rsidP="00FE6DA0">
      <w:pPr>
        <w:spacing w:after="0" w:line="20" w:lineRule="atLeast"/>
        <w:jc w:val="both"/>
        <w:rPr>
          <w:rFonts w:cstheme="minorHAnsi"/>
        </w:rPr>
      </w:pPr>
      <w:r w:rsidRPr="00E46EF1">
        <w:rPr>
          <w:rFonts w:cstheme="minorHAnsi"/>
        </w:rPr>
        <w:t xml:space="preserve">Assicura il supporto al Presidente nella predisposizione dell'ordine del giorno della Giunta e nell'esame preventivo delle proposte di deliberazione da sottoporre all'esame della Giunta, quanto al raccordo tra la funzione di indirizzo-politico e le attività di gestione amministrativa. </w:t>
      </w:r>
    </w:p>
    <w:p w:rsidR="00FE6DA0" w:rsidRPr="00E46EF1" w:rsidRDefault="00FE6DA0" w:rsidP="00FE6DA0">
      <w:pPr>
        <w:spacing w:after="0" w:line="20" w:lineRule="atLeast"/>
        <w:jc w:val="both"/>
        <w:rPr>
          <w:rFonts w:cstheme="minorHAnsi"/>
        </w:rPr>
      </w:pPr>
      <w:r w:rsidRPr="00E46EF1">
        <w:rPr>
          <w:rFonts w:cstheme="minorHAnsi"/>
        </w:rPr>
        <w:t xml:space="preserve">Un dirigente assegnato al Settore legislativo e di consulenza giuridica ai sensi dell'art. 5 del D.P.G.R. n. 79404/11A 1 del1 O maggio 2019 svolge il compito di Segretario della Giunta e di Ufficiale rogante dei contratti e delle convenzioni della Regione e, in particolare, le seguenti funzioni: </w:t>
      </w:r>
    </w:p>
    <w:p w:rsidR="00FE6DA0" w:rsidRDefault="00FE6DA0" w:rsidP="00FE6DA0">
      <w:pPr>
        <w:spacing w:after="0" w:line="20" w:lineRule="atLeast"/>
        <w:jc w:val="both"/>
        <w:rPr>
          <w:rFonts w:cstheme="minorHAnsi"/>
        </w:rPr>
      </w:pPr>
      <w:r w:rsidRPr="00E46EF1">
        <w:rPr>
          <w:rFonts w:cstheme="minorHAnsi"/>
        </w:rPr>
        <w:t>Istruttoria e controllo di legittimità degli atti di competenza della Giunta regionale; Adempimenti connessi al funzionamento della Giunta regionale; Predisposizione delle convocazioni e degli ordini del giorno delle sedute della Giunta; Gestione dell'iter post-giunta per l'esecuzione delle deliberazioni; Verifica della regolarità giuridico-formale dei contratti e delle convenzioni della Regione da stipularsi in forma pubblica, rogito e registrazione dei medesimi e tenuta del repertorio dei contratti.</w:t>
      </w:r>
    </w:p>
    <w:p w:rsidR="00451387" w:rsidRDefault="00451387" w:rsidP="00FE6DA0">
      <w:pPr>
        <w:spacing w:after="0" w:line="20" w:lineRule="atLeast"/>
        <w:jc w:val="both"/>
        <w:rPr>
          <w:rFonts w:cstheme="minorHAnsi"/>
        </w:rPr>
      </w:pPr>
    </w:p>
    <w:p w:rsidR="00451387" w:rsidRPr="00451387" w:rsidRDefault="00451387" w:rsidP="00451387">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451387">
        <w:rPr>
          <w:rFonts w:cstheme="minorHAnsi"/>
          <w:b/>
        </w:rPr>
        <w:t>EDILIZIA</w:t>
      </w:r>
    </w:p>
    <w:p w:rsidR="00336924" w:rsidRDefault="00336924" w:rsidP="00FE6DA0">
      <w:pPr>
        <w:spacing w:after="0" w:line="20" w:lineRule="atLeast"/>
        <w:jc w:val="both"/>
        <w:rPr>
          <w:rFonts w:cstheme="minorHAnsi"/>
        </w:rPr>
      </w:pPr>
    </w:p>
    <w:p w:rsidR="00336924" w:rsidRDefault="00336924" w:rsidP="00336924">
      <w:pPr>
        <w:spacing w:after="0" w:line="20" w:lineRule="atLeast"/>
        <w:jc w:val="both"/>
        <w:rPr>
          <w:rFonts w:cstheme="minorHAnsi"/>
        </w:rPr>
      </w:pPr>
      <w:r w:rsidRPr="00AF638C">
        <w:rPr>
          <w:rFonts w:cstheme="minorHAnsi"/>
          <w:b/>
        </w:rPr>
        <w:t>DGR   23 luglio 2019, n.470,</w:t>
      </w:r>
      <w:r>
        <w:rPr>
          <w:rFonts w:cstheme="minorHAnsi"/>
        </w:rPr>
        <w:t xml:space="preserve"> </w:t>
      </w:r>
      <w:r w:rsidRPr="00E46EF1">
        <w:rPr>
          <w:rFonts w:cstheme="minorHAnsi"/>
        </w:rPr>
        <w:t>PO FESR BASILICATA 2014-2020 - ITI Sviluppo Urbano città di Matera - D.G.R. n. 208/2019 - Approvazione dello schema degli Accordi attuativi di cui all'art. 3 comma 2 dell'Accordo di Programma sottoscritto dalla Regione Basilicata e dal Comune di Matera in data 19 marzo 2019.</w:t>
      </w:r>
      <w:r w:rsidRPr="00AF638C">
        <w:rPr>
          <w:rFonts w:cstheme="minorHAnsi"/>
        </w:rPr>
        <w:t xml:space="preserve"> </w:t>
      </w:r>
      <w:r>
        <w:rPr>
          <w:rFonts w:cstheme="minorHAnsi"/>
        </w:rPr>
        <w:t>(BUR n. 25 del 1.8.19)</w:t>
      </w:r>
    </w:p>
    <w:p w:rsidR="00336924" w:rsidRPr="00AF638C" w:rsidRDefault="00336924" w:rsidP="00336924">
      <w:pPr>
        <w:spacing w:after="0" w:line="20" w:lineRule="atLeast"/>
        <w:jc w:val="both"/>
        <w:rPr>
          <w:rFonts w:cstheme="minorHAnsi"/>
          <w:b/>
        </w:rPr>
      </w:pPr>
      <w:r w:rsidRPr="00AF638C">
        <w:rPr>
          <w:rFonts w:cstheme="minorHAnsi"/>
          <w:b/>
        </w:rPr>
        <w:t>Note</w:t>
      </w:r>
    </w:p>
    <w:p w:rsidR="00336924" w:rsidRPr="00E46EF1" w:rsidRDefault="00336924" w:rsidP="00336924">
      <w:pPr>
        <w:spacing w:after="0" w:line="20" w:lineRule="atLeast"/>
        <w:jc w:val="both"/>
        <w:rPr>
          <w:rFonts w:cstheme="minorHAnsi"/>
        </w:rPr>
      </w:pPr>
      <w:r>
        <w:rPr>
          <w:rFonts w:cstheme="minorHAnsi"/>
        </w:rPr>
        <w:t>Viene a</w:t>
      </w:r>
      <w:r w:rsidRPr="00E46EF1">
        <w:rPr>
          <w:rFonts w:cstheme="minorHAnsi"/>
        </w:rPr>
        <w:t>pprova</w:t>
      </w:r>
      <w:r>
        <w:rPr>
          <w:rFonts w:cstheme="minorHAnsi"/>
        </w:rPr>
        <w:t xml:space="preserve">to, fra </w:t>
      </w:r>
      <w:proofErr w:type="gramStart"/>
      <w:r>
        <w:rPr>
          <w:rFonts w:cstheme="minorHAnsi"/>
        </w:rPr>
        <w:t>l’ altro</w:t>
      </w:r>
      <w:proofErr w:type="gramEnd"/>
      <w:r w:rsidRPr="00E46EF1">
        <w:rPr>
          <w:rFonts w:cstheme="minorHAnsi"/>
        </w:rPr>
        <w:t xml:space="preserve">: </w:t>
      </w:r>
    </w:p>
    <w:p w:rsidR="00336924" w:rsidRDefault="00336924" w:rsidP="00336924">
      <w:pPr>
        <w:spacing w:after="0" w:line="20" w:lineRule="atLeast"/>
        <w:jc w:val="both"/>
        <w:rPr>
          <w:rFonts w:cstheme="minorHAnsi"/>
        </w:rPr>
      </w:pPr>
      <w:r>
        <w:rPr>
          <w:rFonts w:cstheme="minorHAnsi"/>
        </w:rPr>
        <w:t>L</w:t>
      </w:r>
      <w:r w:rsidRPr="00E46EF1">
        <w:rPr>
          <w:rFonts w:cstheme="minorHAnsi"/>
        </w:rPr>
        <w:t xml:space="preserve">o schema di "Accordo attuativo tra la Regione Basilicata, l'Azienda Territoriale per l'edilizia residenziale di Matera (intervento di importo pari a 1,5 Meuro) e la Città di Matera" per la scheda di operazione n. E.3 "Incremento dell'offerta di alloggi sociali a canone moderato, anche per utilizzo temporaneo" dell'Accordo di Programma dell' !TI Sviluppo Urbano della città di Matera" (Allegato 3)- parte integrante e sostanziale della presente deliberazione-che regola i rapporti tra la Regione Basilicata, l'Azienda Territoriale per l'edilizia residenziale di Matera e la Città di Matera oltre che i tempi, le modalità, il finanziamento ed ogni altro connesso adempimento per l'attuazione tempestiva degli interventi, completo di cronoprogramma di </w:t>
      </w:r>
      <w:r>
        <w:rPr>
          <w:rFonts w:cstheme="minorHAnsi"/>
        </w:rPr>
        <w:t xml:space="preserve"> </w:t>
      </w:r>
      <w:r w:rsidRPr="00E46EF1">
        <w:rPr>
          <w:rFonts w:cstheme="minorHAnsi"/>
        </w:rPr>
        <w:t>attuazione e delle schede relative a ciascun intervento</w:t>
      </w:r>
      <w:r>
        <w:rPr>
          <w:rFonts w:cstheme="minorHAnsi"/>
        </w:rPr>
        <w:t>.</w:t>
      </w:r>
    </w:p>
    <w:p w:rsidR="00451387" w:rsidRDefault="00451387" w:rsidP="00336924">
      <w:pPr>
        <w:spacing w:after="0" w:line="20" w:lineRule="atLeast"/>
        <w:jc w:val="both"/>
        <w:rPr>
          <w:rFonts w:cstheme="minorHAnsi"/>
        </w:rPr>
      </w:pPr>
    </w:p>
    <w:p w:rsidR="00451387" w:rsidRPr="00AF638C" w:rsidRDefault="00451387" w:rsidP="00451387">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AF638C">
        <w:rPr>
          <w:rFonts w:cstheme="minorHAnsi"/>
          <w:b/>
        </w:rPr>
        <w:t>FAMIGLIA</w:t>
      </w:r>
    </w:p>
    <w:p w:rsidR="00451387" w:rsidRPr="00E46EF1" w:rsidRDefault="00451387" w:rsidP="00451387">
      <w:pPr>
        <w:spacing w:after="0" w:line="20" w:lineRule="atLeast"/>
        <w:jc w:val="both"/>
        <w:rPr>
          <w:rFonts w:cstheme="minorHAnsi"/>
        </w:rPr>
      </w:pPr>
    </w:p>
    <w:p w:rsidR="00451387" w:rsidRDefault="00451387" w:rsidP="00451387">
      <w:pPr>
        <w:spacing w:after="0" w:line="20" w:lineRule="atLeast"/>
        <w:jc w:val="both"/>
        <w:rPr>
          <w:rFonts w:cstheme="minorHAnsi"/>
        </w:rPr>
      </w:pPr>
      <w:r w:rsidRPr="00AF638C">
        <w:rPr>
          <w:rFonts w:cstheme="minorHAnsi"/>
          <w:b/>
        </w:rPr>
        <w:t>DGR  23 luglio 2019, n.476,</w:t>
      </w:r>
      <w:r>
        <w:rPr>
          <w:rFonts w:cstheme="minorHAnsi"/>
        </w:rPr>
        <w:t xml:space="preserve"> </w:t>
      </w:r>
      <w:r w:rsidRPr="00E46EF1">
        <w:rPr>
          <w:rFonts w:cstheme="minorHAnsi"/>
        </w:rPr>
        <w:t>Intesa Conferenza Unificata Rep. Atti n. 30/CU del17.04.2019 - D.M. 30 aprile 2019 riparto delle risorse stanziate sul Fondo politiche della famiglia anno 2019 - Azioni della regione Basilicata in favore dei Centri per le famiglie - anno 2019.</w:t>
      </w:r>
      <w:r>
        <w:rPr>
          <w:rFonts w:cstheme="minorHAnsi"/>
        </w:rPr>
        <w:t xml:space="preserve">  (BUR n. 25 del 1.8.19)</w:t>
      </w:r>
    </w:p>
    <w:p w:rsidR="00451387" w:rsidRPr="00AF638C" w:rsidRDefault="00451387" w:rsidP="00451387">
      <w:pPr>
        <w:spacing w:after="0" w:line="20" w:lineRule="atLeast"/>
        <w:jc w:val="both"/>
        <w:rPr>
          <w:rFonts w:cstheme="minorHAnsi"/>
          <w:b/>
        </w:rPr>
      </w:pPr>
      <w:r w:rsidRPr="00AF638C">
        <w:rPr>
          <w:rFonts w:cstheme="minorHAnsi"/>
          <w:b/>
        </w:rPr>
        <w:lastRenderedPageBreak/>
        <w:t xml:space="preserve">PREMESSA </w:t>
      </w:r>
    </w:p>
    <w:p w:rsidR="00451387" w:rsidRPr="00E46EF1" w:rsidRDefault="00451387" w:rsidP="00451387">
      <w:pPr>
        <w:spacing w:after="0" w:line="20" w:lineRule="atLeast"/>
        <w:jc w:val="both"/>
        <w:rPr>
          <w:rFonts w:cstheme="minorHAnsi"/>
        </w:rPr>
      </w:pPr>
      <w:r>
        <w:rPr>
          <w:rFonts w:cstheme="minorHAnsi"/>
        </w:rPr>
        <w:t>L</w:t>
      </w:r>
      <w:r w:rsidRPr="00E46EF1">
        <w:rPr>
          <w:rFonts w:cstheme="minorHAnsi"/>
        </w:rPr>
        <w:t>a L.R. n.4 del 14.02.07 "Rete Regionale Integrata dei Servizi di Cittadinanza Sociale</w:t>
      </w:r>
      <w:proofErr w:type="gramStart"/>
      <w:r w:rsidRPr="00E46EF1">
        <w:rPr>
          <w:rFonts w:cstheme="minorHAnsi"/>
        </w:rPr>
        <w:t>"  assicura</w:t>
      </w:r>
      <w:proofErr w:type="gramEnd"/>
      <w:r w:rsidRPr="00E46EF1">
        <w:rPr>
          <w:rFonts w:cstheme="minorHAnsi"/>
        </w:rPr>
        <w:t>, all'interno della rete regionale integrata dei servizi di cittadinanza sociale, l'erogazione dei livelli essenziali delle prestazioni sociali funzionalmente integrati con i livelli essenziali di assistenza erogati dal sistema sanitario regionale</w:t>
      </w:r>
      <w:r>
        <w:rPr>
          <w:rFonts w:cstheme="minorHAnsi"/>
        </w:rPr>
        <w:t>.</w:t>
      </w:r>
      <w:r w:rsidRPr="00E46EF1">
        <w:rPr>
          <w:rFonts w:cstheme="minorHAnsi"/>
        </w:rPr>
        <w:t xml:space="preserve"> </w:t>
      </w:r>
    </w:p>
    <w:p w:rsidR="00451387" w:rsidRDefault="00451387" w:rsidP="00451387">
      <w:pPr>
        <w:spacing w:after="0" w:line="20" w:lineRule="atLeast"/>
        <w:jc w:val="both"/>
        <w:rPr>
          <w:rFonts w:cstheme="minorHAnsi"/>
        </w:rPr>
      </w:pPr>
      <w:r>
        <w:rPr>
          <w:rFonts w:cstheme="minorHAnsi"/>
        </w:rPr>
        <w:t xml:space="preserve">Con </w:t>
      </w:r>
      <w:r w:rsidRPr="00E46EF1">
        <w:rPr>
          <w:rFonts w:cstheme="minorHAnsi"/>
        </w:rPr>
        <w:t xml:space="preserve">la D.G.R. </w:t>
      </w:r>
      <w:r>
        <w:rPr>
          <w:rFonts w:cstheme="minorHAnsi"/>
        </w:rPr>
        <w:t>n. 194 del 9 Marzo 2017 - Art. 10</w:t>
      </w:r>
      <w:r w:rsidRPr="00E46EF1">
        <w:rPr>
          <w:rFonts w:cstheme="minorHAnsi"/>
        </w:rPr>
        <w:t>, comma 1 lett. (i) della L. R. no 4/</w:t>
      </w:r>
      <w:proofErr w:type="gramStart"/>
      <w:r w:rsidRPr="00E46EF1">
        <w:rPr>
          <w:rFonts w:cstheme="minorHAnsi"/>
        </w:rPr>
        <w:t>2007</w:t>
      </w:r>
      <w:r>
        <w:rPr>
          <w:rFonts w:cstheme="minorHAnsi"/>
        </w:rPr>
        <w:t xml:space="preserve">  è</w:t>
      </w:r>
      <w:proofErr w:type="gramEnd"/>
      <w:r>
        <w:rPr>
          <w:rFonts w:cstheme="minorHAnsi"/>
        </w:rPr>
        <w:t xml:space="preserve"> stata disposta l’</w:t>
      </w:r>
      <w:r w:rsidRPr="00E46EF1">
        <w:rPr>
          <w:rFonts w:cstheme="minorHAnsi"/>
        </w:rPr>
        <w:t xml:space="preserve"> "Approvazione definitiva del manuale per l'autorizzazione dei servizi e delle strutture pubbliche e private che svolgono attività socio·assistenziali e socio-educative</w:t>
      </w:r>
      <w:r>
        <w:rPr>
          <w:rFonts w:cstheme="minorHAnsi"/>
        </w:rPr>
        <w:t>.</w:t>
      </w:r>
      <w:r w:rsidRPr="00E46EF1">
        <w:rPr>
          <w:rFonts w:cstheme="minorHAnsi"/>
        </w:rPr>
        <w:t xml:space="preserve"> </w:t>
      </w:r>
    </w:p>
    <w:p w:rsidR="00451387" w:rsidRPr="00E46EF1" w:rsidRDefault="00451387" w:rsidP="00451387">
      <w:pPr>
        <w:spacing w:after="0" w:line="20" w:lineRule="atLeast"/>
        <w:jc w:val="both"/>
        <w:rPr>
          <w:rFonts w:cstheme="minorHAnsi"/>
        </w:rPr>
      </w:pPr>
      <w:r>
        <w:rPr>
          <w:rFonts w:cstheme="minorHAnsi"/>
        </w:rPr>
        <w:t>I</w:t>
      </w:r>
      <w:r w:rsidRPr="00E46EF1">
        <w:rPr>
          <w:rFonts w:cstheme="minorHAnsi"/>
        </w:rPr>
        <w:t>l Piano Socio·Assistenziale 2000·</w:t>
      </w:r>
      <w:proofErr w:type="gramStart"/>
      <w:r w:rsidRPr="00E46EF1">
        <w:rPr>
          <w:rFonts w:cstheme="minorHAnsi"/>
        </w:rPr>
        <w:t>2002  ha</w:t>
      </w:r>
      <w:proofErr w:type="gramEnd"/>
      <w:r w:rsidRPr="00E46EF1">
        <w:rPr>
          <w:rFonts w:cstheme="minorHAnsi"/>
        </w:rPr>
        <w:t xml:space="preserve"> introdotto strategie attive di politica sociale ed ha a</w:t>
      </w:r>
      <w:r>
        <w:rPr>
          <w:rFonts w:cstheme="minorHAnsi"/>
        </w:rPr>
        <w:t>vv</w:t>
      </w:r>
      <w:r w:rsidRPr="00E46EF1">
        <w:rPr>
          <w:rFonts w:cstheme="minorHAnsi"/>
        </w:rPr>
        <w:t>iato percorsi di inclusione sociale</w:t>
      </w:r>
      <w:r>
        <w:rPr>
          <w:rFonts w:cstheme="minorHAnsi"/>
        </w:rPr>
        <w:t>.</w:t>
      </w:r>
      <w:r w:rsidRPr="00E46EF1">
        <w:rPr>
          <w:rFonts w:cstheme="minorHAnsi"/>
        </w:rPr>
        <w:t xml:space="preserve"> </w:t>
      </w:r>
    </w:p>
    <w:p w:rsidR="00451387" w:rsidRPr="00E46EF1" w:rsidRDefault="00451387" w:rsidP="00451387">
      <w:pPr>
        <w:spacing w:after="0" w:line="20" w:lineRule="atLeast"/>
        <w:jc w:val="both"/>
        <w:rPr>
          <w:rFonts w:cstheme="minorHAnsi"/>
        </w:rPr>
      </w:pPr>
      <w:r>
        <w:rPr>
          <w:rFonts w:cstheme="minorHAnsi"/>
        </w:rPr>
        <w:t>L</w:t>
      </w:r>
      <w:r w:rsidRPr="00E46EF1">
        <w:rPr>
          <w:rFonts w:cstheme="minorHAnsi"/>
        </w:rPr>
        <w:t>a D.C.R. n. 317 del 24/7/2012 ha approvato il "Piano Integrato della Salute e dei Servizi alla Persona e alla Comunità - 2012/2015· Ammalarsi meno, curarsi meglio", disegnando la nuova organizzazione del SSR e definendone le macrostrutture aziendali (Distretti socio-sanitari), l'organizzazione territoriale e di ambito, la rete ospedaliera e il rapporto ospedale territorio</w:t>
      </w:r>
      <w:r>
        <w:rPr>
          <w:rFonts w:cstheme="minorHAnsi"/>
        </w:rPr>
        <w:t>.</w:t>
      </w:r>
      <w:r w:rsidRPr="00E46EF1">
        <w:rPr>
          <w:rFonts w:cstheme="minorHAnsi"/>
        </w:rPr>
        <w:t xml:space="preserve"> </w:t>
      </w:r>
    </w:p>
    <w:p w:rsidR="00451387" w:rsidRPr="00E46EF1" w:rsidRDefault="00451387" w:rsidP="00451387">
      <w:pPr>
        <w:spacing w:after="0" w:line="20" w:lineRule="atLeast"/>
        <w:jc w:val="both"/>
        <w:rPr>
          <w:rFonts w:cstheme="minorHAnsi"/>
        </w:rPr>
      </w:pPr>
      <w:r>
        <w:rPr>
          <w:rFonts w:cstheme="minorHAnsi"/>
        </w:rPr>
        <w:t>L</w:t>
      </w:r>
      <w:r w:rsidRPr="00E46EF1">
        <w:rPr>
          <w:rFonts w:cstheme="minorHAnsi"/>
        </w:rPr>
        <w:t>a proposta di Piano Regionale Integrato della Salute e dei servizi alla persona e alla comunità 2018·2020, approvato con la DGR n.778 del 26.07.2017 ha evidenziato i valori e gli obiettivi del sistema sanitario regionale, individuando le strategie per le singole aree del Sistema e ha definito altre</w:t>
      </w:r>
      <w:r>
        <w:rPr>
          <w:rFonts w:cstheme="minorHAnsi"/>
        </w:rPr>
        <w:t>sì</w:t>
      </w:r>
      <w:r w:rsidRPr="00E46EF1">
        <w:rPr>
          <w:rFonts w:cstheme="minorHAnsi"/>
        </w:rPr>
        <w:t xml:space="preserve"> le strategie, gli indirizzi e le modalità operative per la costruzione e l'attuazione della Rete Regionale Integrata dei Servizi di Cittadinanza Sociale; </w:t>
      </w:r>
    </w:p>
    <w:p w:rsidR="00451387" w:rsidRPr="00E46EF1" w:rsidRDefault="00451387" w:rsidP="00451387">
      <w:pPr>
        <w:spacing w:after="0" w:line="20" w:lineRule="atLeast"/>
        <w:jc w:val="both"/>
        <w:rPr>
          <w:rFonts w:cstheme="minorHAnsi"/>
        </w:rPr>
      </w:pPr>
      <w:r>
        <w:rPr>
          <w:rFonts w:cstheme="minorHAnsi"/>
        </w:rPr>
        <w:t xml:space="preserve">Le </w:t>
      </w:r>
      <w:r w:rsidRPr="00E46EF1">
        <w:rPr>
          <w:rFonts w:cstheme="minorHAnsi"/>
        </w:rPr>
        <w:t>Linee guida per la formazione dei nuovi Piani lntercomunali dei Servizi Sociali e Socio·sanitari 2016-2018, approvate con la DGR n.917 del 7. 07.2015, hanno riorganizzato gli ambiti Socio· Territoriali e ridefinito il profilo delle comunità</w:t>
      </w:r>
      <w:r>
        <w:rPr>
          <w:rFonts w:cstheme="minorHAnsi"/>
        </w:rPr>
        <w:t>.</w:t>
      </w:r>
      <w:r w:rsidRPr="00E46EF1">
        <w:rPr>
          <w:rFonts w:cstheme="minorHAnsi"/>
        </w:rPr>
        <w:t xml:space="preserve"> </w:t>
      </w:r>
    </w:p>
    <w:p w:rsidR="00451387" w:rsidRPr="00E46EF1" w:rsidRDefault="00451387" w:rsidP="00451387">
      <w:pPr>
        <w:spacing w:after="0" w:line="20" w:lineRule="atLeast"/>
        <w:jc w:val="both"/>
        <w:rPr>
          <w:rFonts w:cstheme="minorHAnsi"/>
        </w:rPr>
      </w:pPr>
      <w:r>
        <w:rPr>
          <w:rFonts w:cstheme="minorHAnsi"/>
        </w:rPr>
        <w:t xml:space="preserve">Con </w:t>
      </w:r>
      <w:proofErr w:type="gramStart"/>
      <w:r>
        <w:rPr>
          <w:rFonts w:cstheme="minorHAnsi"/>
        </w:rPr>
        <w:t>l</w:t>
      </w:r>
      <w:r w:rsidRPr="00E46EF1">
        <w:rPr>
          <w:rFonts w:cstheme="minorHAnsi"/>
        </w:rPr>
        <w:t>'</w:t>
      </w:r>
      <w:r>
        <w:rPr>
          <w:rFonts w:cstheme="minorHAnsi"/>
        </w:rPr>
        <w:t xml:space="preserve"> </w:t>
      </w:r>
      <w:r w:rsidRPr="00E46EF1">
        <w:rPr>
          <w:rFonts w:cstheme="minorHAnsi"/>
        </w:rPr>
        <w:t>art.</w:t>
      </w:r>
      <w:proofErr w:type="gramEnd"/>
      <w:r w:rsidRPr="00E46EF1">
        <w:rPr>
          <w:rFonts w:cstheme="minorHAnsi"/>
        </w:rPr>
        <w:t xml:space="preserve"> 19, comma</w:t>
      </w:r>
      <w:r>
        <w:rPr>
          <w:rFonts w:cstheme="minorHAnsi"/>
        </w:rPr>
        <w:t xml:space="preserve"> </w:t>
      </w:r>
      <w:r w:rsidRPr="00E46EF1">
        <w:rPr>
          <w:rFonts w:cstheme="minorHAnsi"/>
        </w:rPr>
        <w:t>1 del decreto legge 4 luglio 2006 n.223, convertito con modificazioni, dalla legge 4 agosto 2006 n.248, al fine di promuovere e realizzare interventi per la tutela della famiglia, in tutte le sue componenti e le sue problematiche generazionali, è istituito presso la Presidenza del Consiglio dei Ministri un fondo denominato "Fondo per le politiche della famiglia"</w:t>
      </w:r>
      <w:r>
        <w:rPr>
          <w:rFonts w:cstheme="minorHAnsi"/>
        </w:rPr>
        <w:t>.</w:t>
      </w:r>
      <w:r w:rsidRPr="00E46EF1">
        <w:rPr>
          <w:rFonts w:cstheme="minorHAnsi"/>
        </w:rPr>
        <w:t xml:space="preserve"> </w:t>
      </w:r>
    </w:p>
    <w:p w:rsidR="00451387" w:rsidRPr="00E46EF1" w:rsidRDefault="00451387" w:rsidP="00451387">
      <w:pPr>
        <w:spacing w:after="0" w:line="20" w:lineRule="atLeast"/>
        <w:jc w:val="both"/>
        <w:rPr>
          <w:rFonts w:cstheme="minorHAnsi"/>
        </w:rPr>
      </w:pPr>
      <w:r>
        <w:rPr>
          <w:rFonts w:cstheme="minorHAnsi"/>
        </w:rPr>
        <w:t>L</w:t>
      </w:r>
      <w:r w:rsidRPr="00E46EF1">
        <w:rPr>
          <w:rFonts w:cstheme="minorHAnsi"/>
        </w:rPr>
        <w:t xml:space="preserve">a somma stanziata in favore delle Regioni, per l'anno 2019 ammonta a € 94.682.826,00, al netto della riduzione pari ad € 10.068.776,00 operata ai sensi </w:t>
      </w:r>
      <w:proofErr w:type="gramStart"/>
      <w:r w:rsidRPr="00E46EF1">
        <w:rPr>
          <w:rFonts w:cstheme="minorHAnsi"/>
        </w:rPr>
        <w:t>dell'art.?,</w:t>
      </w:r>
      <w:proofErr w:type="gramEnd"/>
      <w:r w:rsidRPr="00E46EF1">
        <w:rPr>
          <w:rFonts w:cstheme="minorHAnsi"/>
        </w:rPr>
        <w:t xml:space="preserve"> comma 1, lettera b) e comma 2 del decreto legge 6 luglio 2012 n.95, convertito con modificazioni, dalla legge 7 agosto 2012 n.135 e dell'articolo, comma 291 della legge 23 dicembre 2014 n.190</w:t>
      </w:r>
      <w:r>
        <w:rPr>
          <w:rFonts w:cstheme="minorHAnsi"/>
        </w:rPr>
        <w:t>.</w:t>
      </w:r>
      <w:r w:rsidRPr="00E46EF1">
        <w:rPr>
          <w:rFonts w:cstheme="minorHAnsi"/>
        </w:rPr>
        <w:t xml:space="preserve"> </w:t>
      </w:r>
    </w:p>
    <w:p w:rsidR="00451387" w:rsidRDefault="00451387" w:rsidP="00451387">
      <w:pPr>
        <w:spacing w:after="0" w:line="20" w:lineRule="atLeast"/>
        <w:jc w:val="both"/>
        <w:rPr>
          <w:rFonts w:cstheme="minorHAnsi"/>
        </w:rPr>
      </w:pPr>
      <w:r>
        <w:rPr>
          <w:rFonts w:cstheme="minorHAnsi"/>
        </w:rPr>
        <w:t>Qu</w:t>
      </w:r>
      <w:r w:rsidRPr="00E46EF1">
        <w:rPr>
          <w:rFonts w:cstheme="minorHAnsi"/>
        </w:rPr>
        <w:t>ota parte della suddetta somma è destinata ad attività di competenza regionale e degli Enti locali per interventi volti al potenziamento dei Centri per la famiglia nonché, relativamente alle attività di carattere sociale, dei consultori familiari</w:t>
      </w:r>
      <w:r>
        <w:rPr>
          <w:rFonts w:cstheme="minorHAnsi"/>
        </w:rPr>
        <w:t>.</w:t>
      </w:r>
      <w:r w:rsidRPr="00E46EF1">
        <w:rPr>
          <w:rFonts w:cstheme="minorHAnsi"/>
        </w:rPr>
        <w:t xml:space="preserve"> </w:t>
      </w:r>
    </w:p>
    <w:p w:rsidR="00451387" w:rsidRPr="0043724C" w:rsidRDefault="00451387" w:rsidP="00451387">
      <w:pPr>
        <w:spacing w:after="0" w:line="20" w:lineRule="atLeast"/>
        <w:jc w:val="both"/>
        <w:rPr>
          <w:rFonts w:cstheme="minorHAnsi"/>
          <w:b/>
        </w:rPr>
      </w:pPr>
      <w:r w:rsidRPr="0043724C">
        <w:rPr>
          <w:rFonts w:cstheme="minorHAnsi"/>
          <w:b/>
        </w:rPr>
        <w:t>LA RICADUTA SULLA REGIONE</w:t>
      </w:r>
    </w:p>
    <w:p w:rsidR="00451387" w:rsidRPr="00E46EF1" w:rsidRDefault="00451387" w:rsidP="00451387">
      <w:pPr>
        <w:spacing w:after="0" w:line="20" w:lineRule="atLeast"/>
        <w:jc w:val="both"/>
        <w:rPr>
          <w:rFonts w:cstheme="minorHAnsi"/>
        </w:rPr>
      </w:pPr>
      <w:r w:rsidRPr="00E46EF1">
        <w:rPr>
          <w:rFonts w:cstheme="minorHAnsi"/>
        </w:rPr>
        <w:t>RILEVATO che il Decreto del Ministro per la famiglia e le disabilità del 30.04.2019, ha ripartito tra le regioni, le suddette risorse finanziarie utilizzando i medesimi criteri del Fondo nazionale per le Politiche Sociali, assegnando alla regione Basilicata la somma di € 184.500,00</w:t>
      </w:r>
      <w:r>
        <w:rPr>
          <w:rFonts w:cstheme="minorHAnsi"/>
        </w:rPr>
        <w:t xml:space="preserve">. </w:t>
      </w:r>
      <w:r w:rsidRPr="00E46EF1">
        <w:rPr>
          <w:rFonts w:cstheme="minorHAnsi"/>
        </w:rPr>
        <w:t xml:space="preserve"> </w:t>
      </w:r>
    </w:p>
    <w:p w:rsidR="00451387" w:rsidRPr="00E46EF1" w:rsidRDefault="00451387" w:rsidP="00451387">
      <w:pPr>
        <w:spacing w:after="0" w:line="20" w:lineRule="atLeast"/>
        <w:jc w:val="both"/>
        <w:rPr>
          <w:rFonts w:cstheme="minorHAnsi"/>
        </w:rPr>
      </w:pPr>
      <w:r>
        <w:rPr>
          <w:rFonts w:cstheme="minorHAnsi"/>
        </w:rPr>
        <w:t xml:space="preserve">Tale fondo </w:t>
      </w:r>
      <w:r w:rsidRPr="00E46EF1">
        <w:rPr>
          <w:rFonts w:cstheme="minorHAnsi"/>
        </w:rPr>
        <w:t>garanti</w:t>
      </w:r>
      <w:r>
        <w:rPr>
          <w:rFonts w:cstheme="minorHAnsi"/>
        </w:rPr>
        <w:t>sc</w:t>
      </w:r>
      <w:r w:rsidRPr="00E46EF1">
        <w:rPr>
          <w:rFonts w:cstheme="minorHAnsi"/>
        </w:rPr>
        <w:t>e un'offerta di servizi più capillare in favore delle famiglie nell'intera dimensione regionale, valorizzando la rete dei consultori familiari che afferisce all'area territoriale distrettuale delle Aziende Sanitarie di Potenza - ASP e di Matera-ASM</w:t>
      </w:r>
      <w:r>
        <w:rPr>
          <w:rFonts w:cstheme="minorHAnsi"/>
        </w:rPr>
        <w:t>.</w:t>
      </w:r>
      <w:r w:rsidRPr="00E46EF1">
        <w:rPr>
          <w:rFonts w:cstheme="minorHAnsi"/>
        </w:rPr>
        <w:t xml:space="preserve"> </w:t>
      </w:r>
    </w:p>
    <w:p w:rsidR="00451387" w:rsidRPr="00E46EF1" w:rsidRDefault="00451387" w:rsidP="00451387">
      <w:pPr>
        <w:spacing w:after="0" w:line="20" w:lineRule="atLeast"/>
        <w:jc w:val="both"/>
        <w:rPr>
          <w:rFonts w:cstheme="minorHAnsi"/>
        </w:rPr>
      </w:pPr>
      <w:r>
        <w:rPr>
          <w:rFonts w:cstheme="minorHAnsi"/>
        </w:rPr>
        <w:t>I</w:t>
      </w:r>
      <w:r w:rsidRPr="00E46EF1">
        <w:rPr>
          <w:rFonts w:cstheme="minorHAnsi"/>
        </w:rPr>
        <w:t>n coerenza con le linee di indirizzo regionali, come definite nel Piano Regionale Integrato della Salute e dei servizi alla persona nonché nelle nuove strategie dei Piani lntercomunali dei Servizi Sociali e Socio-sanitari, è necessario assicurare la piena integrazione tra i servizi e tra gli operatori, al fine di rendere le risposte più adeguate, senza sovrapposizione alcuna, ai bisogni della comunità in tema di supporto alla genitorialità e alle dinamiche dell'ambiente famiglia</w:t>
      </w:r>
      <w:r>
        <w:rPr>
          <w:rFonts w:cstheme="minorHAnsi"/>
        </w:rPr>
        <w:t>.</w:t>
      </w:r>
      <w:r w:rsidRPr="00E46EF1">
        <w:rPr>
          <w:rFonts w:cstheme="minorHAnsi"/>
        </w:rPr>
        <w:t xml:space="preserve"> </w:t>
      </w:r>
    </w:p>
    <w:p w:rsidR="00451387" w:rsidRPr="00240099" w:rsidRDefault="00451387" w:rsidP="00451387">
      <w:pPr>
        <w:spacing w:after="0" w:line="20" w:lineRule="atLeast"/>
        <w:jc w:val="both"/>
        <w:rPr>
          <w:rFonts w:cstheme="minorHAnsi"/>
          <w:b/>
        </w:rPr>
      </w:pPr>
      <w:r w:rsidRPr="00240099">
        <w:rPr>
          <w:rFonts w:cstheme="minorHAnsi"/>
          <w:b/>
        </w:rPr>
        <w:t>IL RUOLO DEL CONSULTORIO FAMILIARE</w:t>
      </w:r>
    </w:p>
    <w:p w:rsidR="00451387" w:rsidRDefault="00451387" w:rsidP="00451387">
      <w:pPr>
        <w:spacing w:after="0" w:line="20" w:lineRule="atLeast"/>
        <w:jc w:val="both"/>
        <w:rPr>
          <w:rFonts w:cstheme="minorHAnsi"/>
        </w:rPr>
      </w:pPr>
      <w:proofErr w:type="gramStart"/>
      <w:r w:rsidRPr="00E46EF1">
        <w:rPr>
          <w:rFonts w:cstheme="minorHAnsi"/>
        </w:rPr>
        <w:t>l</w:t>
      </w:r>
      <w:r>
        <w:rPr>
          <w:rFonts w:cstheme="minorHAnsi"/>
        </w:rPr>
        <w:t>l</w:t>
      </w:r>
      <w:proofErr w:type="gramEnd"/>
      <w:r w:rsidRPr="00E46EF1">
        <w:rPr>
          <w:rFonts w:cstheme="minorHAnsi"/>
        </w:rPr>
        <w:t xml:space="preserve"> Consultorio familiare in seno alle predette Aziende, in quanto servizio di base e secondo il proprio consolidato modello operativo, promuove tra l'altro, interventi a beneficio delle coppie e delle famiglie, con finalità di prevenzione ma anche di aiuto in situazioni di crisi nonché interventi a carattere di specificità con particolare riferimento alla "Mediazione familiare"</w:t>
      </w:r>
      <w:r>
        <w:rPr>
          <w:rFonts w:cstheme="minorHAnsi"/>
        </w:rPr>
        <w:t>.</w:t>
      </w:r>
    </w:p>
    <w:p w:rsidR="00451387" w:rsidRPr="00240099" w:rsidRDefault="00451387" w:rsidP="00451387">
      <w:pPr>
        <w:spacing w:after="0" w:line="20" w:lineRule="atLeast"/>
        <w:jc w:val="both"/>
        <w:rPr>
          <w:rFonts w:cstheme="minorHAnsi"/>
          <w:b/>
        </w:rPr>
      </w:pPr>
      <w:r w:rsidRPr="00240099">
        <w:rPr>
          <w:rFonts w:cstheme="minorHAnsi"/>
          <w:b/>
        </w:rPr>
        <w:t xml:space="preserve">IL RUOLO DEI CENTRI FAMIGLIA </w:t>
      </w:r>
    </w:p>
    <w:p w:rsidR="00451387" w:rsidRDefault="00451387" w:rsidP="00451387">
      <w:pPr>
        <w:spacing w:after="0" w:line="20" w:lineRule="atLeast"/>
        <w:jc w:val="both"/>
        <w:rPr>
          <w:rFonts w:cstheme="minorHAnsi"/>
        </w:rPr>
      </w:pPr>
      <w:r>
        <w:rPr>
          <w:rFonts w:cstheme="minorHAnsi"/>
        </w:rPr>
        <w:t xml:space="preserve">Viene ravvisata </w:t>
      </w:r>
      <w:r w:rsidRPr="00E46EF1">
        <w:rPr>
          <w:rFonts w:cstheme="minorHAnsi"/>
        </w:rPr>
        <w:t>l'esigenza di rafforzare una rete di "Centri per la famiglia", sviluppando la stretta integrazione tra le attività sociali a</w:t>
      </w:r>
      <w:r>
        <w:rPr>
          <w:rFonts w:cstheme="minorHAnsi"/>
        </w:rPr>
        <w:t>vv</w:t>
      </w:r>
      <w:r w:rsidRPr="00E46EF1">
        <w:rPr>
          <w:rFonts w:cstheme="minorHAnsi"/>
        </w:rPr>
        <w:t xml:space="preserve">iate dai comuni di Matera e Potenza, e le attività di carattere sociale svolte dai </w:t>
      </w:r>
      <w:r w:rsidRPr="00E46EF1">
        <w:rPr>
          <w:rFonts w:cstheme="minorHAnsi"/>
        </w:rPr>
        <w:lastRenderedPageBreak/>
        <w:t>Consultori Familiari delle Aziende Sanitarie di Potenza ASP e di Matera - ASM operando, nell'ottica della promozione e tutela del benessere, per sostenere le relazioni familiari in tutte le fasi del ciclo di vita e privilegiando il lavoro integrato dei professionisti presenti in ciascuna struttura</w:t>
      </w:r>
      <w:r>
        <w:rPr>
          <w:rFonts w:cstheme="minorHAnsi"/>
        </w:rPr>
        <w:t>.</w:t>
      </w:r>
    </w:p>
    <w:p w:rsidR="00451387" w:rsidRPr="00240099" w:rsidRDefault="00451387" w:rsidP="00451387">
      <w:pPr>
        <w:spacing w:after="0" w:line="20" w:lineRule="atLeast"/>
        <w:jc w:val="both"/>
        <w:rPr>
          <w:rFonts w:cstheme="minorHAnsi"/>
          <w:b/>
        </w:rPr>
      </w:pPr>
      <w:r w:rsidRPr="00240099">
        <w:rPr>
          <w:rFonts w:cstheme="minorHAnsi"/>
          <w:b/>
        </w:rPr>
        <w:t xml:space="preserve">LA DISPOSIZIONE </w:t>
      </w:r>
    </w:p>
    <w:p w:rsidR="00451387" w:rsidRDefault="00451387" w:rsidP="00451387">
      <w:pPr>
        <w:spacing w:after="0" w:line="20" w:lineRule="atLeast"/>
        <w:jc w:val="both"/>
        <w:rPr>
          <w:rFonts w:cstheme="minorHAnsi"/>
        </w:rPr>
      </w:pPr>
      <w:r>
        <w:rPr>
          <w:rFonts w:cstheme="minorHAnsi"/>
        </w:rPr>
        <w:t xml:space="preserve">Viene </w:t>
      </w:r>
      <w:proofErr w:type="gramStart"/>
      <w:r w:rsidRPr="00E46EF1">
        <w:rPr>
          <w:rFonts w:cstheme="minorHAnsi"/>
        </w:rPr>
        <w:t>approva</w:t>
      </w:r>
      <w:r>
        <w:rPr>
          <w:rFonts w:cstheme="minorHAnsi"/>
        </w:rPr>
        <w:t xml:space="preserve">ta </w:t>
      </w:r>
      <w:r w:rsidRPr="00E46EF1">
        <w:rPr>
          <w:rFonts w:cstheme="minorHAnsi"/>
        </w:rPr>
        <w:t xml:space="preserve"> la</w:t>
      </w:r>
      <w:proofErr w:type="gramEnd"/>
      <w:r w:rsidRPr="00E46EF1">
        <w:rPr>
          <w:rFonts w:cstheme="minorHAnsi"/>
        </w:rPr>
        <w:t xml:space="preserve"> scheda  che concerne il piano di massima delle attività da realizzare per lo sviluppo di una rete integrata dei Centri per le famiglie, nonché le azioni da finanziare comprensive del cronoprogramma che ne indica i tempi e le modalità di attuazione</w:t>
      </w:r>
      <w:r>
        <w:rPr>
          <w:rFonts w:cstheme="minorHAnsi"/>
        </w:rPr>
        <w:t>.</w:t>
      </w:r>
    </w:p>
    <w:p w:rsidR="00451387" w:rsidRPr="00E46EF1" w:rsidRDefault="00451387" w:rsidP="00451387">
      <w:pPr>
        <w:spacing w:after="0" w:line="20" w:lineRule="atLeast"/>
        <w:jc w:val="both"/>
        <w:rPr>
          <w:rFonts w:cstheme="minorHAnsi"/>
        </w:rPr>
      </w:pPr>
      <w:r w:rsidRPr="00E46EF1">
        <w:rPr>
          <w:rFonts w:cstheme="minorHAnsi"/>
        </w:rPr>
        <w:t xml:space="preserve"> </w:t>
      </w:r>
    </w:p>
    <w:p w:rsidR="00451387" w:rsidRPr="00E46EF1" w:rsidRDefault="00451387" w:rsidP="00451387">
      <w:pPr>
        <w:spacing w:after="0" w:line="20" w:lineRule="atLeast"/>
        <w:jc w:val="both"/>
        <w:rPr>
          <w:rFonts w:cstheme="minorHAnsi"/>
        </w:rPr>
      </w:pPr>
      <w:r w:rsidRPr="00E46EF1">
        <w:rPr>
          <w:rFonts w:cstheme="minorHAnsi"/>
        </w:rPr>
        <w:t xml:space="preserve">SCHEDA DELLA REGIONE BASILICATA </w:t>
      </w:r>
    </w:p>
    <w:p w:rsidR="00451387" w:rsidRPr="00E46EF1" w:rsidRDefault="00451387" w:rsidP="00451387">
      <w:pPr>
        <w:spacing w:after="0" w:line="20" w:lineRule="atLeast"/>
        <w:jc w:val="both"/>
        <w:rPr>
          <w:rFonts w:cstheme="minorHAnsi"/>
        </w:rPr>
      </w:pPr>
      <w:r w:rsidRPr="00E46EF1">
        <w:rPr>
          <w:rFonts w:cstheme="minorHAnsi"/>
        </w:rPr>
        <w:t xml:space="preserve">RETE INTEGRATA REGIONALE DEI CENTRI PER LA FAMIGLIA </w:t>
      </w:r>
    </w:p>
    <w:p w:rsidR="00451387" w:rsidRDefault="00451387" w:rsidP="00451387">
      <w:pPr>
        <w:spacing w:after="0" w:line="20" w:lineRule="atLeast"/>
        <w:jc w:val="both"/>
        <w:rPr>
          <w:rFonts w:cstheme="minorHAnsi"/>
        </w:rPr>
      </w:pPr>
      <w:r w:rsidRPr="00E46EF1">
        <w:rPr>
          <w:rFonts w:cstheme="minorHAnsi"/>
        </w:rPr>
        <w:t>La Regione Basilicata con la DGR n. 108 del 5.02.2019, in virtù del fondo di € 54.454,96 assegnato con Decreto del Ministro per la famiglia e le disabilità sul fondo Politiche per la famiglia per l'annualit.-1 2018, ha approvato azioni finalizzate all'attivazione e al pot</w:t>
      </w:r>
      <w:r>
        <w:rPr>
          <w:rFonts w:cstheme="minorHAnsi"/>
        </w:rPr>
        <w:t>e</w:t>
      </w:r>
      <w:r w:rsidRPr="00E46EF1">
        <w:rPr>
          <w:rFonts w:cstheme="minorHAnsi"/>
        </w:rPr>
        <w:t>nziamento di n.2 Centri per le famiglie a servizio degli ambiti territoriali provinciali di Potenza e di Matera, secondo le lince guida di cui alla programmazione regionale della DGR n.917 /2015 - Linee guida per la formazione dei nuovi Piani lnt</w:t>
      </w:r>
      <w:r>
        <w:rPr>
          <w:rFonts w:cstheme="minorHAnsi"/>
        </w:rPr>
        <w:t>e</w:t>
      </w:r>
      <w:r w:rsidRPr="00E46EF1">
        <w:rPr>
          <w:rFonts w:cstheme="minorHAnsi"/>
        </w:rPr>
        <w:t>rcomunali d</w:t>
      </w:r>
      <w:r>
        <w:rPr>
          <w:rFonts w:cstheme="minorHAnsi"/>
        </w:rPr>
        <w:t>e</w:t>
      </w:r>
      <w:r w:rsidRPr="00E46EF1">
        <w:rPr>
          <w:rFonts w:cstheme="minorHAnsi"/>
        </w:rPr>
        <w:t xml:space="preserve">i Servizi Sociali e Socio-sanitari 2016-2018. </w:t>
      </w:r>
    </w:p>
    <w:p w:rsidR="00451387" w:rsidRDefault="00451387" w:rsidP="00451387">
      <w:pPr>
        <w:spacing w:after="0" w:line="20" w:lineRule="atLeast"/>
        <w:jc w:val="both"/>
        <w:rPr>
          <w:rFonts w:cstheme="minorHAnsi"/>
        </w:rPr>
      </w:pPr>
      <w:r w:rsidRPr="00E46EF1">
        <w:rPr>
          <w:rFonts w:cstheme="minorHAnsi"/>
        </w:rPr>
        <w:t xml:space="preserve">Per l'annualità 2019, il Decreto del Ministro per la famiglia c le disabilità ha assegnato alla regione Basilicata risorse più cospicue per € 184.500,00. </w:t>
      </w:r>
    </w:p>
    <w:p w:rsidR="00451387" w:rsidRDefault="00451387" w:rsidP="00451387">
      <w:pPr>
        <w:spacing w:after="0" w:line="20" w:lineRule="atLeast"/>
        <w:jc w:val="both"/>
        <w:rPr>
          <w:rFonts w:cstheme="minorHAnsi"/>
        </w:rPr>
      </w:pPr>
      <w:r w:rsidRPr="00E46EF1">
        <w:rPr>
          <w:rFonts w:cstheme="minorHAnsi"/>
        </w:rPr>
        <w:t xml:space="preserve">Dette risorse rendono possibile garantire un'offerta di servizi più capillare in favore delle famiglie nell'intera dimensione regionale, valorizzando la rete dei consultori familiari che afferisce all'area territoriale distrettuale delle Aziende Sanitarie di Potenza - ASP c di Matera - ASM. </w:t>
      </w:r>
    </w:p>
    <w:p w:rsidR="00451387" w:rsidRDefault="00451387" w:rsidP="00451387">
      <w:pPr>
        <w:spacing w:after="0" w:line="20" w:lineRule="atLeast"/>
        <w:jc w:val="both"/>
        <w:rPr>
          <w:rFonts w:cstheme="minorHAnsi"/>
        </w:rPr>
      </w:pPr>
      <w:r w:rsidRPr="00E46EF1">
        <w:rPr>
          <w:rFonts w:cstheme="minorHAnsi"/>
        </w:rPr>
        <w:t>Il Consultorio familiare, in quanto servizio di base e secondo il proprio consolidato modello operativo, promuove tra l'altro, interventi a beneficio delle coppie e delle famiglie, con finalità dì prevenzione ma anche di aiuto in situazioni di crisi nonché interventi a carattere di specificità con particolare riferimento alla "</w:t>
      </w:r>
      <w:r>
        <w:rPr>
          <w:rFonts w:cstheme="minorHAnsi"/>
        </w:rPr>
        <w:t xml:space="preserve">mediazione </w:t>
      </w:r>
      <w:r w:rsidRPr="00E46EF1">
        <w:rPr>
          <w:rFonts w:cstheme="minorHAnsi"/>
        </w:rPr>
        <w:t xml:space="preserve">familiare". </w:t>
      </w:r>
    </w:p>
    <w:p w:rsidR="00451387" w:rsidRPr="00E46EF1" w:rsidRDefault="00451387" w:rsidP="00451387">
      <w:pPr>
        <w:spacing w:after="0" w:line="20" w:lineRule="atLeast"/>
        <w:jc w:val="both"/>
        <w:rPr>
          <w:rFonts w:cstheme="minorHAnsi"/>
        </w:rPr>
      </w:pPr>
      <w:r w:rsidRPr="00E46EF1">
        <w:rPr>
          <w:rFonts w:cstheme="minorHAnsi"/>
        </w:rPr>
        <w:t>Emerge dunque l'esigenza dì rafforzare una rete di "Centri per la famiglia", sviluppando la stretta integrazione tra le attività sociali avvi</w:t>
      </w:r>
      <w:r>
        <w:rPr>
          <w:rFonts w:cstheme="minorHAnsi"/>
        </w:rPr>
        <w:t xml:space="preserve">ate </w:t>
      </w:r>
      <w:r w:rsidRPr="00E46EF1">
        <w:rPr>
          <w:rFonts w:cstheme="minorHAnsi"/>
        </w:rPr>
        <w:t xml:space="preserve"> dai comuni di Matera e Potenza, e le attività di carattere sociale svolte dai Consultori Familiari delle Aziende Sanitarie di Potenza-ASP e di Matera - ASM operando, nell'ottica della promozione </w:t>
      </w:r>
      <w:r>
        <w:rPr>
          <w:rFonts w:cstheme="minorHAnsi"/>
        </w:rPr>
        <w:t>e</w:t>
      </w:r>
      <w:r w:rsidRPr="00E46EF1">
        <w:rPr>
          <w:rFonts w:cstheme="minorHAnsi"/>
        </w:rPr>
        <w:t xml:space="preserve"> tutela del benessere, per sostenere le </w:t>
      </w:r>
      <w:r>
        <w:rPr>
          <w:rFonts w:cstheme="minorHAnsi"/>
        </w:rPr>
        <w:t xml:space="preserve">  reti </w:t>
      </w:r>
      <w:r w:rsidRPr="00E46EF1">
        <w:rPr>
          <w:rFonts w:cstheme="minorHAnsi"/>
        </w:rPr>
        <w:t>familiari in tutte le fasi del ci</w:t>
      </w:r>
      <w:r>
        <w:rPr>
          <w:rFonts w:cstheme="minorHAnsi"/>
        </w:rPr>
        <w:t xml:space="preserve">clo di vita e privilegiando il lavoro </w:t>
      </w:r>
      <w:r w:rsidRPr="00E46EF1">
        <w:rPr>
          <w:rFonts w:cstheme="minorHAnsi"/>
        </w:rPr>
        <w:t xml:space="preserve"> integrato dci professionisti presenti in ciascuna struttura In </w:t>
      </w:r>
      <w:r>
        <w:rPr>
          <w:rFonts w:cstheme="minorHAnsi"/>
        </w:rPr>
        <w:t xml:space="preserve">tali </w:t>
      </w:r>
      <w:r w:rsidRPr="00E46EF1">
        <w:rPr>
          <w:rFonts w:cstheme="minorHAnsi"/>
        </w:rPr>
        <w:t xml:space="preserve">i ambiti i Consultori Familiari attualmente offrono: </w:t>
      </w:r>
    </w:p>
    <w:p w:rsidR="00451387" w:rsidRDefault="00451387" w:rsidP="00D52790">
      <w:pPr>
        <w:pStyle w:val="Paragrafoelenco"/>
        <w:numPr>
          <w:ilvl w:val="0"/>
          <w:numId w:val="3"/>
        </w:numPr>
        <w:spacing w:after="0" w:line="20" w:lineRule="atLeast"/>
        <w:jc w:val="both"/>
        <w:rPr>
          <w:rFonts w:cstheme="minorHAnsi"/>
        </w:rPr>
      </w:pPr>
      <w:r w:rsidRPr="00240099">
        <w:rPr>
          <w:rFonts w:cstheme="minorHAnsi"/>
        </w:rPr>
        <w:t xml:space="preserve"> </w:t>
      </w:r>
      <w:proofErr w:type="gramStart"/>
      <w:r w:rsidRPr="00240099">
        <w:rPr>
          <w:rFonts w:cstheme="minorHAnsi"/>
        </w:rPr>
        <w:t>l'assistenza</w:t>
      </w:r>
      <w:proofErr w:type="gramEnd"/>
      <w:r w:rsidRPr="00240099">
        <w:rPr>
          <w:rFonts w:cstheme="minorHAnsi"/>
        </w:rPr>
        <w:t xml:space="preserve"> ed il sostegno alla donna in gravidanza tramite percorsi di accompagnamento alla nascita ed alla g</w:t>
      </w:r>
      <w:r>
        <w:rPr>
          <w:rFonts w:cstheme="minorHAnsi"/>
        </w:rPr>
        <w:t>eni</w:t>
      </w:r>
      <w:r w:rsidRPr="00240099">
        <w:rPr>
          <w:rFonts w:cstheme="minorHAnsi"/>
        </w:rPr>
        <w:t>torialità, con particolare riguardo alle situazioni di fragilit</w:t>
      </w:r>
      <w:r>
        <w:rPr>
          <w:rFonts w:cstheme="minorHAnsi"/>
        </w:rPr>
        <w:t xml:space="preserve">à </w:t>
      </w:r>
      <w:r w:rsidRPr="00240099">
        <w:rPr>
          <w:rFonts w:cstheme="minorHAnsi"/>
        </w:rPr>
        <w:t xml:space="preserve">sociale (madri nubili, donne sole in attesa di un figlio, genitori immigrati ... ); </w:t>
      </w:r>
    </w:p>
    <w:p w:rsidR="00451387" w:rsidRDefault="00451387" w:rsidP="00D52790">
      <w:pPr>
        <w:pStyle w:val="Paragrafoelenco"/>
        <w:numPr>
          <w:ilvl w:val="0"/>
          <w:numId w:val="3"/>
        </w:numPr>
        <w:spacing w:after="0" w:line="20" w:lineRule="atLeast"/>
        <w:jc w:val="both"/>
        <w:rPr>
          <w:rFonts w:cstheme="minorHAnsi"/>
        </w:rPr>
      </w:pPr>
      <w:proofErr w:type="gramStart"/>
      <w:r w:rsidRPr="00240099">
        <w:rPr>
          <w:rFonts w:cstheme="minorHAnsi"/>
        </w:rPr>
        <w:t>l'informazione</w:t>
      </w:r>
      <w:proofErr w:type="gramEnd"/>
      <w:r w:rsidRPr="00240099">
        <w:rPr>
          <w:rFonts w:cstheme="minorHAnsi"/>
        </w:rPr>
        <w:t xml:space="preserve"> e la consulenza sulla tutela e il sostegno della maternità e paternità, sulla conciliazione fra i tempi dì vita per la famiglia e per il lavoro, sui servizi sociali e sanit</w:t>
      </w:r>
      <w:r>
        <w:rPr>
          <w:rFonts w:cstheme="minorHAnsi"/>
        </w:rPr>
        <w:t xml:space="preserve">ari </w:t>
      </w:r>
      <w:r w:rsidRPr="00240099">
        <w:rPr>
          <w:rFonts w:cstheme="minorHAnsi"/>
        </w:rPr>
        <w:t xml:space="preserve"> del territorio; </w:t>
      </w:r>
    </w:p>
    <w:p w:rsidR="00451387" w:rsidRDefault="00451387" w:rsidP="00D52790">
      <w:pPr>
        <w:pStyle w:val="Paragrafoelenco"/>
        <w:numPr>
          <w:ilvl w:val="0"/>
          <w:numId w:val="3"/>
        </w:numPr>
        <w:spacing w:after="0" w:line="20" w:lineRule="atLeast"/>
        <w:jc w:val="both"/>
        <w:rPr>
          <w:rFonts w:cstheme="minorHAnsi"/>
        </w:rPr>
      </w:pPr>
      <w:proofErr w:type="gramStart"/>
      <w:r w:rsidRPr="00240099">
        <w:rPr>
          <w:rFonts w:cstheme="minorHAnsi"/>
        </w:rPr>
        <w:t>la</w:t>
      </w:r>
      <w:proofErr w:type="gramEnd"/>
      <w:r w:rsidRPr="00240099">
        <w:rPr>
          <w:rFonts w:cstheme="minorHAnsi"/>
        </w:rPr>
        <w:t xml:space="preserve"> consulenza </w:t>
      </w:r>
      <w:r>
        <w:rPr>
          <w:rFonts w:cstheme="minorHAnsi"/>
        </w:rPr>
        <w:t>e</w:t>
      </w:r>
      <w:r w:rsidRPr="00240099">
        <w:rPr>
          <w:rFonts w:cstheme="minorHAnsi"/>
        </w:rPr>
        <w:t xml:space="preserve"> il sostegno alla famiglia, alla coppia, al singolo </w:t>
      </w:r>
      <w:r>
        <w:rPr>
          <w:rFonts w:cstheme="minorHAnsi"/>
        </w:rPr>
        <w:t>e</w:t>
      </w:r>
      <w:r w:rsidRPr="00240099">
        <w:rPr>
          <w:rFonts w:cstheme="minorHAnsi"/>
        </w:rPr>
        <w:t xml:space="preserve"> alla donna, per problematiche socioambientali e r</w:t>
      </w:r>
      <w:r>
        <w:rPr>
          <w:rFonts w:cstheme="minorHAnsi"/>
        </w:rPr>
        <w:t>e</w:t>
      </w:r>
      <w:r w:rsidRPr="00240099">
        <w:rPr>
          <w:rFonts w:cstheme="minorHAnsi"/>
        </w:rPr>
        <w:t>lazionali, vicende s</w:t>
      </w:r>
      <w:r>
        <w:rPr>
          <w:rFonts w:cstheme="minorHAnsi"/>
        </w:rPr>
        <w:t>e</w:t>
      </w:r>
      <w:r w:rsidRPr="00240099">
        <w:rPr>
          <w:rFonts w:cstheme="minorHAnsi"/>
        </w:rPr>
        <w:t>paratìve, conflittualità familiari, situazioni di maltratt</w:t>
      </w:r>
      <w:r>
        <w:rPr>
          <w:rFonts w:cstheme="minorHAnsi"/>
        </w:rPr>
        <w:t>a</w:t>
      </w:r>
      <w:r w:rsidRPr="00240099">
        <w:rPr>
          <w:rFonts w:cstheme="minorHAnsi"/>
        </w:rPr>
        <w:t>m</w:t>
      </w:r>
      <w:r>
        <w:rPr>
          <w:rFonts w:cstheme="minorHAnsi"/>
        </w:rPr>
        <w:t>e</w:t>
      </w:r>
      <w:r w:rsidRPr="00240099">
        <w:rPr>
          <w:rFonts w:cstheme="minorHAnsi"/>
        </w:rPr>
        <w:t xml:space="preserve">nto e abuso; </w:t>
      </w:r>
    </w:p>
    <w:p w:rsidR="00451387" w:rsidRDefault="00451387" w:rsidP="00D52790">
      <w:pPr>
        <w:pStyle w:val="Paragrafoelenco"/>
        <w:numPr>
          <w:ilvl w:val="0"/>
          <w:numId w:val="3"/>
        </w:numPr>
        <w:spacing w:after="0" w:line="20" w:lineRule="atLeast"/>
        <w:jc w:val="both"/>
        <w:rPr>
          <w:rFonts w:cstheme="minorHAnsi"/>
        </w:rPr>
      </w:pPr>
      <w:proofErr w:type="gramStart"/>
      <w:r w:rsidRPr="00240099">
        <w:rPr>
          <w:rFonts w:cstheme="minorHAnsi"/>
        </w:rPr>
        <w:t>la</w:t>
      </w:r>
      <w:proofErr w:type="gramEnd"/>
      <w:r w:rsidRPr="00240099">
        <w:rPr>
          <w:rFonts w:cstheme="minorHAnsi"/>
        </w:rPr>
        <w:t xml:space="preserve"> consulenza cd il supporto ai genitori di bambini e ragazzi con disabilità, in relazione ai processi di inclusione scolastica c sociale cd ai servizi che sostengono il lavoro di cura a carico della famiglia; </w:t>
      </w:r>
    </w:p>
    <w:p w:rsidR="00451387" w:rsidRDefault="00451387" w:rsidP="00D52790">
      <w:pPr>
        <w:pStyle w:val="Paragrafoelenco"/>
        <w:numPr>
          <w:ilvl w:val="0"/>
          <w:numId w:val="3"/>
        </w:numPr>
        <w:spacing w:after="0" w:line="20" w:lineRule="atLeast"/>
        <w:jc w:val="both"/>
        <w:rPr>
          <w:rFonts w:cstheme="minorHAnsi"/>
        </w:rPr>
      </w:pPr>
      <w:proofErr w:type="gramStart"/>
      <w:r w:rsidRPr="00240099">
        <w:rPr>
          <w:rFonts w:cstheme="minorHAnsi"/>
        </w:rPr>
        <w:t>l'informazione</w:t>
      </w:r>
      <w:proofErr w:type="gramEnd"/>
      <w:r w:rsidRPr="00240099">
        <w:rPr>
          <w:rFonts w:cstheme="minorHAnsi"/>
        </w:rPr>
        <w:t xml:space="preserve"> c l'orientamento circa la tutela dei diritti c l'inclusione sociale e lavorativa delle persone</w:t>
      </w:r>
      <w:r>
        <w:rPr>
          <w:rFonts w:cstheme="minorHAnsi"/>
        </w:rPr>
        <w:t xml:space="preserve"> a</w:t>
      </w:r>
      <w:r w:rsidRPr="00240099">
        <w:rPr>
          <w:rFonts w:cstheme="minorHAnsi"/>
        </w:rPr>
        <w:t>dult</w:t>
      </w:r>
      <w:r>
        <w:rPr>
          <w:rFonts w:cstheme="minorHAnsi"/>
        </w:rPr>
        <w:t>e</w:t>
      </w:r>
      <w:r w:rsidRPr="00240099">
        <w:rPr>
          <w:rFonts w:cstheme="minorHAnsi"/>
        </w:rPr>
        <w:t xml:space="preserve"> con disabilità; </w:t>
      </w:r>
    </w:p>
    <w:p w:rsidR="00451387" w:rsidRPr="00240099" w:rsidRDefault="00451387" w:rsidP="00D52790">
      <w:pPr>
        <w:pStyle w:val="Paragrafoelenco"/>
        <w:numPr>
          <w:ilvl w:val="0"/>
          <w:numId w:val="3"/>
        </w:numPr>
        <w:spacing w:after="0" w:line="20" w:lineRule="atLeast"/>
        <w:jc w:val="both"/>
        <w:rPr>
          <w:rFonts w:cstheme="minorHAnsi"/>
        </w:rPr>
      </w:pPr>
      <w:proofErr w:type="gramStart"/>
      <w:r w:rsidRPr="00240099">
        <w:rPr>
          <w:rFonts w:cstheme="minorHAnsi"/>
        </w:rPr>
        <w:t>l'accoglienza</w:t>
      </w:r>
      <w:proofErr w:type="gramEnd"/>
      <w:r w:rsidRPr="00240099">
        <w:rPr>
          <w:rFonts w:cstheme="minorHAnsi"/>
        </w:rPr>
        <w:t xml:space="preserve">, l'informazione c l'orientamento delle famiglie immigrate al fine dì garantire loro il diritto all'accesso e alla fruibilità dei servizi sociali c sanitari del territorio c di migliorare i processi di inclusione sociale. </w:t>
      </w:r>
    </w:p>
    <w:p w:rsidR="00451387" w:rsidRPr="00E46EF1" w:rsidRDefault="00451387" w:rsidP="00451387">
      <w:pPr>
        <w:spacing w:after="0" w:line="20" w:lineRule="atLeast"/>
        <w:jc w:val="both"/>
        <w:rPr>
          <w:rFonts w:cstheme="minorHAnsi"/>
        </w:rPr>
      </w:pPr>
      <w:r w:rsidRPr="00E46EF1">
        <w:rPr>
          <w:rFonts w:cstheme="minorHAnsi"/>
        </w:rPr>
        <w:t>La strutturazione di uno spazio per la famiglia all'interno dei Consultori, in rete con la progettualità dei Servizi Sociali dei Comuni, amplierebbe l'offerta dei servizi per la famiglia con attività organiche di supporto alle relazioni di coppia cd a quelle genitoriali, volte a promuovere il benessere oltre che a prevenire situazio</w:t>
      </w:r>
      <w:r>
        <w:rPr>
          <w:rFonts w:cstheme="minorHAnsi"/>
        </w:rPr>
        <w:t>ni</w:t>
      </w:r>
      <w:r w:rsidRPr="00E46EF1">
        <w:rPr>
          <w:rFonts w:cstheme="minorHAnsi"/>
        </w:rPr>
        <w:t xml:space="preserve"> di disagio. </w:t>
      </w:r>
    </w:p>
    <w:p w:rsidR="00451387" w:rsidRPr="00E46EF1" w:rsidRDefault="00451387" w:rsidP="00451387">
      <w:pPr>
        <w:spacing w:after="0" w:line="20" w:lineRule="atLeast"/>
        <w:jc w:val="both"/>
        <w:rPr>
          <w:rFonts w:cstheme="minorHAnsi"/>
        </w:rPr>
      </w:pPr>
      <w:r w:rsidRPr="00E46EF1">
        <w:rPr>
          <w:rFonts w:cstheme="minorHAnsi"/>
        </w:rPr>
        <w:t xml:space="preserve">Le aree di azione, in un'ottica multidisciplinare, possono essere le seguenti; </w:t>
      </w:r>
    </w:p>
    <w:p w:rsidR="00451387" w:rsidRPr="00E46EF1" w:rsidRDefault="00451387" w:rsidP="00451387">
      <w:pPr>
        <w:spacing w:after="0" w:line="20" w:lineRule="atLeast"/>
        <w:jc w:val="both"/>
        <w:rPr>
          <w:rFonts w:cstheme="minorHAnsi"/>
        </w:rPr>
      </w:pPr>
      <w:r w:rsidRPr="00E46EF1">
        <w:rPr>
          <w:rFonts w:cstheme="minorHAnsi"/>
        </w:rPr>
        <w:t>D sostegno alla ge</w:t>
      </w:r>
      <w:r>
        <w:rPr>
          <w:rFonts w:cstheme="minorHAnsi"/>
        </w:rPr>
        <w:t>ni</w:t>
      </w:r>
      <w:r w:rsidRPr="00E46EF1">
        <w:rPr>
          <w:rFonts w:cstheme="minorHAnsi"/>
        </w:rPr>
        <w:t xml:space="preserve">torialità nelle fasi iniziali, tramite i percorsi nascita con il coinvolgimento di madri e padri; </w:t>
      </w:r>
    </w:p>
    <w:p w:rsidR="00451387" w:rsidRPr="00E46EF1" w:rsidRDefault="00451387" w:rsidP="00451387">
      <w:pPr>
        <w:spacing w:after="0" w:line="20" w:lineRule="atLeast"/>
        <w:jc w:val="both"/>
        <w:rPr>
          <w:rFonts w:cstheme="minorHAnsi"/>
        </w:rPr>
      </w:pPr>
      <w:r w:rsidRPr="00E46EF1">
        <w:rPr>
          <w:rFonts w:cstheme="minorHAnsi"/>
        </w:rPr>
        <w:lastRenderedPageBreak/>
        <w:t xml:space="preserve">O sostegno alla genitorialità nei passaggi critici del ciclo di vita (adolescenza </w:t>
      </w:r>
      <w:proofErr w:type="gramStart"/>
      <w:r w:rsidRPr="00E46EF1">
        <w:rPr>
          <w:rFonts w:cstheme="minorHAnsi"/>
        </w:rPr>
        <w:t>... )</w:t>
      </w:r>
      <w:proofErr w:type="gramEnd"/>
      <w:r w:rsidRPr="00E46EF1">
        <w:rPr>
          <w:rFonts w:cstheme="minorHAnsi"/>
        </w:rPr>
        <w:t xml:space="preserve"> con spazi di ascolto e supporto sociale e psicologico e gruppi di mutuo aiuto; </w:t>
      </w:r>
    </w:p>
    <w:p w:rsidR="00451387" w:rsidRPr="00E46EF1" w:rsidRDefault="00451387" w:rsidP="00451387">
      <w:pPr>
        <w:spacing w:after="0" w:line="20" w:lineRule="atLeast"/>
        <w:jc w:val="both"/>
        <w:rPr>
          <w:rFonts w:cstheme="minorHAnsi"/>
        </w:rPr>
      </w:pPr>
      <w:r w:rsidRPr="00E46EF1">
        <w:rPr>
          <w:rFonts w:cstheme="minorHAnsi"/>
        </w:rPr>
        <w:t xml:space="preserve">O sostegno alla genitorialità in fase di crisi con percorsi di mediazione familiare; </w:t>
      </w:r>
    </w:p>
    <w:p w:rsidR="00451387" w:rsidRPr="00E46EF1" w:rsidRDefault="00451387" w:rsidP="00451387">
      <w:pPr>
        <w:spacing w:after="0" w:line="20" w:lineRule="atLeast"/>
        <w:jc w:val="both"/>
        <w:rPr>
          <w:rFonts w:cstheme="minorHAnsi"/>
        </w:rPr>
      </w:pPr>
      <w:r w:rsidRPr="00E46EF1">
        <w:rPr>
          <w:rFonts w:cstheme="minorHAnsi"/>
        </w:rPr>
        <w:t xml:space="preserve">O sostegno alla genitorialità in fasi di complessi cambiamenti quali l'affidamento e l'adozione con spazi di ascolto e supporto sociale e psicologico e la conduzione di gruppi; </w:t>
      </w:r>
    </w:p>
    <w:p w:rsidR="00451387" w:rsidRPr="00E46EF1" w:rsidRDefault="00451387" w:rsidP="00451387">
      <w:pPr>
        <w:spacing w:after="0" w:line="20" w:lineRule="atLeast"/>
        <w:jc w:val="both"/>
        <w:rPr>
          <w:rFonts w:cstheme="minorHAnsi"/>
        </w:rPr>
      </w:pPr>
      <w:r w:rsidRPr="00E46EF1">
        <w:rPr>
          <w:rFonts w:cstheme="minorHAnsi"/>
        </w:rPr>
        <w:t xml:space="preserve">O sostegno alla coniugalità con interventi </w:t>
      </w:r>
      <w:proofErr w:type="gramStart"/>
      <w:r w:rsidRPr="00E46EF1">
        <w:rPr>
          <w:rFonts w:cstheme="minorHAnsi"/>
        </w:rPr>
        <w:t>soci</w:t>
      </w:r>
      <w:r>
        <w:rPr>
          <w:rFonts w:cstheme="minorHAnsi"/>
        </w:rPr>
        <w:t xml:space="preserve">ali </w:t>
      </w:r>
      <w:r w:rsidRPr="00E46EF1">
        <w:rPr>
          <w:rFonts w:cstheme="minorHAnsi"/>
        </w:rPr>
        <w:t xml:space="preserve"> integrati</w:t>
      </w:r>
      <w:proofErr w:type="gramEnd"/>
      <w:r w:rsidRPr="00E46EF1">
        <w:rPr>
          <w:rFonts w:cstheme="minorHAnsi"/>
        </w:rPr>
        <w:t xml:space="preserve"> dalla consulenza legale stragiudiziale. </w:t>
      </w:r>
    </w:p>
    <w:p w:rsidR="00451387" w:rsidRPr="00E46EF1" w:rsidRDefault="00451387" w:rsidP="00451387">
      <w:pPr>
        <w:spacing w:after="0" w:line="20" w:lineRule="atLeast"/>
        <w:jc w:val="both"/>
        <w:rPr>
          <w:rFonts w:cstheme="minorHAnsi"/>
        </w:rPr>
      </w:pPr>
      <w:r w:rsidRPr="00E46EF1">
        <w:rPr>
          <w:rFonts w:cstheme="minorHAnsi"/>
        </w:rPr>
        <w:t xml:space="preserve">Per le attività sopra delineate occorre prevedere oltre alle figure professionali che operano istituzionalmente nella struttura consultoriale, la collaborazione di professionisti quali il mediatore familiare ed illegale, come definito nelle Linee Guida Regionali per i Consultori Familiari. </w:t>
      </w:r>
    </w:p>
    <w:p w:rsidR="00451387" w:rsidRPr="00E46EF1" w:rsidRDefault="00451387" w:rsidP="00451387">
      <w:pPr>
        <w:spacing w:after="0" w:line="20" w:lineRule="atLeast"/>
        <w:jc w:val="both"/>
        <w:rPr>
          <w:rFonts w:cstheme="minorHAnsi"/>
        </w:rPr>
      </w:pPr>
      <w:r w:rsidRPr="00E46EF1">
        <w:rPr>
          <w:rFonts w:cstheme="minorHAnsi"/>
        </w:rPr>
        <w:t xml:space="preserve">l. Finalità </w:t>
      </w:r>
    </w:p>
    <w:p w:rsidR="00451387" w:rsidRDefault="00451387" w:rsidP="00451387">
      <w:pPr>
        <w:spacing w:after="0" w:line="20" w:lineRule="atLeast"/>
        <w:jc w:val="both"/>
        <w:rPr>
          <w:rFonts w:cstheme="minorHAnsi"/>
        </w:rPr>
      </w:pPr>
      <w:r w:rsidRPr="00E46EF1">
        <w:rPr>
          <w:rFonts w:cstheme="minorHAnsi"/>
        </w:rPr>
        <w:t xml:space="preserve">La famiglia rappresenta il luogo privilegiato di crescita educativa, un contenitore di risorse e di potenzialità in un contesto in continuo divenire. </w:t>
      </w:r>
    </w:p>
    <w:p w:rsidR="00451387" w:rsidRDefault="00451387" w:rsidP="00451387">
      <w:pPr>
        <w:spacing w:after="0" w:line="20" w:lineRule="atLeast"/>
        <w:jc w:val="both"/>
        <w:rPr>
          <w:rFonts w:cstheme="minorHAnsi"/>
        </w:rPr>
      </w:pPr>
      <w:r w:rsidRPr="00E46EF1">
        <w:rPr>
          <w:rFonts w:cstheme="minorHAnsi"/>
        </w:rPr>
        <w:t xml:space="preserve">Nella società attuale in rapida evoluzione che pone in discussione ruoli, valori, composizione e identità culturale, la coppia si può trovare ad affrontare difficoltà connesse al ruolo coniugale e/ o genitoriale, non sempre possedendo le capacità e gli strumenti con cui gestire le problematiche. </w:t>
      </w:r>
    </w:p>
    <w:p w:rsidR="00451387" w:rsidRDefault="00451387" w:rsidP="00451387">
      <w:pPr>
        <w:spacing w:after="0" w:line="20" w:lineRule="atLeast"/>
        <w:jc w:val="both"/>
        <w:rPr>
          <w:rFonts w:cstheme="minorHAnsi"/>
        </w:rPr>
      </w:pPr>
      <w:r w:rsidRPr="00E46EF1">
        <w:rPr>
          <w:rFonts w:cstheme="minorHAnsi"/>
        </w:rPr>
        <w:t xml:space="preserve">Ciò può rendere la famiglia più fragile, un punto di convergenza di tensioni e conflitti che ne determinano </w:t>
      </w:r>
      <w:proofErr w:type="gramStart"/>
      <w:r w:rsidRPr="00E46EF1">
        <w:rPr>
          <w:rFonts w:cstheme="minorHAnsi"/>
        </w:rPr>
        <w:t>instabilità ,con</w:t>
      </w:r>
      <w:proofErr w:type="gramEnd"/>
      <w:r w:rsidRPr="00E46EF1">
        <w:rPr>
          <w:rFonts w:cstheme="minorHAnsi"/>
        </w:rPr>
        <w:t xml:space="preserve"> tutto il carico di solitudine che può influire negativamente sulla possibilità dei singoli componenti di crescere e realizzarsi nello scambio interp</w:t>
      </w:r>
      <w:r>
        <w:rPr>
          <w:rFonts w:cstheme="minorHAnsi"/>
        </w:rPr>
        <w:t>e</w:t>
      </w:r>
      <w:r w:rsidRPr="00E46EF1">
        <w:rPr>
          <w:rFonts w:cstheme="minorHAnsi"/>
        </w:rPr>
        <w:t xml:space="preserve">rsonale. La presenza di conflitti distruttivi nella coppia coniugale che va in crisi compromette anche la genitorialità. </w:t>
      </w:r>
    </w:p>
    <w:p w:rsidR="00451387" w:rsidRPr="00E46EF1" w:rsidRDefault="00451387" w:rsidP="00451387">
      <w:pPr>
        <w:spacing w:after="0" w:line="20" w:lineRule="atLeast"/>
        <w:jc w:val="both"/>
        <w:rPr>
          <w:rFonts w:cstheme="minorHAnsi"/>
        </w:rPr>
      </w:pPr>
      <w:r w:rsidRPr="00E46EF1">
        <w:rPr>
          <w:rFonts w:cstheme="minorHAnsi"/>
        </w:rPr>
        <w:t xml:space="preserve">Le </w:t>
      </w:r>
      <w:proofErr w:type="gramStart"/>
      <w:r w:rsidRPr="00E46EF1">
        <w:rPr>
          <w:rFonts w:cstheme="minorHAnsi"/>
        </w:rPr>
        <w:t>incomprensio</w:t>
      </w:r>
      <w:r>
        <w:rPr>
          <w:rFonts w:cstheme="minorHAnsi"/>
        </w:rPr>
        <w:t xml:space="preserve">ni </w:t>
      </w:r>
      <w:r w:rsidRPr="00E46EF1">
        <w:rPr>
          <w:rFonts w:cstheme="minorHAnsi"/>
        </w:rPr>
        <w:t xml:space="preserve"> tra</w:t>
      </w:r>
      <w:proofErr w:type="gramEnd"/>
      <w:r w:rsidRPr="00E46EF1">
        <w:rPr>
          <w:rFonts w:cstheme="minorHAnsi"/>
        </w:rPr>
        <w:t xml:space="preserve"> coniugi determinano spesso sofferenza nei figli. </w:t>
      </w:r>
    </w:p>
    <w:p w:rsidR="00451387" w:rsidRDefault="00451387" w:rsidP="00451387">
      <w:pPr>
        <w:spacing w:after="0" w:line="20" w:lineRule="atLeast"/>
        <w:jc w:val="both"/>
        <w:rPr>
          <w:rFonts w:cstheme="minorHAnsi"/>
        </w:rPr>
      </w:pPr>
      <w:r w:rsidRPr="00E46EF1">
        <w:rPr>
          <w:rFonts w:cstheme="minorHAnsi"/>
        </w:rPr>
        <w:t xml:space="preserve">Sempre più spesso gli operatori consultoriali si trovano ad affrontare le problematiche legate alle difficoltà connesse al rapporto coniugale e genitoriale. </w:t>
      </w:r>
    </w:p>
    <w:p w:rsidR="00451387" w:rsidRPr="00E46EF1" w:rsidRDefault="00451387" w:rsidP="00451387">
      <w:pPr>
        <w:spacing w:after="0" w:line="20" w:lineRule="atLeast"/>
        <w:jc w:val="both"/>
        <w:rPr>
          <w:rFonts w:cstheme="minorHAnsi"/>
        </w:rPr>
      </w:pPr>
      <w:r w:rsidRPr="00E46EF1">
        <w:rPr>
          <w:rFonts w:cstheme="minorHAnsi"/>
        </w:rPr>
        <w:t xml:space="preserve">Essi sono chiamati a misurarsi con i cambiamenti socio·culturali (separazioni, famiglie monogenitoriali, unioni di fatto, famiglie ricostituite, nuove parentele, famiglie miste culturalmente ecc.) che rendono la famiglia odierna lucana una realtà da incoraggiare e sostenere, da promuovere e arricchire, pena l'isolamento crescente, il malessere diffuso, il disagio specie dei minori. </w:t>
      </w:r>
    </w:p>
    <w:p w:rsidR="00451387" w:rsidRPr="00E46EF1" w:rsidRDefault="00451387" w:rsidP="00451387">
      <w:pPr>
        <w:spacing w:after="0" w:line="20" w:lineRule="atLeast"/>
        <w:jc w:val="both"/>
        <w:rPr>
          <w:rFonts w:cstheme="minorHAnsi"/>
        </w:rPr>
      </w:pPr>
      <w:r w:rsidRPr="00E46EF1">
        <w:rPr>
          <w:rFonts w:cstheme="minorHAnsi"/>
        </w:rPr>
        <w:t xml:space="preserve">Lo Spazio Famiglia ha la finalità: </w:t>
      </w:r>
    </w:p>
    <w:p w:rsidR="00451387" w:rsidRPr="00E46EF1" w:rsidRDefault="00451387" w:rsidP="00451387">
      <w:pPr>
        <w:spacing w:after="0" w:line="20" w:lineRule="atLeast"/>
        <w:jc w:val="both"/>
        <w:rPr>
          <w:rFonts w:cstheme="minorHAnsi"/>
        </w:rPr>
      </w:pPr>
      <w:r w:rsidRPr="00E46EF1">
        <w:rPr>
          <w:rFonts w:cstheme="minorHAnsi"/>
        </w:rPr>
        <w:t xml:space="preserve">-di contribuire alla riorganizzazione e al potenziamento dei servizi dei Consultori Familiari a favore della famiglia; </w:t>
      </w:r>
    </w:p>
    <w:p w:rsidR="00451387" w:rsidRPr="00E46EF1" w:rsidRDefault="00451387" w:rsidP="00451387">
      <w:pPr>
        <w:spacing w:after="0" w:line="20" w:lineRule="atLeast"/>
        <w:jc w:val="both"/>
        <w:rPr>
          <w:rFonts w:cstheme="minorHAnsi"/>
        </w:rPr>
      </w:pPr>
      <w:r w:rsidRPr="00E46EF1">
        <w:rPr>
          <w:rFonts w:cstheme="minorHAnsi"/>
        </w:rPr>
        <w:t>-di rispondere ai b</w:t>
      </w:r>
      <w:r>
        <w:rPr>
          <w:rFonts w:cstheme="minorHAnsi"/>
        </w:rPr>
        <w:t>i</w:t>
      </w:r>
      <w:r w:rsidRPr="00E46EF1">
        <w:rPr>
          <w:rFonts w:cstheme="minorHAnsi"/>
        </w:rPr>
        <w:t xml:space="preserve">sogni della famiglia sia sotto il profilo delle capacità genitoriali che delle relazioni intrafamiliari, operando sulle risorse dci componenti della coppia per potenziare le capacità di gestione delle problematiche di coppia e di rapporto con i figli, per implementare le potenzialità educative dei genitori; </w:t>
      </w:r>
    </w:p>
    <w:p w:rsidR="00451387" w:rsidRDefault="00451387" w:rsidP="00451387">
      <w:pPr>
        <w:spacing w:after="0" w:line="20" w:lineRule="atLeast"/>
        <w:jc w:val="both"/>
        <w:rPr>
          <w:rFonts w:cstheme="minorHAnsi"/>
        </w:rPr>
      </w:pPr>
      <w:r w:rsidRPr="00E46EF1">
        <w:rPr>
          <w:rFonts w:cstheme="minorHAnsi"/>
        </w:rPr>
        <w:t xml:space="preserve">-di potenziare il Servizio di MEDIAZIONE FAMILIARE presso ciascuno dci consultori familiari di riferimento con équipe specificamente dedicata per la risoluzione pacifica dei conflitti intra e interfamiliari, al fine di tutelare i minori. </w:t>
      </w:r>
    </w:p>
    <w:p w:rsidR="00451387" w:rsidRPr="00E46EF1" w:rsidRDefault="00451387" w:rsidP="00451387">
      <w:pPr>
        <w:spacing w:after="0" w:line="20" w:lineRule="atLeast"/>
        <w:jc w:val="both"/>
        <w:rPr>
          <w:rFonts w:cstheme="minorHAnsi"/>
        </w:rPr>
      </w:pPr>
      <w:r w:rsidRPr="00E46EF1">
        <w:rPr>
          <w:rFonts w:cstheme="minorHAnsi"/>
        </w:rPr>
        <w:t xml:space="preserve">Lo spazio sarà punto di riferimento, per i Servizi SocioAssistenziali territoriali, per il Tribunale Ordinario e dei </w:t>
      </w:r>
      <w:r>
        <w:rPr>
          <w:rFonts w:cstheme="minorHAnsi"/>
        </w:rPr>
        <w:t>mi</w:t>
      </w:r>
      <w:r w:rsidRPr="00E46EF1">
        <w:rPr>
          <w:rFonts w:cstheme="minorHAnsi"/>
        </w:rPr>
        <w:t>norenni, per le Parrocchie e per il Volontariato Sociale. Lo Spazio di Mediazione Familiare offrirà un luogo neutrale di incontro, riservato e autonom</w:t>
      </w:r>
      <w:r>
        <w:rPr>
          <w:rFonts w:cstheme="minorHAnsi"/>
        </w:rPr>
        <w:t>o rispetto agli altri servizi.</w:t>
      </w:r>
    </w:p>
    <w:p w:rsidR="00451387" w:rsidRPr="00E46EF1" w:rsidRDefault="00451387" w:rsidP="00451387">
      <w:pPr>
        <w:spacing w:after="0" w:line="20" w:lineRule="atLeast"/>
        <w:jc w:val="both"/>
        <w:rPr>
          <w:rFonts w:cstheme="minorHAnsi"/>
        </w:rPr>
      </w:pPr>
      <w:r w:rsidRPr="00E46EF1">
        <w:rPr>
          <w:rFonts w:cstheme="minorHAnsi"/>
        </w:rPr>
        <w:t xml:space="preserve">Le finalità dei Centri per la famiglia dovranno attuarsi in integrazione con le attività dei servizi sociali cd educativi territoriali e specialistici, finalizzate alla prevenzione del disagio familiare e infantile e alla tutela dei bambini e dei ragazzi. Si dovrà inoltre valorizzare l'azione del volontariato c dell'associazionismo familiare. Dovrà essere garantita la massima accessibilità ai Centri ad ogni famiglia. </w:t>
      </w:r>
    </w:p>
    <w:p w:rsidR="00451387" w:rsidRPr="00E46EF1" w:rsidRDefault="00451387" w:rsidP="00451387">
      <w:pPr>
        <w:spacing w:after="0" w:line="20" w:lineRule="atLeast"/>
        <w:jc w:val="both"/>
        <w:rPr>
          <w:rFonts w:cstheme="minorHAnsi"/>
        </w:rPr>
      </w:pPr>
      <w:r w:rsidRPr="00E46EF1">
        <w:rPr>
          <w:rFonts w:cstheme="minorHAnsi"/>
        </w:rPr>
        <w:t xml:space="preserve">MEDIAZIONE FAMILIARE </w:t>
      </w:r>
    </w:p>
    <w:p w:rsidR="00451387" w:rsidRDefault="00451387" w:rsidP="00451387">
      <w:pPr>
        <w:spacing w:after="0" w:line="20" w:lineRule="atLeast"/>
        <w:jc w:val="both"/>
        <w:rPr>
          <w:rFonts w:cstheme="minorHAnsi"/>
        </w:rPr>
      </w:pPr>
      <w:r w:rsidRPr="00E46EF1">
        <w:rPr>
          <w:rFonts w:cstheme="minorHAnsi"/>
        </w:rPr>
        <w:t xml:space="preserve">La Mediazione Familiare è un percorso per la riorganizzazione delle relazioni familiari in vista o in seguito alla separazione o al divorzio. </w:t>
      </w:r>
    </w:p>
    <w:p w:rsidR="00451387" w:rsidRPr="00E46EF1" w:rsidRDefault="00451387" w:rsidP="00451387">
      <w:pPr>
        <w:spacing w:after="0" w:line="20" w:lineRule="atLeast"/>
        <w:jc w:val="both"/>
        <w:rPr>
          <w:rFonts w:cstheme="minorHAnsi"/>
        </w:rPr>
      </w:pPr>
      <w:r w:rsidRPr="00E46EF1">
        <w:rPr>
          <w:rFonts w:cstheme="minorHAnsi"/>
        </w:rPr>
        <w:t>Protagonisti della mediazione familiare sono due separati o separandi che non riescono a trovare una modalità di separazione sufficientemente adeguat</w:t>
      </w:r>
      <w:r>
        <w:rPr>
          <w:rFonts w:cstheme="minorHAnsi"/>
        </w:rPr>
        <w:t>i</w:t>
      </w:r>
      <w:r w:rsidRPr="00E46EF1">
        <w:rPr>
          <w:rFonts w:cstheme="minorHAnsi"/>
        </w:rPr>
        <w:t xml:space="preserve"> per entrambi e una terza persona, il mediatore, che si impegna ad aiutare le parti a risolvere le questioni. </w:t>
      </w:r>
    </w:p>
    <w:p w:rsidR="00451387" w:rsidRDefault="00451387" w:rsidP="00451387">
      <w:pPr>
        <w:spacing w:after="0" w:line="20" w:lineRule="atLeast"/>
        <w:jc w:val="both"/>
        <w:rPr>
          <w:rFonts w:cstheme="minorHAnsi"/>
        </w:rPr>
      </w:pPr>
      <w:r w:rsidRPr="00E46EF1">
        <w:rPr>
          <w:rFonts w:cstheme="minorHAnsi"/>
        </w:rPr>
        <w:t xml:space="preserve">Il Mediatore familiare è un terzo neutrale e con una formazione specifica che, nella garanzia del segreto professionale cd in autonomia dall'ambito giudiziario, si adopera affinché i componenti della ex-coppia elaborino in prima persona un programma di separazione/ divorzio soddisfacente per sé e per i figli. </w:t>
      </w:r>
    </w:p>
    <w:p w:rsidR="00451387" w:rsidRPr="00E46EF1" w:rsidRDefault="00451387" w:rsidP="00451387">
      <w:pPr>
        <w:spacing w:after="0" w:line="20" w:lineRule="atLeast"/>
        <w:jc w:val="both"/>
        <w:rPr>
          <w:rFonts w:cstheme="minorHAnsi"/>
        </w:rPr>
      </w:pPr>
      <w:r w:rsidRPr="00E46EF1">
        <w:rPr>
          <w:rFonts w:cstheme="minorHAnsi"/>
        </w:rPr>
        <w:t xml:space="preserve">La funzione del mediatore è dunque quella di guidare la coppia verso una stabilità ed un equilibrio psicoaffettivo di fronte alla rottura del proprio rapporto. </w:t>
      </w:r>
    </w:p>
    <w:p w:rsidR="00451387" w:rsidRPr="00E46EF1" w:rsidRDefault="00451387" w:rsidP="00451387">
      <w:pPr>
        <w:spacing w:after="0" w:line="20" w:lineRule="atLeast"/>
        <w:jc w:val="both"/>
        <w:rPr>
          <w:rFonts w:cstheme="minorHAnsi"/>
        </w:rPr>
      </w:pPr>
      <w:r w:rsidRPr="00E46EF1">
        <w:rPr>
          <w:rFonts w:cstheme="minorHAnsi"/>
        </w:rPr>
        <w:lastRenderedPageBreak/>
        <w:t xml:space="preserve">La mediazione familiare, più in generale, fornisce un servizio qualificato che possa venire incontro alle esigenze dei vari protagonisti della separazione: </w:t>
      </w:r>
    </w:p>
    <w:p w:rsidR="00451387" w:rsidRPr="00E46EF1" w:rsidRDefault="00451387" w:rsidP="00451387">
      <w:pPr>
        <w:spacing w:after="0" w:line="20" w:lineRule="atLeast"/>
        <w:jc w:val="both"/>
        <w:rPr>
          <w:rFonts w:cstheme="minorHAnsi"/>
        </w:rPr>
      </w:pPr>
      <w:r w:rsidRPr="00E46EF1">
        <w:rPr>
          <w:rFonts w:cstheme="minorHAnsi"/>
        </w:rPr>
        <w:t xml:space="preserve">• l'esigenza dei figli di poter contare su due genitori che pur separati coordinano la loro funzione educativa; </w:t>
      </w:r>
    </w:p>
    <w:p w:rsidR="00451387" w:rsidRPr="00E46EF1" w:rsidRDefault="00451387" w:rsidP="00451387">
      <w:pPr>
        <w:spacing w:after="0" w:line="20" w:lineRule="atLeast"/>
        <w:jc w:val="both"/>
        <w:rPr>
          <w:rFonts w:cstheme="minorHAnsi"/>
        </w:rPr>
      </w:pPr>
      <w:r w:rsidRPr="00E46EF1">
        <w:rPr>
          <w:rFonts w:cstheme="minorHAnsi"/>
        </w:rPr>
        <w:t>• l'esigenza dei genitori di poter usufruire di uno spazio di elaborazione de</w:t>
      </w:r>
      <w:r>
        <w:rPr>
          <w:rFonts w:cstheme="minorHAnsi"/>
        </w:rPr>
        <w:t>ll</w:t>
      </w:r>
      <w:r w:rsidRPr="00E46EF1">
        <w:rPr>
          <w:rFonts w:cstheme="minorHAnsi"/>
        </w:rPr>
        <w:t xml:space="preserve">a propria vicenda separativa in chiave di ricostruzione e riparazione; </w:t>
      </w:r>
    </w:p>
    <w:p w:rsidR="00451387" w:rsidRPr="00E46EF1" w:rsidRDefault="00451387" w:rsidP="00451387">
      <w:pPr>
        <w:spacing w:after="0" w:line="20" w:lineRule="atLeast"/>
        <w:jc w:val="both"/>
        <w:rPr>
          <w:rFonts w:cstheme="minorHAnsi"/>
        </w:rPr>
      </w:pPr>
      <w:r w:rsidRPr="00E46EF1">
        <w:rPr>
          <w:rFonts w:cstheme="minorHAnsi"/>
        </w:rPr>
        <w:t xml:space="preserve">• la possibilità del giudice che si occupa di separazione di utilizzare in un intervento specialistico al di fuori del giudizio in fase preventiva o, sospendendo le procedure giudiziarie, offrire una nuova opportunità agli ex coniugi, quando si è creata una storia di conflitto cronicamente agito per le vie legali; </w:t>
      </w:r>
    </w:p>
    <w:p w:rsidR="00451387" w:rsidRPr="00E46EF1" w:rsidRDefault="00451387" w:rsidP="00451387">
      <w:pPr>
        <w:spacing w:after="0" w:line="20" w:lineRule="atLeast"/>
        <w:jc w:val="both"/>
        <w:rPr>
          <w:rFonts w:cstheme="minorHAnsi"/>
        </w:rPr>
      </w:pPr>
      <w:r w:rsidRPr="00E46EF1">
        <w:rPr>
          <w:rFonts w:cstheme="minorHAnsi"/>
        </w:rPr>
        <w:t xml:space="preserve">• l'esigenza di molti avvocati di poter assistere i propri clienti in condizioni meno critiche di emotività e più garantite dal punto di vista del benessere dei minori sia nelle fasi iniziali della separazione che in quelle successive; </w:t>
      </w:r>
    </w:p>
    <w:p w:rsidR="00451387" w:rsidRPr="00E46EF1" w:rsidRDefault="00451387" w:rsidP="00451387">
      <w:pPr>
        <w:spacing w:after="0" w:line="20" w:lineRule="atLeast"/>
        <w:jc w:val="both"/>
        <w:rPr>
          <w:rFonts w:cstheme="minorHAnsi"/>
        </w:rPr>
      </w:pPr>
      <w:r w:rsidRPr="00E46EF1">
        <w:rPr>
          <w:rFonts w:cstheme="minorHAnsi"/>
        </w:rPr>
        <w:t xml:space="preserve">• l'esigenza della collettività di vedere ridotti gli elevatissimi costi psicologici ed econonuc1 (individuali c sociali) dell'alta conflittualità da cattiva separazione. </w:t>
      </w:r>
    </w:p>
    <w:p w:rsidR="00451387" w:rsidRPr="00E46EF1" w:rsidRDefault="00451387" w:rsidP="00451387">
      <w:pPr>
        <w:spacing w:after="0" w:line="20" w:lineRule="atLeast"/>
        <w:jc w:val="both"/>
        <w:rPr>
          <w:rFonts w:cstheme="minorHAnsi"/>
        </w:rPr>
      </w:pPr>
      <w:r w:rsidRPr="00E46EF1">
        <w:rPr>
          <w:rFonts w:cstheme="minorHAnsi"/>
        </w:rPr>
        <w:t xml:space="preserve">La Mediazione Familiare si propone di affrontare gli eventuali problemi concreti che sorgono con la separazione/ divorzio, ossia la divisione dei beni, l'affidamento dci minori ed alla loro educazione, la determinazione delle contribuzioni a favore del coniuge e della prole, l'assegnazione della casa coniugale, gli accordi sui periodi di visita ai figli per il genitore non affidatario. </w:t>
      </w:r>
    </w:p>
    <w:p w:rsidR="00451387" w:rsidRPr="00E46EF1" w:rsidRDefault="00451387" w:rsidP="00451387">
      <w:pPr>
        <w:spacing w:after="0" w:line="20" w:lineRule="atLeast"/>
        <w:jc w:val="both"/>
        <w:rPr>
          <w:rFonts w:cstheme="minorHAnsi"/>
        </w:rPr>
      </w:pPr>
      <w:r w:rsidRPr="00E46EF1">
        <w:rPr>
          <w:rFonts w:cstheme="minorHAnsi"/>
        </w:rPr>
        <w:t xml:space="preserve">Il mediatore, da parte sua, non opera a livello dei contenuti o della gestione del conflitto, ma opera affinché i due componenti della coppia riescano a costruire un obiettivo terzo rispetto alle loro teorie personali, che sia al di sopra degli interessi egoistici del singolo. La mediazione familiare dovrebbe agire su un sistema "sano", ma disorganizzato, cosa che presuppone una presa di coscienza da parte dei membri della coppi.1 di essere coinvolti in alcune difficoltà, e che richiede ai due un'alta motivazione a collaborare per risolvere la disputa. </w:t>
      </w:r>
    </w:p>
    <w:p w:rsidR="00451387" w:rsidRPr="00E46EF1" w:rsidRDefault="00451387" w:rsidP="00451387">
      <w:pPr>
        <w:spacing w:after="0" w:line="20" w:lineRule="atLeast"/>
        <w:jc w:val="both"/>
        <w:rPr>
          <w:rFonts w:cstheme="minorHAnsi"/>
        </w:rPr>
      </w:pPr>
      <w:r w:rsidRPr="00E46EF1">
        <w:rPr>
          <w:rFonts w:cstheme="minorHAnsi"/>
        </w:rPr>
        <w:t>2. Bene</w:t>
      </w:r>
      <w:r>
        <w:rPr>
          <w:rFonts w:cstheme="minorHAnsi"/>
        </w:rPr>
        <w:t>fi</w:t>
      </w:r>
      <w:r w:rsidRPr="00E46EF1">
        <w:rPr>
          <w:rFonts w:cstheme="minorHAnsi"/>
        </w:rPr>
        <w:t xml:space="preserve">ciari e modalità di concessione dci contributi </w:t>
      </w:r>
    </w:p>
    <w:p w:rsidR="00451387" w:rsidRPr="00E46EF1" w:rsidRDefault="00451387" w:rsidP="00451387">
      <w:pPr>
        <w:spacing w:after="0" w:line="20" w:lineRule="atLeast"/>
        <w:jc w:val="both"/>
        <w:rPr>
          <w:rFonts w:cstheme="minorHAnsi"/>
        </w:rPr>
      </w:pPr>
      <w:r w:rsidRPr="00E46EF1">
        <w:rPr>
          <w:rFonts w:cstheme="minorHAnsi"/>
        </w:rPr>
        <w:t>Il Decreto del</w:t>
      </w:r>
      <w:r>
        <w:rPr>
          <w:rFonts w:cstheme="minorHAnsi"/>
        </w:rPr>
        <w:t xml:space="preserve"> Mi</w:t>
      </w:r>
      <w:r w:rsidRPr="00E46EF1">
        <w:rPr>
          <w:rFonts w:cstheme="minorHAnsi"/>
        </w:rPr>
        <w:t>nistro per la famiglia e le disabilità del</w:t>
      </w:r>
      <w:r w:rsidR="002E75F9">
        <w:rPr>
          <w:rFonts w:cstheme="minorHAnsi"/>
        </w:rPr>
        <w:t xml:space="preserve"> </w:t>
      </w:r>
      <w:proofErr w:type="gramStart"/>
      <w:r w:rsidRPr="00E46EF1">
        <w:rPr>
          <w:rFonts w:cstheme="minorHAnsi"/>
        </w:rPr>
        <w:t>30.04.2019  ha</w:t>
      </w:r>
      <w:proofErr w:type="gramEnd"/>
      <w:r w:rsidRPr="00E46EF1">
        <w:rPr>
          <w:rFonts w:cstheme="minorHAnsi"/>
        </w:rPr>
        <w:t xml:space="preserve"> assegnato alla regione Basilicata risorse finanziarie per € 184.500,00. </w:t>
      </w:r>
    </w:p>
    <w:p w:rsidR="00451387" w:rsidRDefault="00451387" w:rsidP="00451387">
      <w:pPr>
        <w:spacing w:after="0" w:line="20" w:lineRule="atLeast"/>
        <w:jc w:val="both"/>
        <w:rPr>
          <w:rFonts w:cstheme="minorHAnsi"/>
        </w:rPr>
      </w:pPr>
      <w:r w:rsidRPr="00E46EF1">
        <w:rPr>
          <w:rFonts w:cstheme="minorHAnsi"/>
        </w:rPr>
        <w:t>La Regione Basilicata assicura al contempo, il cofinanziamento nella misura del20</w:t>
      </w:r>
      <w:r>
        <w:rPr>
          <w:rFonts w:cstheme="minorHAnsi"/>
        </w:rPr>
        <w:t>%</w:t>
      </w:r>
      <w:r w:rsidRPr="00E46EF1">
        <w:rPr>
          <w:rFonts w:cstheme="minorHAnsi"/>
        </w:rPr>
        <w:t>, pari a € 36.900,00</w:t>
      </w:r>
      <w:r>
        <w:rPr>
          <w:rFonts w:cstheme="minorHAnsi"/>
        </w:rPr>
        <w:t>.</w:t>
      </w:r>
    </w:p>
    <w:p w:rsidR="00451387" w:rsidRPr="00E46EF1" w:rsidRDefault="00451387" w:rsidP="00451387">
      <w:pPr>
        <w:spacing w:after="0" w:line="20" w:lineRule="atLeast"/>
        <w:jc w:val="both"/>
        <w:rPr>
          <w:rFonts w:cstheme="minorHAnsi"/>
        </w:rPr>
      </w:pPr>
      <w:r w:rsidRPr="00E46EF1">
        <w:rPr>
          <w:rFonts w:cstheme="minorHAnsi"/>
        </w:rPr>
        <w:t xml:space="preserve">Con le suddette risorse si intende rafforzare una rete integrata dei Centri per le famiglie secondo le linee di indirizzo della programmazione regionale attraverso un progetto unico a dimensione regionale da realizzarsi nella rete dei Consultori Familiari aziendali, in piena integrazione con i Centri già attivi presso i Comuni di Potenza e Matera, prevedendo anche il potenziamento del Servizio di Mediazione Familiare. </w:t>
      </w:r>
    </w:p>
    <w:p w:rsidR="00451387" w:rsidRPr="00E46EF1" w:rsidRDefault="00451387" w:rsidP="00451387">
      <w:pPr>
        <w:spacing w:after="0" w:line="20" w:lineRule="atLeast"/>
        <w:jc w:val="both"/>
        <w:rPr>
          <w:rFonts w:cstheme="minorHAnsi"/>
        </w:rPr>
      </w:pPr>
      <w:r w:rsidRPr="00E46EF1">
        <w:rPr>
          <w:rFonts w:cstheme="minorHAnsi"/>
        </w:rPr>
        <w:t xml:space="preserve">Le attività dovranno essere opportunamente rendicontate dalle Aziende Sanitarie di Potenza - ASP e di Matera~ ASM per accedere al contributo, che sarà erogato all'avvenuto trasferimento delle risorse statali alla Regione Basilicata, da parte del Dipartimento per le Politiche della Famiglia- Presidenza del Consiglio dei </w:t>
      </w:r>
      <w:r>
        <w:rPr>
          <w:rFonts w:cstheme="minorHAnsi"/>
        </w:rPr>
        <w:t>Mi</w:t>
      </w:r>
      <w:r w:rsidRPr="00E46EF1">
        <w:rPr>
          <w:rFonts w:cstheme="minorHAnsi"/>
        </w:rPr>
        <w:t xml:space="preserve">nistri. </w:t>
      </w:r>
    </w:p>
    <w:p w:rsidR="00451387" w:rsidRPr="00E46EF1" w:rsidRDefault="00451387" w:rsidP="00451387">
      <w:pPr>
        <w:spacing w:after="0" w:line="20" w:lineRule="atLeast"/>
        <w:jc w:val="both"/>
        <w:rPr>
          <w:rFonts w:cstheme="minorHAnsi"/>
        </w:rPr>
      </w:pPr>
      <w:r w:rsidRPr="00E46EF1">
        <w:rPr>
          <w:rFonts w:cstheme="minorHAnsi"/>
        </w:rPr>
        <w:t xml:space="preserve">3. Requisiti strutturali ed organizzativi </w:t>
      </w:r>
    </w:p>
    <w:p w:rsidR="00451387" w:rsidRPr="00E46EF1" w:rsidRDefault="00451387" w:rsidP="00451387">
      <w:pPr>
        <w:spacing w:after="0" w:line="20" w:lineRule="atLeast"/>
        <w:jc w:val="both"/>
        <w:rPr>
          <w:rFonts w:cstheme="minorHAnsi"/>
        </w:rPr>
      </w:pPr>
      <w:r w:rsidRPr="00E46EF1">
        <w:rPr>
          <w:rFonts w:cstheme="minorHAnsi"/>
        </w:rPr>
        <w:t>I centri per la famiglia attivati negli ambiti territoriali dei Consultori familiari, per poter essere oggetto di finanziamento dovranno possedere i seguenti requisiti struttu</w:t>
      </w:r>
      <w:r>
        <w:rPr>
          <w:rFonts w:cstheme="minorHAnsi"/>
        </w:rPr>
        <w:t>rali e</w:t>
      </w:r>
      <w:r w:rsidRPr="00E46EF1">
        <w:rPr>
          <w:rFonts w:cstheme="minorHAnsi"/>
        </w:rPr>
        <w:t xml:space="preserve">d organizzativi: </w:t>
      </w:r>
    </w:p>
    <w:p w:rsidR="00451387" w:rsidRPr="00E46EF1" w:rsidRDefault="00451387" w:rsidP="00451387">
      <w:pPr>
        <w:spacing w:after="0" w:line="20" w:lineRule="atLeast"/>
        <w:jc w:val="both"/>
        <w:rPr>
          <w:rFonts w:cstheme="minorHAnsi"/>
        </w:rPr>
      </w:pPr>
      <w:proofErr w:type="gramStart"/>
      <w:r w:rsidRPr="00E46EF1">
        <w:rPr>
          <w:rFonts w:cstheme="minorHAnsi"/>
        </w:rPr>
        <w:t>disporre</w:t>
      </w:r>
      <w:proofErr w:type="gramEnd"/>
      <w:r w:rsidRPr="00E46EF1">
        <w:rPr>
          <w:rFonts w:cstheme="minorHAnsi"/>
        </w:rPr>
        <w:t xml:space="preserve"> di locali destinati a</w:t>
      </w:r>
      <w:r>
        <w:rPr>
          <w:rFonts w:cstheme="minorHAnsi"/>
        </w:rPr>
        <w:t xml:space="preserve">lle </w:t>
      </w:r>
      <w:r w:rsidRPr="00E46EF1">
        <w:rPr>
          <w:rFonts w:cstheme="minorHAnsi"/>
        </w:rPr>
        <w:t xml:space="preserve">attività dello "Spazio Famiglia" che siano ben identificati con apposite targhe con l'indicazione di "Spazio Famiglia" o simile, in maniera tale da essere facilmente individuati dall' utenza; </w:t>
      </w:r>
    </w:p>
    <w:p w:rsidR="00451387" w:rsidRPr="00E46EF1" w:rsidRDefault="00451387" w:rsidP="00451387">
      <w:pPr>
        <w:spacing w:after="0" w:line="20" w:lineRule="atLeast"/>
        <w:jc w:val="both"/>
        <w:rPr>
          <w:rFonts w:cstheme="minorHAnsi"/>
        </w:rPr>
      </w:pPr>
      <w:proofErr w:type="gramStart"/>
      <w:r w:rsidRPr="00E46EF1">
        <w:rPr>
          <w:rFonts w:cstheme="minorHAnsi"/>
        </w:rPr>
        <w:t>disporre</w:t>
      </w:r>
      <w:proofErr w:type="gramEnd"/>
      <w:r w:rsidRPr="00E46EF1">
        <w:rPr>
          <w:rFonts w:cstheme="minorHAnsi"/>
        </w:rPr>
        <w:t xml:space="preserve"> di uno spazio adeguato alle finalità del progetto ovvero con spazi appositamente attrezzati c riservati alle famiglie e/ o ai figli; </w:t>
      </w:r>
    </w:p>
    <w:p w:rsidR="00451387" w:rsidRPr="00E46EF1" w:rsidRDefault="00451387" w:rsidP="00451387">
      <w:pPr>
        <w:spacing w:after="0" w:line="20" w:lineRule="atLeast"/>
        <w:jc w:val="both"/>
        <w:rPr>
          <w:rFonts w:cstheme="minorHAnsi"/>
        </w:rPr>
      </w:pPr>
      <w:proofErr w:type="gramStart"/>
      <w:r w:rsidRPr="00E46EF1">
        <w:rPr>
          <w:rFonts w:cstheme="minorHAnsi"/>
        </w:rPr>
        <w:t>sportello</w:t>
      </w:r>
      <w:proofErr w:type="gramEnd"/>
      <w:r w:rsidRPr="00E46EF1">
        <w:rPr>
          <w:rFonts w:cstheme="minorHAnsi"/>
        </w:rPr>
        <w:t xml:space="preserve"> informativo e di orientamento di prima accoglienza che garantisca una apertura costante c continuativa; </w:t>
      </w:r>
    </w:p>
    <w:p w:rsidR="00451387" w:rsidRPr="00E46EF1" w:rsidRDefault="00451387" w:rsidP="00451387">
      <w:pPr>
        <w:spacing w:after="0" w:line="20" w:lineRule="atLeast"/>
        <w:jc w:val="both"/>
        <w:rPr>
          <w:rFonts w:cstheme="minorHAnsi"/>
        </w:rPr>
      </w:pPr>
      <w:proofErr w:type="gramStart"/>
      <w:r w:rsidRPr="00E46EF1">
        <w:rPr>
          <w:rFonts w:cstheme="minorHAnsi"/>
        </w:rPr>
        <w:t>professionalità</w:t>
      </w:r>
      <w:proofErr w:type="gramEnd"/>
      <w:r w:rsidRPr="00E46EF1">
        <w:rPr>
          <w:rFonts w:cstheme="minorHAnsi"/>
        </w:rPr>
        <w:t xml:space="preserve"> adeguate in grado di utilizzare specifiche metodologie di lavoro di gruppo in modalità inter-disciplinare (p</w:t>
      </w:r>
      <w:r>
        <w:rPr>
          <w:rFonts w:cstheme="minorHAnsi"/>
        </w:rPr>
        <w:t>e</w:t>
      </w:r>
      <w:r w:rsidRPr="00E46EF1">
        <w:rPr>
          <w:rFonts w:cstheme="minorHAnsi"/>
        </w:rPr>
        <w:t xml:space="preserve">dagogisti, psico-terapeutici, educatori familiari etc) </w:t>
      </w:r>
    </w:p>
    <w:p w:rsidR="00451387" w:rsidRPr="00E46EF1" w:rsidRDefault="00451387" w:rsidP="00451387">
      <w:pPr>
        <w:spacing w:after="0" w:line="20" w:lineRule="atLeast"/>
        <w:jc w:val="both"/>
        <w:rPr>
          <w:rFonts w:cstheme="minorHAnsi"/>
        </w:rPr>
      </w:pPr>
      <w:r w:rsidRPr="00E46EF1">
        <w:rPr>
          <w:rFonts w:cstheme="minorHAnsi"/>
        </w:rPr>
        <w:t>Possono essere previste partnership con soggetti pubblici e privati sia in termini operativi (soggetto che concorre alla realizzazione del progetto) che in termini finanziari (soggetto che concorre con contribut</w:t>
      </w:r>
      <w:r>
        <w:rPr>
          <w:rFonts w:cstheme="minorHAnsi"/>
        </w:rPr>
        <w:t>i</w:t>
      </w:r>
      <w:r w:rsidRPr="00E46EF1">
        <w:rPr>
          <w:rFonts w:cstheme="minorHAnsi"/>
        </w:rPr>
        <w:t xml:space="preserve"> economici anche indiretti). </w:t>
      </w:r>
    </w:p>
    <w:p w:rsidR="00451387" w:rsidRPr="00E46EF1" w:rsidRDefault="00451387" w:rsidP="00451387">
      <w:pPr>
        <w:spacing w:after="0" w:line="20" w:lineRule="atLeast"/>
        <w:jc w:val="both"/>
        <w:rPr>
          <w:rFonts w:cstheme="minorHAnsi"/>
        </w:rPr>
      </w:pPr>
      <w:r w:rsidRPr="00E46EF1">
        <w:rPr>
          <w:rFonts w:cstheme="minorHAnsi"/>
        </w:rPr>
        <w:t xml:space="preserve">4. Spese ammesse a contributo </w:t>
      </w:r>
    </w:p>
    <w:p w:rsidR="00451387" w:rsidRPr="00E46EF1" w:rsidRDefault="00451387" w:rsidP="00451387">
      <w:pPr>
        <w:spacing w:after="0" w:line="20" w:lineRule="atLeast"/>
        <w:jc w:val="both"/>
        <w:rPr>
          <w:rFonts w:cstheme="minorHAnsi"/>
        </w:rPr>
      </w:pPr>
      <w:r w:rsidRPr="00E46EF1">
        <w:rPr>
          <w:rFonts w:cstheme="minorHAnsi"/>
        </w:rPr>
        <w:t xml:space="preserve">Le spese ammesse a contributo riguardano: </w:t>
      </w:r>
    </w:p>
    <w:p w:rsidR="00451387" w:rsidRPr="00E46EF1" w:rsidRDefault="00451387" w:rsidP="00451387">
      <w:pPr>
        <w:spacing w:after="0" w:line="20" w:lineRule="atLeast"/>
        <w:jc w:val="both"/>
        <w:rPr>
          <w:rFonts w:cstheme="minorHAnsi"/>
        </w:rPr>
      </w:pPr>
      <w:proofErr w:type="gramStart"/>
      <w:r w:rsidRPr="00E46EF1">
        <w:rPr>
          <w:rFonts w:cstheme="minorHAnsi"/>
        </w:rPr>
        <w:t>spese</w:t>
      </w:r>
      <w:proofErr w:type="gramEnd"/>
      <w:r w:rsidRPr="00E46EF1">
        <w:rPr>
          <w:rFonts w:cstheme="minorHAnsi"/>
        </w:rPr>
        <w:t xml:space="preserve"> per affitto dei locali e allestimento di uno spazio neutro per la mediazione familiare (acquisto beni materiali dedicati); </w:t>
      </w:r>
    </w:p>
    <w:p w:rsidR="00451387" w:rsidRPr="00E46EF1" w:rsidRDefault="00451387" w:rsidP="00451387">
      <w:pPr>
        <w:spacing w:after="0" w:line="20" w:lineRule="atLeast"/>
        <w:jc w:val="both"/>
        <w:rPr>
          <w:rFonts w:cstheme="minorHAnsi"/>
        </w:rPr>
      </w:pPr>
      <w:proofErr w:type="gramStart"/>
      <w:r w:rsidRPr="00E46EF1">
        <w:rPr>
          <w:rFonts w:cstheme="minorHAnsi"/>
        </w:rPr>
        <w:lastRenderedPageBreak/>
        <w:t>spese</w:t>
      </w:r>
      <w:proofErr w:type="gramEnd"/>
      <w:r w:rsidRPr="00E46EF1">
        <w:rPr>
          <w:rFonts w:cstheme="minorHAnsi"/>
        </w:rPr>
        <w:t xml:space="preserve"> per la realizzazione di materiale informativo </w:t>
      </w:r>
      <w:r>
        <w:rPr>
          <w:rFonts w:cstheme="minorHAnsi"/>
        </w:rPr>
        <w:t>l</w:t>
      </w:r>
      <w:r w:rsidRPr="00E46EF1">
        <w:rPr>
          <w:rFonts w:cstheme="minorHAnsi"/>
        </w:rPr>
        <w:t xml:space="preserve">ocandine, brochure etc) e realizzazione pagina web dedicata sui siri istituzionali della regione Basilica, delle Aziende sanitarie e dei Comuni; </w:t>
      </w:r>
    </w:p>
    <w:p w:rsidR="00451387" w:rsidRPr="00E46EF1" w:rsidRDefault="00451387" w:rsidP="00451387">
      <w:pPr>
        <w:spacing w:after="0" w:line="20" w:lineRule="atLeast"/>
        <w:jc w:val="both"/>
        <w:rPr>
          <w:rFonts w:cstheme="minorHAnsi"/>
        </w:rPr>
      </w:pPr>
      <w:proofErr w:type="gramStart"/>
      <w:r w:rsidRPr="00E46EF1">
        <w:rPr>
          <w:rFonts w:cstheme="minorHAnsi"/>
        </w:rPr>
        <w:t>spese</w:t>
      </w:r>
      <w:proofErr w:type="gramEnd"/>
      <w:r w:rsidRPr="00E46EF1">
        <w:rPr>
          <w:rFonts w:cstheme="minorHAnsi"/>
        </w:rPr>
        <w:t xml:space="preserve"> relative alle utenze e alla gestione della struttura adibita a Centro per le famiglie, ivi comprese le spese del personale; </w:t>
      </w:r>
    </w:p>
    <w:p w:rsidR="00451387" w:rsidRPr="00E46EF1" w:rsidRDefault="00451387" w:rsidP="00451387">
      <w:pPr>
        <w:spacing w:after="0" w:line="20" w:lineRule="atLeast"/>
        <w:jc w:val="both"/>
        <w:rPr>
          <w:rFonts w:cstheme="minorHAnsi"/>
        </w:rPr>
      </w:pPr>
      <w:proofErr w:type="gramStart"/>
      <w:r w:rsidRPr="00E46EF1">
        <w:rPr>
          <w:rFonts w:cstheme="minorHAnsi"/>
        </w:rPr>
        <w:t>spese</w:t>
      </w:r>
      <w:proofErr w:type="gramEnd"/>
      <w:r w:rsidRPr="00E46EF1">
        <w:rPr>
          <w:rFonts w:cstheme="minorHAnsi"/>
        </w:rPr>
        <w:t xml:space="preserve"> per implementazione e funzionamento della banca dati. </w:t>
      </w:r>
    </w:p>
    <w:p w:rsidR="00451387" w:rsidRPr="00E46EF1" w:rsidRDefault="00451387" w:rsidP="00451387">
      <w:pPr>
        <w:spacing w:after="0" w:line="20" w:lineRule="atLeast"/>
        <w:jc w:val="both"/>
        <w:rPr>
          <w:rFonts w:cstheme="minorHAnsi"/>
        </w:rPr>
      </w:pPr>
      <w:r w:rsidRPr="00E46EF1">
        <w:rPr>
          <w:rFonts w:cstheme="minorHAnsi"/>
        </w:rPr>
        <w:t xml:space="preserve">Non sono ammissibili le spese relative all'acquisto e ristrutturazione dei beni immobili, a rimborsi spese o compensi per gli utenti destinatari delle attività del centro. </w:t>
      </w:r>
    </w:p>
    <w:p w:rsidR="00FE6DA0" w:rsidRDefault="00FE6DA0" w:rsidP="00FE6DA0">
      <w:pPr>
        <w:spacing w:after="0" w:line="20" w:lineRule="atLeast"/>
        <w:jc w:val="both"/>
        <w:rPr>
          <w:rFonts w:cstheme="minorHAnsi"/>
        </w:rPr>
      </w:pPr>
    </w:p>
    <w:p w:rsidR="00FE6DA0" w:rsidRDefault="00FE6DA0" w:rsidP="00FE6DA0">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Pr>
          <w:rFonts w:cstheme="minorHAnsi"/>
          <w:b/>
        </w:rPr>
        <w:t>IMMIGRATI</w:t>
      </w:r>
    </w:p>
    <w:p w:rsidR="00FE6DA0" w:rsidRDefault="00FE6DA0" w:rsidP="00FE6DA0">
      <w:pPr>
        <w:spacing w:after="0" w:line="20" w:lineRule="atLeast"/>
        <w:jc w:val="both"/>
        <w:rPr>
          <w:rFonts w:cstheme="minorHAnsi"/>
          <w:b/>
        </w:rPr>
      </w:pPr>
    </w:p>
    <w:p w:rsidR="00FE6DA0" w:rsidRDefault="00FE6DA0" w:rsidP="00FE6DA0">
      <w:pPr>
        <w:spacing w:after="0" w:line="20" w:lineRule="atLeast"/>
        <w:jc w:val="both"/>
        <w:rPr>
          <w:rFonts w:cstheme="minorHAnsi"/>
        </w:rPr>
      </w:pPr>
      <w:r w:rsidRPr="00AA7CB0">
        <w:rPr>
          <w:rFonts w:cstheme="minorHAnsi"/>
          <w:b/>
        </w:rPr>
        <w:t>DGR  12 luglio 2019, n.447</w:t>
      </w:r>
      <w:r>
        <w:rPr>
          <w:rFonts w:cstheme="minorHAnsi"/>
        </w:rPr>
        <w:t xml:space="preserve">, </w:t>
      </w:r>
      <w:r w:rsidRPr="00E46EF1">
        <w:rPr>
          <w:rFonts w:cstheme="minorHAnsi"/>
        </w:rPr>
        <w:t xml:space="preserve">L.R. n.13/2016 </w:t>
      </w:r>
      <w:r w:rsidR="00451387" w:rsidRPr="00E46EF1">
        <w:rPr>
          <w:rFonts w:cstheme="minorHAnsi"/>
        </w:rPr>
        <w:t>Norme</w:t>
      </w:r>
      <w:r w:rsidRPr="00E46EF1">
        <w:rPr>
          <w:rFonts w:cstheme="minorHAnsi"/>
        </w:rPr>
        <w:t xml:space="preserve"> </w:t>
      </w:r>
      <w:r w:rsidR="00451387" w:rsidRPr="00E46EF1">
        <w:rPr>
          <w:rFonts w:cstheme="minorHAnsi"/>
        </w:rPr>
        <w:t>per l'accoglienza, la tutela e l'integrazione dei cittadini migranti e dei rifugiati</w:t>
      </w:r>
      <w:r w:rsidRPr="00E46EF1">
        <w:rPr>
          <w:rFonts w:cstheme="minorHAnsi"/>
        </w:rPr>
        <w:t xml:space="preserve"> - Art. 5 co.2 Costituzione" Coordinamento per le politiche dell'immigrazione". Modifica composizione</w:t>
      </w:r>
      <w:r>
        <w:rPr>
          <w:rFonts w:cstheme="minorHAnsi"/>
        </w:rPr>
        <w:t>. (BUR n. 25 del 1.8.19)</w:t>
      </w:r>
    </w:p>
    <w:p w:rsidR="00FE6DA0" w:rsidRPr="00AF638C" w:rsidRDefault="00FE6DA0" w:rsidP="00FE6DA0">
      <w:pPr>
        <w:spacing w:after="0" w:line="20" w:lineRule="atLeast"/>
        <w:jc w:val="both"/>
        <w:rPr>
          <w:rFonts w:cstheme="minorHAnsi"/>
          <w:b/>
        </w:rPr>
      </w:pPr>
      <w:r w:rsidRPr="00AF638C">
        <w:rPr>
          <w:rFonts w:cstheme="minorHAnsi"/>
          <w:b/>
        </w:rPr>
        <w:t>Note</w:t>
      </w:r>
    </w:p>
    <w:p w:rsidR="00FE6DA0" w:rsidRPr="00E46EF1" w:rsidRDefault="00FE6DA0" w:rsidP="00FE6DA0">
      <w:pPr>
        <w:spacing w:after="0" w:line="20" w:lineRule="atLeast"/>
        <w:jc w:val="both"/>
        <w:rPr>
          <w:rFonts w:cstheme="minorHAnsi"/>
        </w:rPr>
      </w:pPr>
      <w:r>
        <w:rPr>
          <w:rFonts w:cstheme="minorHAnsi"/>
        </w:rPr>
        <w:t xml:space="preserve">Viene </w:t>
      </w:r>
      <w:r w:rsidRPr="00E46EF1">
        <w:rPr>
          <w:rFonts w:cstheme="minorHAnsi"/>
        </w:rPr>
        <w:t>modifica</w:t>
      </w:r>
      <w:r>
        <w:rPr>
          <w:rFonts w:cstheme="minorHAnsi"/>
        </w:rPr>
        <w:t>ta</w:t>
      </w:r>
      <w:r w:rsidRPr="00E46EF1">
        <w:rPr>
          <w:rFonts w:cstheme="minorHAnsi"/>
        </w:rPr>
        <w:t xml:space="preserve"> la composizione del Coordinamento delle politiche per l'immigrazione, di cui alla DGR 864/2016, così come stabilito dall'art.5 co.2 della L.R.n.13/2016, nel senso di seguito elencato: </w:t>
      </w:r>
    </w:p>
    <w:p w:rsidR="00FE6DA0" w:rsidRDefault="00FE6DA0" w:rsidP="00FE6DA0">
      <w:pPr>
        <w:spacing w:after="0" w:line="20" w:lineRule="atLeast"/>
        <w:jc w:val="both"/>
        <w:rPr>
          <w:rFonts w:cstheme="minorHAnsi"/>
        </w:rPr>
      </w:pPr>
      <w:r w:rsidRPr="00E46EF1">
        <w:rPr>
          <w:rFonts w:cstheme="minorHAnsi"/>
        </w:rPr>
        <w:t xml:space="preserve">Presidente della Giunta Regionale o suo delegato </w:t>
      </w:r>
    </w:p>
    <w:p w:rsidR="00FE6DA0" w:rsidRDefault="00FE6DA0" w:rsidP="00FE6DA0">
      <w:pPr>
        <w:spacing w:after="0" w:line="20" w:lineRule="atLeast"/>
        <w:jc w:val="both"/>
        <w:rPr>
          <w:rFonts w:cstheme="minorHAnsi"/>
        </w:rPr>
      </w:pPr>
      <w:r w:rsidRPr="00E46EF1">
        <w:rPr>
          <w:rFonts w:cstheme="minorHAnsi"/>
        </w:rPr>
        <w:t xml:space="preserve">Componenti: </w:t>
      </w:r>
    </w:p>
    <w:p w:rsidR="00FE6DA0" w:rsidRDefault="00FE6DA0" w:rsidP="00FE6DA0">
      <w:pPr>
        <w:spacing w:after="0" w:line="20" w:lineRule="atLeast"/>
        <w:jc w:val="both"/>
        <w:rPr>
          <w:rFonts w:cstheme="minorHAnsi"/>
        </w:rPr>
      </w:pPr>
      <w:r w:rsidRPr="00E46EF1">
        <w:rPr>
          <w:rFonts w:cstheme="minorHAnsi"/>
        </w:rPr>
        <w:t xml:space="preserve">• dott.ssa Carolina Di Lorenzo delegata dal Dirigente Generale del Dipartimento Sanità; </w:t>
      </w:r>
    </w:p>
    <w:p w:rsidR="00FE6DA0" w:rsidRDefault="00FE6DA0" w:rsidP="00FE6DA0">
      <w:pPr>
        <w:spacing w:after="0" w:line="20" w:lineRule="atLeast"/>
        <w:jc w:val="both"/>
        <w:rPr>
          <w:rFonts w:cstheme="minorHAnsi"/>
        </w:rPr>
      </w:pPr>
      <w:r w:rsidRPr="00E46EF1">
        <w:rPr>
          <w:rFonts w:cstheme="minorHAnsi"/>
        </w:rPr>
        <w:t xml:space="preserve">• dott.ssa Elvira Locantore, delegata dal Dirigente generale del Dipartimento Presidenza della Giunta; </w:t>
      </w:r>
    </w:p>
    <w:p w:rsidR="00FE6DA0" w:rsidRDefault="00FE6DA0" w:rsidP="00FE6DA0">
      <w:pPr>
        <w:spacing w:after="0" w:line="20" w:lineRule="atLeast"/>
        <w:jc w:val="both"/>
        <w:rPr>
          <w:rFonts w:cstheme="minorHAnsi"/>
        </w:rPr>
      </w:pPr>
      <w:r w:rsidRPr="00E46EF1">
        <w:rPr>
          <w:rFonts w:cstheme="minorHAnsi"/>
        </w:rPr>
        <w:t xml:space="preserve">• Sig.ra Angela Marchitelli, delegata dal Dirigente Generale del Dipartimento Agricoltura; </w:t>
      </w:r>
    </w:p>
    <w:p w:rsidR="00FE6DA0" w:rsidRDefault="00FE6DA0" w:rsidP="00FE6DA0">
      <w:pPr>
        <w:spacing w:after="0" w:line="20" w:lineRule="atLeast"/>
        <w:jc w:val="both"/>
        <w:rPr>
          <w:rFonts w:cstheme="minorHAnsi"/>
        </w:rPr>
      </w:pPr>
      <w:r w:rsidRPr="00E46EF1">
        <w:rPr>
          <w:rFonts w:cstheme="minorHAnsi"/>
        </w:rPr>
        <w:t xml:space="preserve">• Dirigente generale pro tempre del Dipartimento Programmazione; </w:t>
      </w:r>
    </w:p>
    <w:p w:rsidR="00FE6DA0" w:rsidRDefault="00FE6DA0" w:rsidP="00FE6DA0">
      <w:pPr>
        <w:spacing w:after="0" w:line="20" w:lineRule="atLeast"/>
        <w:jc w:val="both"/>
        <w:rPr>
          <w:rFonts w:cstheme="minorHAnsi"/>
        </w:rPr>
      </w:pPr>
      <w:r w:rsidRPr="00E46EF1">
        <w:rPr>
          <w:rFonts w:cstheme="minorHAnsi"/>
        </w:rPr>
        <w:t xml:space="preserve">• Dirigente generale pro tempore del Dipartimento Infrastrutture </w:t>
      </w:r>
    </w:p>
    <w:p w:rsidR="00FE6DA0" w:rsidRDefault="00FE6DA0" w:rsidP="00FE6DA0">
      <w:pPr>
        <w:spacing w:after="0" w:line="20" w:lineRule="atLeast"/>
        <w:jc w:val="both"/>
        <w:rPr>
          <w:rFonts w:cstheme="minorHAnsi"/>
        </w:rPr>
      </w:pPr>
      <w:r w:rsidRPr="00E46EF1">
        <w:rPr>
          <w:rFonts w:cstheme="minorHAnsi"/>
        </w:rPr>
        <w:t xml:space="preserve">• Dirigente generale pro tempore del Dipartimento Politiche di Sviluppo; </w:t>
      </w:r>
    </w:p>
    <w:p w:rsidR="00FE6DA0" w:rsidRDefault="00FE6DA0" w:rsidP="00FE6DA0">
      <w:pPr>
        <w:spacing w:after="0" w:line="20" w:lineRule="atLeast"/>
        <w:jc w:val="both"/>
        <w:rPr>
          <w:rFonts w:cstheme="minorHAnsi"/>
        </w:rPr>
      </w:pPr>
      <w:r w:rsidRPr="00E46EF1">
        <w:rPr>
          <w:rFonts w:cstheme="minorHAnsi"/>
        </w:rPr>
        <w:t xml:space="preserve">• Dirigente generale pro tempore Dipartimento Lavoro, Formazione e Ricerca; </w:t>
      </w:r>
    </w:p>
    <w:p w:rsidR="00FE6DA0" w:rsidRDefault="00FE6DA0" w:rsidP="00FE6DA0">
      <w:pPr>
        <w:spacing w:after="0" w:line="20" w:lineRule="atLeast"/>
        <w:jc w:val="both"/>
        <w:rPr>
          <w:rFonts w:cstheme="minorHAnsi"/>
        </w:rPr>
      </w:pPr>
      <w:r w:rsidRPr="00E46EF1">
        <w:rPr>
          <w:rFonts w:cstheme="minorHAnsi"/>
        </w:rPr>
        <w:t xml:space="preserve">• Dirigente generale pro tempore del Dipartimento Ambiente; </w:t>
      </w:r>
    </w:p>
    <w:p w:rsidR="00FE6DA0" w:rsidRPr="00E46EF1" w:rsidRDefault="00FE6DA0" w:rsidP="00FE6DA0">
      <w:pPr>
        <w:spacing w:after="0" w:line="20" w:lineRule="atLeast"/>
        <w:jc w:val="both"/>
        <w:rPr>
          <w:rFonts w:cstheme="minorHAnsi"/>
        </w:rPr>
      </w:pPr>
      <w:r w:rsidRPr="00E46EF1">
        <w:rPr>
          <w:rFonts w:cstheme="minorHAnsi"/>
        </w:rPr>
        <w:t xml:space="preserve">• Dirigente generale pro tempore Dipartimento SUAB; </w:t>
      </w:r>
    </w:p>
    <w:p w:rsidR="00FE6DA0" w:rsidRPr="00E46EF1" w:rsidRDefault="00FE6DA0" w:rsidP="00FE6DA0">
      <w:pPr>
        <w:spacing w:after="0" w:line="20" w:lineRule="atLeast"/>
        <w:jc w:val="both"/>
        <w:rPr>
          <w:rFonts w:cstheme="minorHAnsi"/>
        </w:rPr>
      </w:pPr>
      <w:r w:rsidRPr="00E46EF1">
        <w:rPr>
          <w:rFonts w:cstheme="minorHAnsi"/>
        </w:rPr>
        <w:t xml:space="preserve">Il Coordinamento può avvalersi, altresì, del supporto e della collaborazione di altre strutture in capo ai Dipartimenti della Regione e può essere integrato con la presenza di </w:t>
      </w:r>
      <w:proofErr w:type="gramStart"/>
      <w:r w:rsidRPr="00E46EF1">
        <w:rPr>
          <w:rFonts w:cstheme="minorHAnsi"/>
        </w:rPr>
        <w:t xml:space="preserve">rappresentanti </w:t>
      </w:r>
      <w:r>
        <w:rPr>
          <w:rFonts w:cstheme="minorHAnsi"/>
        </w:rPr>
        <w:t xml:space="preserve"> </w:t>
      </w:r>
      <w:r w:rsidRPr="00E46EF1">
        <w:rPr>
          <w:rFonts w:cstheme="minorHAnsi"/>
        </w:rPr>
        <w:t>degli</w:t>
      </w:r>
      <w:proofErr w:type="gramEnd"/>
      <w:r w:rsidRPr="00E46EF1">
        <w:rPr>
          <w:rFonts w:cstheme="minorHAnsi"/>
        </w:rPr>
        <w:t xml:space="preserve"> enti sindacali e </w:t>
      </w:r>
    </w:p>
    <w:p w:rsidR="00FE6DA0" w:rsidRPr="00E46EF1" w:rsidRDefault="00FE6DA0" w:rsidP="00FE6DA0">
      <w:pPr>
        <w:spacing w:after="0" w:line="20" w:lineRule="atLeast"/>
        <w:jc w:val="both"/>
        <w:rPr>
          <w:rFonts w:cstheme="minorHAnsi"/>
        </w:rPr>
      </w:pPr>
      <w:proofErr w:type="gramStart"/>
      <w:r w:rsidRPr="00E46EF1">
        <w:rPr>
          <w:rFonts w:cstheme="minorHAnsi"/>
        </w:rPr>
        <w:t>strumentali</w:t>
      </w:r>
      <w:proofErr w:type="gramEnd"/>
      <w:r w:rsidRPr="00E46EF1">
        <w:rPr>
          <w:rFonts w:cstheme="minorHAnsi"/>
        </w:rPr>
        <w:t xml:space="preserve"> della Regione, di amministrazioni comunali , dell'Università della Basilicata, delle Prefetture e di altri uffici periferici dello Stato, a qualsiasi titolo interessati all'accoglienza ed alla integrazione dei cittadini extracomunitari; </w:t>
      </w:r>
    </w:p>
    <w:p w:rsidR="00FE6DA0" w:rsidRDefault="00FE6DA0" w:rsidP="00FE6DA0">
      <w:pPr>
        <w:spacing w:after="0" w:line="20" w:lineRule="atLeast"/>
        <w:jc w:val="both"/>
        <w:rPr>
          <w:rFonts w:cstheme="minorHAnsi"/>
          <w:u w:val="single"/>
        </w:rPr>
      </w:pPr>
      <w:r>
        <w:rPr>
          <w:rFonts w:cstheme="minorHAnsi"/>
          <w:u w:val="single"/>
        </w:rPr>
        <w:t>A</w:t>
      </w:r>
      <w:r w:rsidRPr="00003748">
        <w:rPr>
          <w:rFonts w:cstheme="minorHAnsi"/>
          <w:u w:val="single"/>
        </w:rPr>
        <w:t xml:space="preserve">i componenti non è dovuto alcun compenso ed agli stessi è riconosciuto l'eventuale rimborso </w:t>
      </w:r>
    </w:p>
    <w:p w:rsidR="00C95517" w:rsidRDefault="00C95517" w:rsidP="00FE6DA0">
      <w:pPr>
        <w:spacing w:after="0" w:line="20" w:lineRule="atLeast"/>
        <w:jc w:val="both"/>
        <w:rPr>
          <w:rFonts w:cstheme="minorHAnsi"/>
          <w:u w:val="single"/>
        </w:rPr>
      </w:pPr>
    </w:p>
    <w:p w:rsidR="00C95517" w:rsidRPr="009E6C20" w:rsidRDefault="00C95517" w:rsidP="00C9551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EFEFE"/>
        <w:spacing w:after="0" w:line="20" w:lineRule="atLeast"/>
        <w:jc w:val="center"/>
        <w:outlineLvl w:val="1"/>
        <w:rPr>
          <w:rFonts w:eastAsia="Times New Roman" w:cstheme="minorHAnsi"/>
          <w:b/>
          <w:bCs/>
          <w:kern w:val="36"/>
        </w:rPr>
      </w:pPr>
      <w:r w:rsidRPr="009E6C20">
        <w:rPr>
          <w:rFonts w:eastAsia="Times New Roman" w:cstheme="minorHAnsi"/>
          <w:b/>
          <w:bCs/>
          <w:kern w:val="36"/>
        </w:rPr>
        <w:t>PARI OPPORTUNITÀ</w:t>
      </w:r>
    </w:p>
    <w:p w:rsidR="00C95517" w:rsidRDefault="00C95517" w:rsidP="00C95517">
      <w:pPr>
        <w:shd w:val="clear" w:color="auto" w:fill="FEFEFE"/>
        <w:spacing w:after="0" w:line="20" w:lineRule="atLeast"/>
        <w:jc w:val="both"/>
        <w:outlineLvl w:val="1"/>
        <w:rPr>
          <w:rFonts w:ascii="Corbel" w:eastAsia="Times New Roman" w:hAnsi="Corbel" w:cs="Times New Roman"/>
          <w:b/>
          <w:bCs/>
          <w:kern w:val="36"/>
          <w:sz w:val="28"/>
          <w:szCs w:val="28"/>
        </w:rPr>
      </w:pPr>
    </w:p>
    <w:p w:rsidR="00C95517" w:rsidRPr="00C95517" w:rsidRDefault="00C95517" w:rsidP="00C95517">
      <w:pPr>
        <w:shd w:val="clear" w:color="auto" w:fill="FEFEFE"/>
        <w:spacing w:after="0" w:line="20" w:lineRule="atLeast"/>
        <w:jc w:val="both"/>
        <w:outlineLvl w:val="1"/>
      </w:pPr>
      <w:r w:rsidRPr="00C95517">
        <w:rPr>
          <w:b/>
        </w:rPr>
        <w:t>DGR  28 giugno 2019, n.</w:t>
      </w:r>
      <w:proofErr w:type="gramStart"/>
      <w:r w:rsidRPr="00C95517">
        <w:rPr>
          <w:b/>
        </w:rPr>
        <w:t>401</w:t>
      </w:r>
      <w:r w:rsidRPr="00C95517">
        <w:t>,  P.O.</w:t>
      </w:r>
      <w:proofErr w:type="gramEnd"/>
      <w:r w:rsidRPr="00C95517">
        <w:t xml:space="preserve"> Basilicata FSE 2014-2020. Asse I - Obiettivo Specifico 8.2 - "Aumentare l'occupazione femminile". Approvazione Avviso Pubblico "Valore donna 2020 - voucher per la conciliazione". (BUR n. 28 del 16.8.19)</w:t>
      </w:r>
    </w:p>
    <w:p w:rsidR="00C95517" w:rsidRPr="00C95517" w:rsidRDefault="00C95517" w:rsidP="00C95517">
      <w:pPr>
        <w:shd w:val="clear" w:color="auto" w:fill="FEFEFE"/>
        <w:spacing w:after="0" w:line="20" w:lineRule="atLeast"/>
        <w:jc w:val="both"/>
        <w:outlineLvl w:val="1"/>
      </w:pPr>
      <w:r w:rsidRPr="00C95517">
        <w:t>Note</w:t>
      </w:r>
    </w:p>
    <w:p w:rsidR="00C95517" w:rsidRPr="00C95517" w:rsidRDefault="00C95517" w:rsidP="00C95517">
      <w:pPr>
        <w:shd w:val="clear" w:color="auto" w:fill="FEFEFE"/>
        <w:spacing w:after="0" w:line="20" w:lineRule="atLeast"/>
        <w:jc w:val="both"/>
        <w:outlineLvl w:val="1"/>
      </w:pPr>
      <w:r w:rsidRPr="00C95517">
        <w:t>In Basilicata il tasso di disoccupazione della popolazione femminile si attesta intorno al 15,0%, contro 11,3% di quella maschile e che diversi studi rilevano un possibile minore accesso al mercato del lavoro in maniera continuativa delle donne lucane proprio in ragione dell'esercizio di ruoli di cura.</w:t>
      </w:r>
    </w:p>
    <w:p w:rsidR="00C95517" w:rsidRPr="00C95517" w:rsidRDefault="00C95517" w:rsidP="00C95517">
      <w:pPr>
        <w:shd w:val="clear" w:color="auto" w:fill="FEFEFE"/>
        <w:spacing w:after="0" w:line="20" w:lineRule="atLeast"/>
        <w:jc w:val="both"/>
        <w:outlineLvl w:val="1"/>
      </w:pPr>
      <w:r w:rsidRPr="00C95517">
        <w:t xml:space="preserve">Si rende particolarmente rilevante investire prioritariamente su strumenti di conciliazione fra tempi di vita e tempi di lavoro delle donne. </w:t>
      </w:r>
    </w:p>
    <w:p w:rsidR="00C95517" w:rsidRPr="00C95517" w:rsidRDefault="00C95517" w:rsidP="00C95517">
      <w:pPr>
        <w:shd w:val="clear" w:color="auto" w:fill="FEFEFE"/>
        <w:spacing w:after="0" w:line="20" w:lineRule="atLeast"/>
        <w:jc w:val="both"/>
        <w:outlineLvl w:val="1"/>
      </w:pPr>
      <w:r w:rsidRPr="00C95517">
        <w:t>L'Obiettivo Specifico 8.2 intende appunto favorire la permanenza al lavoro delle donne con difficoltà di partecipazione piena e permanenza nel mercato del lavoro in ragione dei problemi derivanti dai ruoli di cura da esse svolti all'interno della famiglia e che l'azione del voucher di conciliazione tende a superare dette difficoltà.</w:t>
      </w:r>
    </w:p>
    <w:p w:rsidR="00C95517" w:rsidRPr="00C95517" w:rsidRDefault="00C95517" w:rsidP="00C95517">
      <w:pPr>
        <w:shd w:val="clear" w:color="auto" w:fill="FEFEFE"/>
        <w:spacing w:after="0" w:line="20" w:lineRule="atLeast"/>
        <w:jc w:val="both"/>
        <w:outlineLvl w:val="1"/>
      </w:pPr>
      <w:r w:rsidRPr="00C95517">
        <w:t xml:space="preserve">Viene approvato l'Avviso Pubblico "Valore donna 2020- voucher di conciliazione" unitamente ai sottoelencati allegati: </w:t>
      </w:r>
    </w:p>
    <w:p w:rsidR="00C95517" w:rsidRPr="00C95517" w:rsidRDefault="00C95517" w:rsidP="00C95517">
      <w:pPr>
        <w:shd w:val="clear" w:color="auto" w:fill="FEFEFE"/>
        <w:spacing w:after="0" w:line="20" w:lineRule="atLeast"/>
        <w:jc w:val="both"/>
        <w:outlineLvl w:val="1"/>
      </w:pPr>
      <w:proofErr w:type="gramStart"/>
      <w:r w:rsidRPr="00C95517">
        <w:t>o</w:t>
      </w:r>
      <w:proofErr w:type="gramEnd"/>
      <w:r w:rsidRPr="00C95517">
        <w:t xml:space="preserve"> Formulario Domanda di partecipazione </w:t>
      </w:r>
    </w:p>
    <w:p w:rsidR="00C95517" w:rsidRPr="00C95517" w:rsidRDefault="00C95517" w:rsidP="00C95517">
      <w:pPr>
        <w:shd w:val="clear" w:color="auto" w:fill="FEFEFE"/>
        <w:spacing w:after="0" w:line="20" w:lineRule="atLeast"/>
        <w:jc w:val="both"/>
        <w:outlineLvl w:val="1"/>
      </w:pPr>
      <w:proofErr w:type="gramStart"/>
      <w:r w:rsidRPr="00C95517">
        <w:lastRenderedPageBreak/>
        <w:t>o</w:t>
      </w:r>
      <w:proofErr w:type="gramEnd"/>
      <w:r w:rsidRPr="00C95517">
        <w:t xml:space="preserve"> Formulario Domanda di rimborso</w:t>
      </w:r>
    </w:p>
    <w:p w:rsidR="00C95517" w:rsidRPr="00C95517" w:rsidRDefault="00C95517" w:rsidP="00C95517">
      <w:pPr>
        <w:shd w:val="clear" w:color="auto" w:fill="FEFEFE"/>
        <w:spacing w:after="0" w:line="20" w:lineRule="atLeast"/>
        <w:jc w:val="both"/>
        <w:outlineLvl w:val="1"/>
      </w:pPr>
      <w:r w:rsidRPr="00C95517">
        <w:t xml:space="preserve">L'onere finanziario per la realizzazione del succitato Avviso Pubblico è pari ad Euro 1.500.000,00 </w:t>
      </w:r>
    </w:p>
    <w:p w:rsidR="00C95517" w:rsidRDefault="00C95517" w:rsidP="00FE6DA0">
      <w:pPr>
        <w:spacing w:after="0" w:line="20" w:lineRule="atLeast"/>
        <w:jc w:val="both"/>
        <w:rPr>
          <w:rFonts w:cstheme="minorHAnsi"/>
          <w:u w:val="single"/>
        </w:rPr>
      </w:pPr>
    </w:p>
    <w:p w:rsidR="00A767CD" w:rsidRPr="00CC74BF" w:rsidRDefault="00A767CD" w:rsidP="00A767CD">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CC74BF">
        <w:rPr>
          <w:rFonts w:cstheme="minorHAnsi"/>
          <w:b/>
        </w:rPr>
        <w:t>PERSONE CON DISABILITÀ</w:t>
      </w:r>
    </w:p>
    <w:p w:rsidR="00A767CD" w:rsidRDefault="00A767CD" w:rsidP="00A767CD">
      <w:pPr>
        <w:spacing w:after="0" w:line="20" w:lineRule="atLeast"/>
        <w:jc w:val="both"/>
        <w:rPr>
          <w:rFonts w:cstheme="minorHAnsi"/>
        </w:rPr>
      </w:pPr>
    </w:p>
    <w:p w:rsidR="00A767CD" w:rsidRPr="00E46EF1" w:rsidRDefault="00A767CD" w:rsidP="00A767CD">
      <w:pPr>
        <w:spacing w:after="0" w:line="20" w:lineRule="atLeast"/>
        <w:jc w:val="both"/>
        <w:rPr>
          <w:rFonts w:cstheme="minorHAnsi"/>
        </w:rPr>
      </w:pPr>
      <w:r w:rsidRPr="00CC74BF">
        <w:rPr>
          <w:rFonts w:cstheme="minorHAnsi"/>
          <w:b/>
        </w:rPr>
        <w:t>DGR  23 luglio 2019, n.474</w:t>
      </w:r>
      <w:r>
        <w:rPr>
          <w:rFonts w:cstheme="minorHAnsi"/>
        </w:rPr>
        <w:t xml:space="preserve">, </w:t>
      </w:r>
      <w:r w:rsidRPr="00E46EF1">
        <w:rPr>
          <w:rFonts w:cstheme="minorHAnsi"/>
        </w:rPr>
        <w:t xml:space="preserve">D.C.R. n. 588 del 28/09/2009. Contributo al Comune di Venosa per la prosecuzione di un progetto sperimentale "Dopo di noi" - Annualità 2019. </w:t>
      </w:r>
      <w:proofErr w:type="gramStart"/>
      <w:r w:rsidRPr="00E46EF1">
        <w:rPr>
          <w:rFonts w:cstheme="minorHAnsi"/>
        </w:rPr>
        <w:t>Deliberazione  23</w:t>
      </w:r>
      <w:proofErr w:type="gramEnd"/>
      <w:r w:rsidRPr="00E46EF1">
        <w:rPr>
          <w:rFonts w:cstheme="minorHAnsi"/>
        </w:rPr>
        <w:t xml:space="preserve"> luglio 2019, n.474</w:t>
      </w:r>
      <w:r>
        <w:rPr>
          <w:rFonts w:cstheme="minorHAnsi"/>
        </w:rPr>
        <w:t>. (BUR n. 26 del 1.8.19)</w:t>
      </w:r>
    </w:p>
    <w:p w:rsidR="00A767CD" w:rsidRPr="00240099" w:rsidRDefault="00A767CD" w:rsidP="00A767CD">
      <w:pPr>
        <w:spacing w:after="0" w:line="20" w:lineRule="atLeast"/>
        <w:jc w:val="both"/>
        <w:rPr>
          <w:rFonts w:cstheme="minorHAnsi"/>
          <w:b/>
        </w:rPr>
      </w:pPr>
      <w:r w:rsidRPr="00240099">
        <w:rPr>
          <w:rFonts w:cstheme="minorHAnsi"/>
          <w:b/>
        </w:rPr>
        <w:t>Note</w:t>
      </w:r>
    </w:p>
    <w:p w:rsidR="00A767CD" w:rsidRDefault="00A767CD" w:rsidP="00A767CD">
      <w:pPr>
        <w:spacing w:after="0" w:line="20" w:lineRule="atLeast"/>
        <w:jc w:val="both"/>
        <w:rPr>
          <w:rFonts w:cstheme="minorHAnsi"/>
        </w:rPr>
      </w:pPr>
      <w:r>
        <w:rPr>
          <w:rFonts w:cstheme="minorHAnsi"/>
        </w:rPr>
        <w:t xml:space="preserve">Viene </w:t>
      </w:r>
      <w:proofErr w:type="gramStart"/>
      <w:r>
        <w:rPr>
          <w:rFonts w:cstheme="minorHAnsi"/>
        </w:rPr>
        <w:t xml:space="preserve">stabilita </w:t>
      </w:r>
      <w:r w:rsidRPr="00E46EF1">
        <w:rPr>
          <w:rFonts w:cstheme="minorHAnsi"/>
        </w:rPr>
        <w:t xml:space="preserve"> la</w:t>
      </w:r>
      <w:proofErr w:type="gramEnd"/>
      <w:r w:rsidRPr="00E46EF1">
        <w:rPr>
          <w:rFonts w:cstheme="minorHAnsi"/>
        </w:rPr>
        <w:t xml:space="preserve"> prosecuzione per l'annualità 2019 del progetto assistenziale sperimentale "Dopo di n01" relativo alle 13 persone con disabilità accolte presso la Comunità "San Raffaele Arcangelo" della Provincia della Natività della B.M.V. di Venosa</w:t>
      </w:r>
      <w:r>
        <w:rPr>
          <w:rFonts w:cstheme="minorHAnsi"/>
        </w:rPr>
        <w:t>. (BUR n. 26 del 1.8.19)</w:t>
      </w:r>
    </w:p>
    <w:p w:rsidR="00A767CD" w:rsidRDefault="00A767CD" w:rsidP="00A767CD">
      <w:pPr>
        <w:spacing w:after="0" w:line="20" w:lineRule="atLeast"/>
        <w:jc w:val="both"/>
        <w:rPr>
          <w:rFonts w:cstheme="minorHAnsi"/>
        </w:rPr>
      </w:pPr>
      <w:proofErr w:type="gramStart"/>
      <w:r>
        <w:rPr>
          <w:rFonts w:cstheme="minorHAnsi"/>
        </w:rPr>
        <w:t>Viene  destinata</w:t>
      </w:r>
      <w:proofErr w:type="gramEnd"/>
      <w:r>
        <w:rPr>
          <w:rFonts w:cstheme="minorHAnsi"/>
        </w:rPr>
        <w:t xml:space="preserve"> </w:t>
      </w:r>
      <w:r w:rsidRPr="00E46EF1">
        <w:rPr>
          <w:rFonts w:cstheme="minorHAnsi"/>
        </w:rPr>
        <w:t xml:space="preserve"> per l'anno 2019</w:t>
      </w:r>
      <w:r>
        <w:rPr>
          <w:rFonts w:cstheme="minorHAnsi"/>
        </w:rPr>
        <w:t xml:space="preserve"> </w:t>
      </w:r>
      <w:r w:rsidRPr="00E46EF1">
        <w:rPr>
          <w:rFonts w:cstheme="minorHAnsi"/>
        </w:rPr>
        <w:t>la somma di € 284.700,00</w:t>
      </w:r>
      <w:r>
        <w:rPr>
          <w:rFonts w:cstheme="minorHAnsi"/>
        </w:rPr>
        <w:t>.</w:t>
      </w:r>
    </w:p>
    <w:p w:rsidR="00A767CD" w:rsidRPr="00E46EF1" w:rsidRDefault="00A767CD" w:rsidP="00A767CD">
      <w:pPr>
        <w:spacing w:after="0" w:line="20" w:lineRule="atLeast"/>
        <w:jc w:val="both"/>
        <w:rPr>
          <w:rFonts w:cstheme="minorHAnsi"/>
        </w:rPr>
      </w:pPr>
    </w:p>
    <w:p w:rsidR="00A767CD" w:rsidRDefault="00A767CD" w:rsidP="00A767CD">
      <w:pPr>
        <w:spacing w:after="0" w:line="20" w:lineRule="atLeast"/>
        <w:jc w:val="both"/>
        <w:rPr>
          <w:rFonts w:cstheme="minorHAnsi"/>
        </w:rPr>
      </w:pPr>
      <w:r w:rsidRPr="00CC74BF">
        <w:rPr>
          <w:rFonts w:cstheme="minorHAnsi"/>
          <w:b/>
        </w:rPr>
        <w:t>DGR  23 luglio 2019, n.475</w:t>
      </w:r>
      <w:r>
        <w:rPr>
          <w:rFonts w:cstheme="minorHAnsi"/>
        </w:rPr>
        <w:t xml:space="preserve">, </w:t>
      </w:r>
      <w:r w:rsidRPr="00E46EF1">
        <w:rPr>
          <w:rFonts w:cstheme="minorHAnsi"/>
        </w:rPr>
        <w:t>Fondo per la non autosufficienza - Contributo per il funzionamento della "Casa famiglia per disabili gravi Dopo di noi", proposta e cofinanziata dal Comune di Lauria - Annualità 2018-2019.</w:t>
      </w:r>
      <w:r w:rsidRPr="00A767CD">
        <w:rPr>
          <w:rFonts w:cstheme="minorHAnsi"/>
        </w:rPr>
        <w:t xml:space="preserve"> </w:t>
      </w:r>
      <w:r>
        <w:rPr>
          <w:rFonts w:cstheme="minorHAnsi"/>
        </w:rPr>
        <w:t>(BUR n. 26 del 1.8.19)</w:t>
      </w:r>
    </w:p>
    <w:p w:rsidR="00A767CD" w:rsidRPr="00240099" w:rsidRDefault="00A767CD" w:rsidP="00A767CD">
      <w:pPr>
        <w:spacing w:after="0" w:line="20" w:lineRule="atLeast"/>
        <w:jc w:val="both"/>
        <w:rPr>
          <w:rFonts w:cstheme="minorHAnsi"/>
          <w:b/>
        </w:rPr>
      </w:pPr>
      <w:r w:rsidRPr="00240099">
        <w:rPr>
          <w:rFonts w:cstheme="minorHAnsi"/>
          <w:b/>
        </w:rPr>
        <w:t>Note</w:t>
      </w:r>
    </w:p>
    <w:p w:rsidR="00A767CD" w:rsidRPr="00E46EF1" w:rsidRDefault="00A767CD" w:rsidP="00A767CD">
      <w:pPr>
        <w:spacing w:after="0" w:line="20" w:lineRule="atLeast"/>
        <w:jc w:val="both"/>
        <w:rPr>
          <w:rFonts w:cstheme="minorHAnsi"/>
        </w:rPr>
      </w:pPr>
      <w:r>
        <w:rPr>
          <w:rFonts w:cstheme="minorHAnsi"/>
        </w:rPr>
        <w:t xml:space="preserve">Viene </w:t>
      </w:r>
      <w:r w:rsidRPr="00E46EF1">
        <w:rPr>
          <w:rFonts w:cstheme="minorHAnsi"/>
        </w:rPr>
        <w:t>conce</w:t>
      </w:r>
      <w:r>
        <w:rPr>
          <w:rFonts w:cstheme="minorHAnsi"/>
        </w:rPr>
        <w:t xml:space="preserve">sso </w:t>
      </w:r>
      <w:r w:rsidRPr="00E46EF1">
        <w:rPr>
          <w:rFonts w:cstheme="minorHAnsi"/>
        </w:rPr>
        <w:t>il contributo regionale per finanziare il funzionamento della "Casa famiglia per disabili gravi Dopo di Noi" per l'annualità 2018.2019</w:t>
      </w:r>
      <w:r>
        <w:rPr>
          <w:rFonts w:cstheme="minorHAnsi"/>
        </w:rPr>
        <w:t>.</w:t>
      </w:r>
      <w:r w:rsidRPr="00E46EF1">
        <w:rPr>
          <w:rFonts w:cstheme="minorHAnsi"/>
        </w:rPr>
        <w:t xml:space="preserve"> </w:t>
      </w:r>
    </w:p>
    <w:p w:rsidR="00A767CD" w:rsidRDefault="00A767CD" w:rsidP="00A767CD">
      <w:pPr>
        <w:spacing w:after="0" w:line="20" w:lineRule="atLeast"/>
        <w:jc w:val="both"/>
        <w:rPr>
          <w:rFonts w:cstheme="minorHAnsi"/>
        </w:rPr>
      </w:pPr>
      <w:proofErr w:type="gramStart"/>
      <w:r>
        <w:rPr>
          <w:rFonts w:cstheme="minorHAnsi"/>
        </w:rPr>
        <w:t xml:space="preserve">Viene </w:t>
      </w:r>
      <w:r w:rsidRPr="00E46EF1">
        <w:rPr>
          <w:rFonts w:cstheme="minorHAnsi"/>
        </w:rPr>
        <w:t xml:space="preserve"> destina</w:t>
      </w:r>
      <w:r>
        <w:rPr>
          <w:rFonts w:cstheme="minorHAnsi"/>
        </w:rPr>
        <w:t>ta</w:t>
      </w:r>
      <w:proofErr w:type="gramEnd"/>
      <w:r>
        <w:rPr>
          <w:rFonts w:cstheme="minorHAnsi"/>
        </w:rPr>
        <w:t xml:space="preserve"> </w:t>
      </w:r>
      <w:r w:rsidRPr="00E46EF1">
        <w:rPr>
          <w:rFonts w:cstheme="minorHAnsi"/>
        </w:rPr>
        <w:t xml:space="preserve"> al Comune di La una la somma complessiva di € l 05.000,00 quale contributo per il funzionamento della "Casa famiglia per disabili gravi Dopo di noi"</w:t>
      </w:r>
      <w:r>
        <w:rPr>
          <w:rFonts w:cstheme="minorHAnsi"/>
        </w:rPr>
        <w:t>.</w:t>
      </w:r>
      <w:r w:rsidRPr="00E46EF1">
        <w:rPr>
          <w:rFonts w:cstheme="minorHAnsi"/>
        </w:rPr>
        <w:t xml:space="preserve"> </w:t>
      </w:r>
    </w:p>
    <w:p w:rsidR="00A767CD" w:rsidRDefault="00A767CD" w:rsidP="00A767CD">
      <w:pPr>
        <w:spacing w:after="0" w:line="20" w:lineRule="atLeast"/>
        <w:jc w:val="both"/>
        <w:rPr>
          <w:rFonts w:cstheme="minorHAnsi"/>
        </w:rPr>
      </w:pPr>
    </w:p>
    <w:p w:rsidR="00A767CD" w:rsidRPr="00E46EF1" w:rsidRDefault="00A767CD" w:rsidP="00A767CD">
      <w:pPr>
        <w:spacing w:after="0" w:line="20" w:lineRule="atLeast"/>
        <w:jc w:val="both"/>
        <w:rPr>
          <w:rFonts w:cstheme="minorHAnsi"/>
        </w:rPr>
      </w:pPr>
      <w:r w:rsidRPr="00CC74BF">
        <w:rPr>
          <w:rFonts w:cstheme="minorHAnsi"/>
          <w:b/>
        </w:rPr>
        <w:t>DGR   23 luglio 2019, n.480</w:t>
      </w:r>
      <w:r>
        <w:rPr>
          <w:rFonts w:cstheme="minorHAnsi"/>
        </w:rPr>
        <w:t xml:space="preserve">, </w:t>
      </w:r>
      <w:r w:rsidRPr="00E46EF1">
        <w:rPr>
          <w:rFonts w:cstheme="minorHAnsi"/>
        </w:rPr>
        <w:t>Consolidamento ed estensione della sperimentazione del modello di intervento in materia di vita indipendente e inclusione nella società delle persone con disabilità per l'annualità 2019-2020. Approvazione dello schema di Protocollo d'Intesa tra Regione Basilicata e Ministero del Lavoro e delle Politiche Sociali.</w:t>
      </w:r>
      <w:r w:rsidRPr="00A767CD">
        <w:rPr>
          <w:rFonts w:cstheme="minorHAnsi"/>
        </w:rPr>
        <w:t xml:space="preserve"> </w:t>
      </w:r>
      <w:r>
        <w:rPr>
          <w:rFonts w:cstheme="minorHAnsi"/>
        </w:rPr>
        <w:t>(BUR n. 26 del 1.8.19)</w:t>
      </w:r>
    </w:p>
    <w:p w:rsidR="00A767CD" w:rsidRPr="00A767CD" w:rsidRDefault="00A767CD" w:rsidP="00A767CD">
      <w:pPr>
        <w:spacing w:after="0" w:line="20" w:lineRule="atLeast"/>
        <w:jc w:val="both"/>
        <w:rPr>
          <w:rFonts w:cstheme="minorHAnsi"/>
          <w:b/>
        </w:rPr>
      </w:pPr>
      <w:r w:rsidRPr="00A767CD">
        <w:rPr>
          <w:rFonts w:cstheme="minorHAnsi"/>
          <w:b/>
        </w:rPr>
        <w:t>Note</w:t>
      </w:r>
    </w:p>
    <w:p w:rsidR="00A767CD" w:rsidRDefault="00A767CD" w:rsidP="00A767CD">
      <w:pPr>
        <w:spacing w:after="0" w:line="20" w:lineRule="atLeast"/>
        <w:jc w:val="both"/>
        <w:rPr>
          <w:rFonts w:cstheme="minorHAnsi"/>
        </w:rPr>
      </w:pPr>
      <w:r>
        <w:rPr>
          <w:rFonts w:cstheme="minorHAnsi"/>
        </w:rPr>
        <w:t xml:space="preserve">Viene approvato </w:t>
      </w:r>
      <w:r w:rsidRPr="00E46EF1">
        <w:rPr>
          <w:rFonts w:cstheme="minorHAnsi"/>
        </w:rPr>
        <w:t>lo schema di Protocollo d'Intesa tra Regione Basilicata e Ministero del Lavoro e delle Politiche Sociali.</w:t>
      </w:r>
    </w:p>
    <w:p w:rsidR="00146881" w:rsidRDefault="00146881" w:rsidP="00FE6DA0">
      <w:pPr>
        <w:spacing w:after="0" w:line="20" w:lineRule="atLeast"/>
        <w:jc w:val="both"/>
        <w:rPr>
          <w:rFonts w:cstheme="minorHAnsi"/>
          <w:u w:val="single"/>
        </w:rPr>
      </w:pPr>
    </w:p>
    <w:p w:rsidR="00146881" w:rsidRPr="00AF638C" w:rsidRDefault="00146881" w:rsidP="00146881">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AF638C">
        <w:rPr>
          <w:rFonts w:cstheme="minorHAnsi"/>
          <w:b/>
        </w:rPr>
        <w:t>SANITÀ</w:t>
      </w:r>
    </w:p>
    <w:p w:rsidR="00146881" w:rsidRPr="00E46EF1" w:rsidRDefault="00146881" w:rsidP="00146881">
      <w:pPr>
        <w:spacing w:after="0" w:line="20" w:lineRule="atLeast"/>
        <w:jc w:val="both"/>
        <w:rPr>
          <w:rFonts w:cstheme="minorHAnsi"/>
        </w:rPr>
      </w:pPr>
    </w:p>
    <w:p w:rsidR="00146881" w:rsidRDefault="00146881" w:rsidP="00146881">
      <w:pPr>
        <w:spacing w:after="0" w:line="20" w:lineRule="atLeast"/>
        <w:jc w:val="both"/>
        <w:rPr>
          <w:rFonts w:cstheme="minorHAnsi"/>
        </w:rPr>
      </w:pPr>
      <w:r w:rsidRPr="00AF638C">
        <w:rPr>
          <w:rFonts w:cstheme="minorHAnsi"/>
          <w:b/>
        </w:rPr>
        <w:t>DGR  12 luglio 2019, n.455,</w:t>
      </w:r>
      <w:r>
        <w:rPr>
          <w:rFonts w:cstheme="minorHAnsi"/>
        </w:rPr>
        <w:t xml:space="preserve"> </w:t>
      </w:r>
      <w:r w:rsidRPr="00E46EF1">
        <w:rPr>
          <w:rFonts w:cstheme="minorHAnsi"/>
        </w:rPr>
        <w:t>LR n.17/2011 e smi - art. 10 "Misure di contenimento della spesa del personale del S.S.R. - attività aggiuntive</w:t>
      </w:r>
      <w:proofErr w:type="gramStart"/>
      <w:r w:rsidRPr="00E46EF1">
        <w:rPr>
          <w:rFonts w:cstheme="minorHAnsi"/>
        </w:rPr>
        <w:t>".-</w:t>
      </w:r>
      <w:proofErr w:type="gramEnd"/>
      <w:r w:rsidRPr="00E46EF1">
        <w:rPr>
          <w:rFonts w:cstheme="minorHAnsi"/>
        </w:rPr>
        <w:t xml:space="preserve"> Approvazione progetto Azienda Sanitaria Locale di Matera ASM - Anno 2019.</w:t>
      </w:r>
      <w:r w:rsidRPr="00AF638C">
        <w:rPr>
          <w:rFonts w:cstheme="minorHAnsi"/>
        </w:rPr>
        <w:t xml:space="preserve"> </w:t>
      </w:r>
      <w:r>
        <w:rPr>
          <w:rFonts w:cstheme="minorHAnsi"/>
        </w:rPr>
        <w:t>(BUR n. 25 del 1.8.19)</w:t>
      </w:r>
    </w:p>
    <w:p w:rsidR="00146881" w:rsidRPr="00AF638C" w:rsidRDefault="00146881" w:rsidP="00146881">
      <w:pPr>
        <w:spacing w:after="0" w:line="20" w:lineRule="atLeast"/>
        <w:jc w:val="both"/>
        <w:rPr>
          <w:rFonts w:cstheme="minorHAnsi"/>
          <w:b/>
        </w:rPr>
      </w:pPr>
      <w:r w:rsidRPr="00AF638C">
        <w:rPr>
          <w:rFonts w:cstheme="minorHAnsi"/>
          <w:b/>
        </w:rPr>
        <w:t>Note</w:t>
      </w:r>
    </w:p>
    <w:p w:rsidR="00146881" w:rsidRDefault="00146881" w:rsidP="00146881">
      <w:pPr>
        <w:spacing w:after="0" w:line="20" w:lineRule="atLeast"/>
        <w:jc w:val="both"/>
        <w:rPr>
          <w:rFonts w:cstheme="minorHAnsi"/>
        </w:rPr>
      </w:pPr>
      <w:r>
        <w:rPr>
          <w:rFonts w:cstheme="minorHAnsi"/>
        </w:rPr>
        <w:t xml:space="preserve">Viene </w:t>
      </w:r>
      <w:proofErr w:type="gramStart"/>
      <w:r>
        <w:rPr>
          <w:rFonts w:cstheme="minorHAnsi"/>
        </w:rPr>
        <w:t xml:space="preserve">approvato </w:t>
      </w:r>
      <w:r w:rsidRPr="00E46EF1">
        <w:rPr>
          <w:rFonts w:cstheme="minorHAnsi"/>
        </w:rPr>
        <w:t xml:space="preserve"> il</w:t>
      </w:r>
      <w:proofErr w:type="gramEnd"/>
      <w:r w:rsidRPr="00E46EF1">
        <w:rPr>
          <w:rFonts w:cstheme="minorHAnsi"/>
        </w:rPr>
        <w:t xml:space="preserve"> progetto della Direzione Generale dell'Azienda Sanita</w:t>
      </w:r>
      <w:r>
        <w:rPr>
          <w:rFonts w:cstheme="minorHAnsi"/>
        </w:rPr>
        <w:t>ria</w:t>
      </w:r>
      <w:r w:rsidRPr="00E46EF1">
        <w:rPr>
          <w:rFonts w:cstheme="minorHAnsi"/>
        </w:rPr>
        <w:t xml:space="preserve"> Locale di</w:t>
      </w:r>
      <w:r>
        <w:rPr>
          <w:rFonts w:cstheme="minorHAnsi"/>
        </w:rPr>
        <w:t xml:space="preserve"> Matera </w:t>
      </w:r>
      <w:r w:rsidRPr="00E46EF1">
        <w:rPr>
          <w:rFonts w:cstheme="minorHAnsi"/>
        </w:rPr>
        <w:t xml:space="preserve"> per </w:t>
      </w:r>
      <w:r>
        <w:rPr>
          <w:rFonts w:cstheme="minorHAnsi"/>
        </w:rPr>
        <w:t>il</w:t>
      </w:r>
      <w:r w:rsidRPr="00E46EF1">
        <w:rPr>
          <w:rFonts w:cstheme="minorHAnsi"/>
        </w:rPr>
        <w:t xml:space="preserve"> mantenimento/p</w:t>
      </w:r>
      <w:r>
        <w:rPr>
          <w:rFonts w:cstheme="minorHAnsi"/>
        </w:rPr>
        <w:t>ot</w:t>
      </w:r>
      <w:r w:rsidRPr="00E46EF1">
        <w:rPr>
          <w:rFonts w:cstheme="minorHAnsi"/>
        </w:rPr>
        <w:t>enz</w:t>
      </w:r>
      <w:r>
        <w:rPr>
          <w:rFonts w:cstheme="minorHAnsi"/>
        </w:rPr>
        <w:t>i</w:t>
      </w:r>
      <w:r w:rsidRPr="00E46EF1">
        <w:rPr>
          <w:rFonts w:cstheme="minorHAnsi"/>
        </w:rPr>
        <w:t xml:space="preserve">amento delle attività afferenti al settore dell'emergenza urgenza dell' </w:t>
      </w:r>
      <w:r>
        <w:rPr>
          <w:rFonts w:cstheme="minorHAnsi"/>
        </w:rPr>
        <w:t>A</w:t>
      </w:r>
      <w:r w:rsidRPr="00E46EF1">
        <w:rPr>
          <w:rFonts w:cstheme="minorHAnsi"/>
        </w:rPr>
        <w:t>zienda</w:t>
      </w:r>
      <w:r>
        <w:rPr>
          <w:rFonts w:cstheme="minorHAnsi"/>
        </w:rPr>
        <w:t>.</w:t>
      </w:r>
    </w:p>
    <w:p w:rsidR="00336924" w:rsidRDefault="00336924" w:rsidP="00146881">
      <w:pPr>
        <w:spacing w:after="0" w:line="20" w:lineRule="atLeast"/>
        <w:jc w:val="both"/>
        <w:rPr>
          <w:rFonts w:cstheme="minorHAnsi"/>
        </w:rPr>
      </w:pPr>
    </w:p>
    <w:p w:rsidR="00336924" w:rsidRDefault="00336924" w:rsidP="00336924">
      <w:pPr>
        <w:spacing w:after="0" w:line="20" w:lineRule="atLeast"/>
        <w:jc w:val="both"/>
        <w:rPr>
          <w:rFonts w:cstheme="minorHAnsi"/>
        </w:rPr>
      </w:pPr>
      <w:r w:rsidRPr="00AF638C">
        <w:rPr>
          <w:rFonts w:cstheme="minorHAnsi"/>
          <w:b/>
        </w:rPr>
        <w:t>DGR  12 luglio 2019, n. 456</w:t>
      </w:r>
      <w:r>
        <w:rPr>
          <w:rFonts w:cstheme="minorHAnsi"/>
        </w:rPr>
        <w:t xml:space="preserve">, </w:t>
      </w:r>
      <w:r w:rsidRPr="00E46EF1">
        <w:rPr>
          <w:rFonts w:cstheme="minorHAnsi"/>
        </w:rPr>
        <w:t>Progetto dal titolo "Percorso screening e diagnostica prenatale" - Implementazione del test di screening NIPS "Non invasive Prenatal Screening"- "SCREENING PRENATALE NON INVASIVO T21, T13 e T18" per la tutela della maternità responsabile" Approvazione.</w:t>
      </w:r>
      <w:r>
        <w:rPr>
          <w:rFonts w:cstheme="minorHAnsi"/>
        </w:rPr>
        <w:t xml:space="preserve"> (BUR n. 25 del 1.8.19)</w:t>
      </w:r>
    </w:p>
    <w:p w:rsidR="00336924" w:rsidRPr="00AF638C" w:rsidRDefault="00336924" w:rsidP="00336924">
      <w:pPr>
        <w:spacing w:after="0" w:line="20" w:lineRule="atLeast"/>
        <w:jc w:val="both"/>
        <w:rPr>
          <w:rFonts w:cstheme="minorHAnsi"/>
          <w:b/>
        </w:rPr>
      </w:pPr>
      <w:r w:rsidRPr="00AF638C">
        <w:rPr>
          <w:rFonts w:cstheme="minorHAnsi"/>
          <w:b/>
        </w:rPr>
        <w:t>Note</w:t>
      </w:r>
    </w:p>
    <w:p w:rsidR="00336924" w:rsidRDefault="00336924" w:rsidP="00336924">
      <w:pPr>
        <w:spacing w:after="0" w:line="20" w:lineRule="atLeast"/>
        <w:jc w:val="both"/>
        <w:rPr>
          <w:rFonts w:cstheme="minorHAnsi"/>
        </w:rPr>
      </w:pPr>
      <w:r>
        <w:rPr>
          <w:rFonts w:cstheme="minorHAnsi"/>
        </w:rPr>
        <w:t xml:space="preserve">Viene approvato </w:t>
      </w:r>
      <w:r w:rsidRPr="00E46EF1">
        <w:rPr>
          <w:rFonts w:cstheme="minorHAnsi"/>
        </w:rPr>
        <w:t>il progetto dal titolo 'Percorso screening e di</w:t>
      </w:r>
      <w:r>
        <w:rPr>
          <w:rFonts w:cstheme="minorHAnsi"/>
        </w:rPr>
        <w:t>a</w:t>
      </w:r>
      <w:r w:rsidRPr="00E46EF1">
        <w:rPr>
          <w:rFonts w:cstheme="minorHAnsi"/>
        </w:rPr>
        <w:t>gnostica prenatale Implementazione ùcl test di screening NIPS "Non invasive Prenatal Scre</w:t>
      </w:r>
      <w:r>
        <w:rPr>
          <w:rFonts w:cstheme="minorHAnsi"/>
        </w:rPr>
        <w:t>e</w:t>
      </w:r>
      <w:r w:rsidRPr="00E46EF1">
        <w:rPr>
          <w:rFonts w:cstheme="minorHAnsi"/>
        </w:rPr>
        <w:t>ning"</w:t>
      </w:r>
      <w:r>
        <w:rPr>
          <w:rFonts w:cstheme="minorHAnsi"/>
        </w:rPr>
        <w:t>.</w:t>
      </w:r>
    </w:p>
    <w:p w:rsidR="000E6D4F" w:rsidRDefault="000E6D4F" w:rsidP="00336924">
      <w:pPr>
        <w:spacing w:after="0" w:line="20" w:lineRule="atLeast"/>
        <w:jc w:val="both"/>
        <w:rPr>
          <w:rFonts w:cstheme="minorHAnsi"/>
        </w:rPr>
      </w:pPr>
    </w:p>
    <w:p w:rsidR="002E75F9" w:rsidRDefault="000E6D4F" w:rsidP="002E75F9">
      <w:pPr>
        <w:spacing w:after="0" w:line="20" w:lineRule="atLeast"/>
        <w:jc w:val="both"/>
        <w:rPr>
          <w:rFonts w:cstheme="minorHAnsi"/>
        </w:rPr>
      </w:pPr>
      <w:r w:rsidRPr="00CC74BF">
        <w:rPr>
          <w:rFonts w:cstheme="minorHAnsi"/>
          <w:b/>
        </w:rPr>
        <w:t>DGR  23 luglio 2019, n.487</w:t>
      </w:r>
      <w:r>
        <w:rPr>
          <w:rFonts w:cstheme="minorHAnsi"/>
        </w:rPr>
        <w:t xml:space="preserve">, </w:t>
      </w:r>
      <w:r w:rsidRPr="00E46EF1">
        <w:rPr>
          <w:rFonts w:cstheme="minorHAnsi"/>
        </w:rPr>
        <w:t xml:space="preserve">Recepimento dell'Accordo, ai sensi dell'articolo 4, comma 1 del decreto legislativo 28 agosto 1997, n. 281, tra il Governo, le Regioni e le Province autonome di Trento e Bolzano sul documento concernente "Indirizzi di "policy" integrate per la Scuola che Promuove Salute" (Rep. Atti n. 2/CSR del 17 gennaio 2019) e del relativo Protocollo d'Intesa tra il Ministero della Istruzione, dell'Università e della Ricerca </w:t>
      </w:r>
      <w:r w:rsidRPr="00E46EF1">
        <w:rPr>
          <w:rFonts w:cstheme="minorHAnsi"/>
        </w:rPr>
        <w:lastRenderedPageBreak/>
        <w:t>e il Ministero della Salute "Tutela del diritto alla salute, allo studio e all'inclusione" sottoscritto il 20 febbraio.</w:t>
      </w:r>
      <w:r w:rsidR="002E75F9" w:rsidRPr="002E75F9">
        <w:rPr>
          <w:rFonts w:cstheme="minorHAnsi"/>
        </w:rPr>
        <w:t xml:space="preserve"> </w:t>
      </w:r>
      <w:r w:rsidR="002E75F9">
        <w:rPr>
          <w:rFonts w:cstheme="minorHAnsi"/>
        </w:rPr>
        <w:t>(BUR n. 25 del 1.8.19)</w:t>
      </w:r>
    </w:p>
    <w:p w:rsidR="000E6D4F" w:rsidRPr="00CC74BF" w:rsidRDefault="000E6D4F" w:rsidP="000E6D4F">
      <w:pPr>
        <w:spacing w:after="0" w:line="20" w:lineRule="atLeast"/>
        <w:jc w:val="both"/>
        <w:rPr>
          <w:rFonts w:cstheme="minorHAnsi"/>
          <w:b/>
        </w:rPr>
      </w:pPr>
      <w:r w:rsidRPr="00CC74BF">
        <w:rPr>
          <w:rFonts w:cstheme="minorHAnsi"/>
          <w:b/>
        </w:rPr>
        <w:t>Note</w:t>
      </w:r>
    </w:p>
    <w:p w:rsidR="000E6D4F" w:rsidRPr="00E46EF1" w:rsidRDefault="000E6D4F" w:rsidP="000E6D4F">
      <w:pPr>
        <w:spacing w:after="0" w:line="20" w:lineRule="atLeast"/>
        <w:jc w:val="both"/>
        <w:rPr>
          <w:rFonts w:cstheme="minorHAnsi"/>
        </w:rPr>
      </w:pPr>
      <w:r>
        <w:rPr>
          <w:rFonts w:cstheme="minorHAnsi"/>
        </w:rPr>
        <w:t xml:space="preserve">Viene </w:t>
      </w:r>
      <w:r w:rsidRPr="00E46EF1">
        <w:rPr>
          <w:rFonts w:cstheme="minorHAnsi"/>
        </w:rPr>
        <w:t>rec</w:t>
      </w:r>
      <w:r>
        <w:rPr>
          <w:rFonts w:cstheme="minorHAnsi"/>
        </w:rPr>
        <w:t>e</w:t>
      </w:r>
      <w:r w:rsidRPr="00E46EF1">
        <w:rPr>
          <w:rFonts w:cstheme="minorHAnsi"/>
        </w:rPr>
        <w:t>p</w:t>
      </w:r>
      <w:r>
        <w:rPr>
          <w:rFonts w:cstheme="minorHAnsi"/>
        </w:rPr>
        <w:t>i</w:t>
      </w:r>
      <w:r w:rsidRPr="00E46EF1">
        <w:rPr>
          <w:rFonts w:cstheme="minorHAnsi"/>
        </w:rPr>
        <w:t>t</w:t>
      </w:r>
      <w:r>
        <w:rPr>
          <w:rFonts w:cstheme="minorHAnsi"/>
        </w:rPr>
        <w:t>o</w:t>
      </w:r>
      <w:r w:rsidRPr="00E46EF1">
        <w:rPr>
          <w:rFonts w:cstheme="minorHAnsi"/>
        </w:rPr>
        <w:t xml:space="preserve"> l'Accordo ai sensi dell'articolo 4, comma t del decreto l</w:t>
      </w:r>
      <w:r>
        <w:rPr>
          <w:rFonts w:cstheme="minorHAnsi"/>
        </w:rPr>
        <w:t>e</w:t>
      </w:r>
      <w:r w:rsidRPr="00E46EF1">
        <w:rPr>
          <w:rFonts w:cstheme="minorHAnsi"/>
        </w:rPr>
        <w:t>gislati</w:t>
      </w:r>
      <w:r>
        <w:rPr>
          <w:rFonts w:cstheme="minorHAnsi"/>
        </w:rPr>
        <w:t xml:space="preserve">vo </w:t>
      </w:r>
      <w:r w:rsidRPr="00E46EF1">
        <w:rPr>
          <w:rFonts w:cstheme="minorHAnsi"/>
        </w:rPr>
        <w:t xml:space="preserve"> n.281</w:t>
      </w:r>
      <w:r>
        <w:rPr>
          <w:rFonts w:cstheme="minorHAnsi"/>
        </w:rPr>
        <w:t>/97</w:t>
      </w:r>
      <w:r w:rsidRPr="00E46EF1">
        <w:rPr>
          <w:rFonts w:cstheme="minorHAnsi"/>
        </w:rPr>
        <w:t>, tra il Governo, le Reg</w:t>
      </w:r>
      <w:r>
        <w:rPr>
          <w:rFonts w:cstheme="minorHAnsi"/>
        </w:rPr>
        <w:t>i</w:t>
      </w:r>
      <w:r w:rsidRPr="00E46EF1">
        <w:rPr>
          <w:rFonts w:cstheme="minorHAnsi"/>
        </w:rPr>
        <w:t xml:space="preserve">oni </w:t>
      </w:r>
      <w:r>
        <w:rPr>
          <w:rFonts w:cstheme="minorHAnsi"/>
        </w:rPr>
        <w:t>e</w:t>
      </w:r>
      <w:r w:rsidRPr="00E46EF1">
        <w:rPr>
          <w:rFonts w:cstheme="minorHAnsi"/>
        </w:rPr>
        <w:t xml:space="preserve"> le Province autonome di Trento c Bolzano sul documento concernente</w:t>
      </w:r>
      <w:r>
        <w:rPr>
          <w:rFonts w:cstheme="minorHAnsi"/>
        </w:rPr>
        <w:t xml:space="preserve"> </w:t>
      </w:r>
      <w:r w:rsidRPr="00E46EF1">
        <w:rPr>
          <w:rFonts w:cstheme="minorHAnsi"/>
        </w:rPr>
        <w:t>Indirizzi di "policy" integrate per la Scuola che Promuove Salute" (Rep. Atti n. 2/CSR del 17 gennaio 2019) e del relativo Protocollo d'Intesa tra il Ministero della Istruzione, dell'Università e della Ricerca e il Ministero della Salute "Tutela del diritto alla salute, allo studio e all'inclusione" sottoscritto il 20 febbraio.</w:t>
      </w:r>
    </w:p>
    <w:p w:rsidR="000E6D4F" w:rsidRDefault="000E6D4F" w:rsidP="000E6D4F">
      <w:pPr>
        <w:spacing w:after="0" w:line="20" w:lineRule="atLeast"/>
        <w:jc w:val="both"/>
        <w:rPr>
          <w:rFonts w:cstheme="minorHAnsi"/>
        </w:rPr>
      </w:pPr>
      <w:r w:rsidRPr="00E46EF1">
        <w:rPr>
          <w:rFonts w:cstheme="minorHAnsi"/>
        </w:rPr>
        <w:t xml:space="preserve"> </w:t>
      </w:r>
      <w:r>
        <w:rPr>
          <w:rFonts w:cstheme="minorHAnsi"/>
        </w:rPr>
        <w:t xml:space="preserve">Viene </w:t>
      </w:r>
      <w:r w:rsidRPr="00E46EF1">
        <w:rPr>
          <w:rFonts w:cstheme="minorHAnsi"/>
        </w:rPr>
        <w:t>rimanda</w:t>
      </w:r>
      <w:r>
        <w:rPr>
          <w:rFonts w:cstheme="minorHAnsi"/>
        </w:rPr>
        <w:t xml:space="preserve">to </w:t>
      </w:r>
      <w:r w:rsidRPr="00E46EF1">
        <w:rPr>
          <w:rFonts w:cstheme="minorHAnsi"/>
        </w:rPr>
        <w:t>e ad atto success</w:t>
      </w:r>
      <w:r>
        <w:rPr>
          <w:rFonts w:cstheme="minorHAnsi"/>
        </w:rPr>
        <w:t>i</w:t>
      </w:r>
      <w:r w:rsidRPr="00E46EF1">
        <w:rPr>
          <w:rFonts w:cstheme="minorHAnsi"/>
        </w:rPr>
        <w:t>vo l'approvazione della conseguente intesa operativa tra la Regione Bas</w:t>
      </w:r>
      <w:r>
        <w:rPr>
          <w:rFonts w:cstheme="minorHAnsi"/>
        </w:rPr>
        <w:t>i</w:t>
      </w:r>
      <w:r w:rsidRPr="00E46EF1">
        <w:rPr>
          <w:rFonts w:cstheme="minorHAnsi"/>
        </w:rPr>
        <w:t>licata D</w:t>
      </w:r>
      <w:r>
        <w:rPr>
          <w:rFonts w:cstheme="minorHAnsi"/>
        </w:rPr>
        <w:t>i</w:t>
      </w:r>
      <w:r w:rsidRPr="00E46EF1">
        <w:rPr>
          <w:rFonts w:cstheme="minorHAnsi"/>
        </w:rPr>
        <w:t>partim</w:t>
      </w:r>
      <w:r>
        <w:rPr>
          <w:rFonts w:cstheme="minorHAnsi"/>
        </w:rPr>
        <w:t>e</w:t>
      </w:r>
      <w:r w:rsidRPr="00E46EF1">
        <w:rPr>
          <w:rFonts w:cstheme="minorHAnsi"/>
        </w:rPr>
        <w:t xml:space="preserve">nto Politiche della Persona c l'Ufficio Scolastico Regionale in attuazione dell'Accordo </w:t>
      </w:r>
      <w:r>
        <w:rPr>
          <w:rFonts w:cstheme="minorHAnsi"/>
        </w:rPr>
        <w:t>e</w:t>
      </w:r>
      <w:r w:rsidRPr="00E46EF1">
        <w:rPr>
          <w:rFonts w:cstheme="minorHAnsi"/>
        </w:rPr>
        <w:t xml:space="preserve"> del Protocollo</w:t>
      </w:r>
      <w:r>
        <w:rPr>
          <w:rFonts w:cstheme="minorHAnsi"/>
        </w:rPr>
        <w:t>.</w:t>
      </w:r>
      <w:r w:rsidRPr="00E46EF1">
        <w:rPr>
          <w:rFonts w:cstheme="minorHAnsi"/>
        </w:rPr>
        <w:t xml:space="preserve"> </w:t>
      </w:r>
    </w:p>
    <w:p w:rsidR="00162D5C" w:rsidRDefault="00162D5C" w:rsidP="000E6D4F">
      <w:pPr>
        <w:spacing w:after="0" w:line="20" w:lineRule="atLeast"/>
        <w:jc w:val="both"/>
        <w:rPr>
          <w:rFonts w:cstheme="minorHAnsi"/>
        </w:rPr>
      </w:pPr>
    </w:p>
    <w:p w:rsidR="00162D5C" w:rsidRPr="00631D07" w:rsidRDefault="00162D5C" w:rsidP="00162D5C">
      <w:pPr>
        <w:shd w:val="clear" w:color="auto" w:fill="FEFEFE"/>
        <w:spacing w:after="0" w:line="20" w:lineRule="atLeast"/>
        <w:jc w:val="both"/>
        <w:outlineLvl w:val="1"/>
      </w:pPr>
      <w:r w:rsidRPr="00631D07">
        <w:rPr>
          <w:b/>
        </w:rPr>
        <w:t>DGR 7 agosto 2019, n.570</w:t>
      </w:r>
      <w:r w:rsidRPr="00631D07">
        <w:t>, Approvazione del Piano Attuativo Regionale per il governo delle liste di attesa per il triennio 2019-2021 (PRGLA 2019-2021). (BUR n. 28 del 16.8.19)</w:t>
      </w:r>
    </w:p>
    <w:p w:rsidR="00162D5C" w:rsidRPr="00631D07" w:rsidRDefault="00162D5C" w:rsidP="00162D5C">
      <w:pPr>
        <w:shd w:val="clear" w:color="auto" w:fill="FEFEFE"/>
        <w:spacing w:after="0" w:line="20" w:lineRule="atLeast"/>
        <w:jc w:val="both"/>
        <w:outlineLvl w:val="1"/>
        <w:rPr>
          <w:b/>
        </w:rPr>
      </w:pPr>
      <w:r w:rsidRPr="00631D07">
        <w:rPr>
          <w:b/>
        </w:rPr>
        <w:t>Note</w:t>
      </w:r>
    </w:p>
    <w:p w:rsidR="00162D5C" w:rsidRPr="00631D07" w:rsidRDefault="00162D5C" w:rsidP="00162D5C">
      <w:pPr>
        <w:shd w:val="clear" w:color="auto" w:fill="FEFEFE"/>
        <w:spacing w:after="0" w:line="20" w:lineRule="atLeast"/>
        <w:jc w:val="both"/>
        <w:outlineLvl w:val="1"/>
      </w:pPr>
      <w:r w:rsidRPr="00631D07">
        <w:t>Viene approvato il nuovo Piano Attuativo Regionale per il governo delle liste di attesa per il triennio 2019-2021 (PRGLA 2019-2021), nel rispetto della DGR n.271/2019 che aggiorna il precedente Piano Attuativo regionale dei tempi di attesa di cui alla DGR n.1189/2011.</w:t>
      </w:r>
    </w:p>
    <w:p w:rsidR="00162D5C" w:rsidRPr="00631D07" w:rsidRDefault="00162D5C" w:rsidP="00162D5C">
      <w:pPr>
        <w:shd w:val="clear" w:color="auto" w:fill="FEFEFE"/>
        <w:spacing w:after="0" w:line="20" w:lineRule="atLeast"/>
        <w:jc w:val="both"/>
        <w:outlineLvl w:val="1"/>
      </w:pPr>
      <w:r w:rsidRPr="00631D07">
        <w:t>Il citato PRGLA 2019-2021 prevede, per il raggiungimento degli obiettivi ivi definiti, la revisione e l'integrazione dell'attuale sistema informatico regionale, in particolare, della procedura di prenotazione delle prestazioni specialistiche e strumentali ambulatoriali.</w:t>
      </w:r>
    </w:p>
    <w:p w:rsidR="00162D5C" w:rsidRPr="00631D07" w:rsidRDefault="00162D5C" w:rsidP="00162D5C">
      <w:pPr>
        <w:shd w:val="clear" w:color="auto" w:fill="FEFEFE"/>
        <w:spacing w:after="0" w:line="20" w:lineRule="atLeast"/>
        <w:jc w:val="both"/>
        <w:outlineLvl w:val="1"/>
      </w:pPr>
      <w:r w:rsidRPr="00631D07">
        <w:t>La spesa necessaria alla realizzazione del citato Piano trova copertura finanziaria nell'assegnazione per la Regione Basilicata di cui all'Intesa CSR n.151 dell'1.8.2019 e che con successivo provvedimento, il competente Ufficio dipartimentale provvederà all'emanazione delle relative linee operative.</w:t>
      </w:r>
    </w:p>
    <w:p w:rsidR="00162D5C" w:rsidRPr="00631D07" w:rsidRDefault="00162D5C" w:rsidP="00162D5C">
      <w:pPr>
        <w:spacing w:after="0" w:line="20" w:lineRule="atLeast"/>
        <w:jc w:val="both"/>
        <w:rPr>
          <w:rFonts w:cstheme="minorHAnsi"/>
        </w:rPr>
      </w:pPr>
      <w:r w:rsidRPr="00631D07">
        <w:t>Le Aziende del SSR dovranno porre in essere le azione previste nel Piano Attuativo Regionale allegato al presente provvedimento nei tempi e nelle modalità ivi previste</w:t>
      </w:r>
      <w:r w:rsidR="00631D07">
        <w:t>.</w:t>
      </w:r>
    </w:p>
    <w:p w:rsidR="000E6D4F" w:rsidRDefault="000E6D4F" w:rsidP="00336924">
      <w:pPr>
        <w:spacing w:after="0" w:line="20" w:lineRule="atLeast"/>
        <w:jc w:val="both"/>
        <w:rPr>
          <w:rFonts w:cstheme="minorHAnsi"/>
        </w:rPr>
      </w:pPr>
    </w:p>
    <w:p w:rsidR="000E6D4F" w:rsidRDefault="000E6D4F" w:rsidP="000E6D4F">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Pr>
          <w:rFonts w:cstheme="minorHAnsi"/>
          <w:b/>
        </w:rPr>
        <w:t>TUTELA DEI DIRITTI</w:t>
      </w:r>
    </w:p>
    <w:p w:rsidR="000E6D4F" w:rsidRDefault="000E6D4F" w:rsidP="000E6D4F">
      <w:pPr>
        <w:spacing w:after="0" w:line="20" w:lineRule="atLeast"/>
        <w:jc w:val="both"/>
        <w:rPr>
          <w:rFonts w:cstheme="minorHAnsi"/>
          <w:b/>
        </w:rPr>
      </w:pPr>
    </w:p>
    <w:p w:rsidR="000E6D4F" w:rsidRDefault="000E6D4F" w:rsidP="000E6D4F">
      <w:pPr>
        <w:spacing w:after="0" w:line="20" w:lineRule="atLeast"/>
        <w:jc w:val="both"/>
        <w:rPr>
          <w:rFonts w:cstheme="minorHAnsi"/>
        </w:rPr>
      </w:pPr>
      <w:r w:rsidRPr="00CC74BF">
        <w:rPr>
          <w:rFonts w:cstheme="minorHAnsi"/>
          <w:b/>
        </w:rPr>
        <w:t>DGR 23 luglio 2019, n.488</w:t>
      </w:r>
      <w:r>
        <w:rPr>
          <w:rFonts w:cstheme="minorHAnsi"/>
        </w:rPr>
        <w:t xml:space="preserve">, </w:t>
      </w:r>
      <w:r w:rsidRPr="00E46EF1">
        <w:rPr>
          <w:rFonts w:cstheme="minorHAnsi"/>
        </w:rPr>
        <w:t>DGR N.637/2016 - DGR N.427/2018 - modalità di accesso per le annualità 2018/2019 al fondo di cui alla legge 119/2013 "prevenzione e contrasto violenza di genere</w:t>
      </w:r>
      <w:r>
        <w:rPr>
          <w:rFonts w:cstheme="minorHAnsi"/>
        </w:rPr>
        <w:t>. (BUR n. 26 del 1.8.19)</w:t>
      </w:r>
    </w:p>
    <w:p w:rsidR="000E6D4F" w:rsidRPr="00CC74BF" w:rsidRDefault="000E6D4F" w:rsidP="000E6D4F">
      <w:pPr>
        <w:spacing w:after="0" w:line="20" w:lineRule="atLeast"/>
        <w:jc w:val="both"/>
        <w:rPr>
          <w:rFonts w:cstheme="minorHAnsi"/>
          <w:b/>
        </w:rPr>
      </w:pPr>
      <w:r w:rsidRPr="00CC74BF">
        <w:rPr>
          <w:rFonts w:cstheme="minorHAnsi"/>
          <w:b/>
        </w:rPr>
        <w:t>Note</w:t>
      </w:r>
    </w:p>
    <w:p w:rsidR="000E6D4F" w:rsidRPr="00E46EF1" w:rsidRDefault="000E6D4F" w:rsidP="000E6D4F">
      <w:pPr>
        <w:spacing w:after="0" w:line="20" w:lineRule="atLeast"/>
        <w:jc w:val="both"/>
        <w:rPr>
          <w:rFonts w:cstheme="minorHAnsi"/>
        </w:rPr>
      </w:pPr>
      <w:r>
        <w:rPr>
          <w:rFonts w:cstheme="minorHAnsi"/>
        </w:rPr>
        <w:t xml:space="preserve">Vengono </w:t>
      </w:r>
      <w:r w:rsidRPr="00E46EF1">
        <w:rPr>
          <w:rFonts w:cstheme="minorHAnsi"/>
        </w:rPr>
        <w:t>applica</w:t>
      </w:r>
      <w:r>
        <w:rPr>
          <w:rFonts w:cstheme="minorHAnsi"/>
        </w:rPr>
        <w:t>te</w:t>
      </w:r>
      <w:r w:rsidRPr="00E46EF1">
        <w:rPr>
          <w:rFonts w:cstheme="minorHAnsi"/>
        </w:rPr>
        <w:t>, nelle more del perfezionamento dei nuovi criteri a livello nazionale, anche per gli anni 2018 e 2019 nonch</w:t>
      </w:r>
      <w:r>
        <w:rPr>
          <w:rFonts w:cstheme="minorHAnsi"/>
        </w:rPr>
        <w:t>é</w:t>
      </w:r>
      <w:r w:rsidRPr="00E46EF1">
        <w:rPr>
          <w:rFonts w:cstheme="minorHAnsi"/>
        </w:rPr>
        <w:t xml:space="preserve"> in relazione alla seconda fase della programmazione regionale di cui alla DGR n.427/2018, le modalità adottate con la DGR n.637/2016 per consentire l'accesso al contributo agli Enti Locali, soggetti attuatori degli interventi volti a contrastare il fenomeno della violenza di genere sull'intero territorio regionale</w:t>
      </w:r>
      <w:r>
        <w:rPr>
          <w:rFonts w:cstheme="minorHAnsi"/>
        </w:rPr>
        <w:t>.</w:t>
      </w:r>
      <w:r w:rsidRPr="00E46EF1">
        <w:rPr>
          <w:rFonts w:cstheme="minorHAnsi"/>
        </w:rPr>
        <w:t xml:space="preserve"> </w:t>
      </w:r>
    </w:p>
    <w:p w:rsidR="000E6D4F" w:rsidRDefault="000E6D4F" w:rsidP="000E6D4F">
      <w:pPr>
        <w:spacing w:after="0" w:line="20" w:lineRule="atLeast"/>
        <w:jc w:val="both"/>
        <w:rPr>
          <w:rFonts w:cstheme="minorHAnsi"/>
        </w:rPr>
      </w:pPr>
      <w:r>
        <w:rPr>
          <w:rFonts w:cstheme="minorHAnsi"/>
        </w:rPr>
        <w:t>A</w:t>
      </w:r>
      <w:r w:rsidRPr="00E46EF1">
        <w:rPr>
          <w:rFonts w:cstheme="minorHAnsi"/>
        </w:rPr>
        <w:t xml:space="preserve"> seguito di eventuali nuove direttive definite a livello nazionale,</w:t>
      </w:r>
      <w:r w:rsidR="00466533">
        <w:rPr>
          <w:rFonts w:cstheme="minorHAnsi"/>
        </w:rPr>
        <w:t xml:space="preserve"> </w:t>
      </w:r>
      <w:r w:rsidRPr="00E46EF1">
        <w:rPr>
          <w:rFonts w:cstheme="minorHAnsi"/>
        </w:rPr>
        <w:t xml:space="preserve">la Giunta regionale provvederà ad adottare i conseguenti provvedimenti. </w:t>
      </w:r>
    </w:p>
    <w:p w:rsidR="00594A0C" w:rsidRDefault="00594A0C" w:rsidP="000E6D4F">
      <w:pPr>
        <w:spacing w:after="0" w:line="20" w:lineRule="atLeast"/>
        <w:jc w:val="both"/>
        <w:rPr>
          <w:rFonts w:cstheme="minorHAnsi"/>
        </w:rPr>
      </w:pPr>
    </w:p>
    <w:p w:rsidR="00594A0C" w:rsidRDefault="00594A0C" w:rsidP="00594A0C">
      <w:pPr>
        <w:spacing w:after="0" w:line="20" w:lineRule="atLeast"/>
        <w:ind w:left="360"/>
        <w:jc w:val="center"/>
        <w:rPr>
          <w:rFonts w:ascii="Broadway" w:hAnsi="Broadway" w:cstheme="majorHAnsi"/>
          <w:b/>
          <w:sz w:val="40"/>
          <w:szCs w:val="40"/>
        </w:rPr>
      </w:pPr>
      <w:r>
        <w:rPr>
          <w:rFonts w:ascii="Broadway" w:hAnsi="Broadway" w:cstheme="majorHAnsi"/>
          <w:b/>
          <w:sz w:val="40"/>
          <w:szCs w:val="40"/>
        </w:rPr>
        <w:t>CA</w:t>
      </w:r>
      <w:r w:rsidRPr="008B2D00">
        <w:rPr>
          <w:rFonts w:ascii="Broadway" w:hAnsi="Broadway" w:cstheme="majorHAnsi"/>
          <w:b/>
          <w:sz w:val="40"/>
          <w:szCs w:val="40"/>
        </w:rPr>
        <w:t>M</w:t>
      </w:r>
      <w:r>
        <w:rPr>
          <w:rFonts w:ascii="Broadway" w:hAnsi="Broadway" w:cstheme="majorHAnsi"/>
          <w:b/>
          <w:sz w:val="40"/>
          <w:szCs w:val="40"/>
        </w:rPr>
        <w:t>P</w:t>
      </w:r>
      <w:r w:rsidRPr="008B2D00">
        <w:rPr>
          <w:rFonts w:ascii="Broadway" w:hAnsi="Broadway" w:cstheme="majorHAnsi"/>
          <w:b/>
          <w:sz w:val="40"/>
          <w:szCs w:val="40"/>
        </w:rPr>
        <w:t>A</w:t>
      </w:r>
      <w:r>
        <w:rPr>
          <w:rFonts w:ascii="Broadway" w:hAnsi="Broadway" w:cstheme="majorHAnsi"/>
          <w:b/>
          <w:sz w:val="40"/>
          <w:szCs w:val="40"/>
        </w:rPr>
        <w:t>NI</w:t>
      </w:r>
      <w:r w:rsidRPr="008B2D00">
        <w:rPr>
          <w:rFonts w:ascii="Broadway" w:hAnsi="Broadway" w:cstheme="majorHAnsi"/>
          <w:b/>
          <w:sz w:val="40"/>
          <w:szCs w:val="40"/>
        </w:rPr>
        <w:t>A</w:t>
      </w:r>
    </w:p>
    <w:p w:rsidR="00594A0C" w:rsidRDefault="00594A0C" w:rsidP="00594A0C">
      <w:pPr>
        <w:spacing w:after="0" w:line="20" w:lineRule="atLeast"/>
        <w:ind w:left="360"/>
        <w:jc w:val="center"/>
        <w:rPr>
          <w:rFonts w:ascii="Broadway" w:hAnsi="Broadway" w:cstheme="majorHAnsi"/>
          <w:b/>
          <w:sz w:val="40"/>
          <w:szCs w:val="40"/>
        </w:rPr>
      </w:pPr>
    </w:p>
    <w:p w:rsidR="00594A0C" w:rsidRPr="00594A0C" w:rsidRDefault="00594A0C" w:rsidP="00594A0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594A0C">
        <w:rPr>
          <w:rFonts w:cstheme="minorHAnsi"/>
          <w:b/>
        </w:rPr>
        <w:t>PERSONE CON DISABILTÀ</w:t>
      </w:r>
    </w:p>
    <w:p w:rsidR="00594A0C" w:rsidRDefault="00594A0C" w:rsidP="000E6D4F">
      <w:pPr>
        <w:spacing w:after="0" w:line="20" w:lineRule="atLeast"/>
        <w:jc w:val="both"/>
        <w:rPr>
          <w:rFonts w:cstheme="minorHAnsi"/>
        </w:rPr>
      </w:pPr>
    </w:p>
    <w:p w:rsidR="00594A0C" w:rsidRPr="00594A0C" w:rsidRDefault="00594A0C" w:rsidP="00594A0C">
      <w:pPr>
        <w:shd w:val="clear" w:color="auto" w:fill="FEFEFE"/>
        <w:spacing w:after="0" w:line="20" w:lineRule="atLeast"/>
        <w:jc w:val="both"/>
        <w:outlineLvl w:val="1"/>
        <w:rPr>
          <w:rFonts w:cstheme="minorHAnsi"/>
        </w:rPr>
      </w:pPr>
      <w:r w:rsidRPr="00594A0C">
        <w:rPr>
          <w:rFonts w:cstheme="minorHAnsi"/>
          <w:b/>
          <w:bCs/>
        </w:rPr>
        <w:t xml:space="preserve">DGR  30 luglio 2019, n. 359, </w:t>
      </w:r>
      <w:r w:rsidRPr="00594A0C">
        <w:rPr>
          <w:rFonts w:cstheme="minorHAnsi"/>
        </w:rPr>
        <w:t xml:space="preserve">Adozione delle Schede Progettuali di cui alla L. 22 Giugno 2016, n. 112- Disposizioni In </w:t>
      </w:r>
      <w:r>
        <w:rPr>
          <w:rFonts w:cstheme="minorHAnsi"/>
        </w:rPr>
        <w:t>m</w:t>
      </w:r>
      <w:r w:rsidRPr="00594A0C">
        <w:rPr>
          <w:rFonts w:cstheme="minorHAnsi"/>
        </w:rPr>
        <w:t xml:space="preserve">ateria </w:t>
      </w:r>
      <w:r>
        <w:rPr>
          <w:rFonts w:cstheme="minorHAnsi"/>
        </w:rPr>
        <w:t>d</w:t>
      </w:r>
      <w:r w:rsidRPr="00594A0C">
        <w:rPr>
          <w:rFonts w:cstheme="minorHAnsi"/>
        </w:rPr>
        <w:t xml:space="preserve">i </w:t>
      </w:r>
      <w:r>
        <w:rPr>
          <w:rFonts w:cstheme="minorHAnsi"/>
        </w:rPr>
        <w:t>a</w:t>
      </w:r>
      <w:r w:rsidRPr="00594A0C">
        <w:rPr>
          <w:rFonts w:cstheme="minorHAnsi"/>
        </w:rPr>
        <w:t xml:space="preserve">ssistenza </w:t>
      </w:r>
      <w:r>
        <w:rPr>
          <w:rFonts w:cstheme="minorHAnsi"/>
        </w:rPr>
        <w:t>i</w:t>
      </w:r>
      <w:r w:rsidRPr="00594A0C">
        <w:rPr>
          <w:rFonts w:cstheme="minorHAnsi"/>
        </w:rPr>
        <w:t xml:space="preserve">n </w:t>
      </w:r>
      <w:r>
        <w:rPr>
          <w:rFonts w:cstheme="minorHAnsi"/>
        </w:rPr>
        <w:t>f</w:t>
      </w:r>
      <w:r w:rsidRPr="00594A0C">
        <w:rPr>
          <w:rFonts w:cstheme="minorHAnsi"/>
        </w:rPr>
        <w:t xml:space="preserve">avore </w:t>
      </w:r>
      <w:r>
        <w:rPr>
          <w:rFonts w:cstheme="minorHAnsi"/>
        </w:rPr>
        <w:t>d</w:t>
      </w:r>
      <w:r w:rsidRPr="00594A0C">
        <w:rPr>
          <w:rFonts w:cstheme="minorHAnsi"/>
        </w:rPr>
        <w:t xml:space="preserve">elle </w:t>
      </w:r>
      <w:r>
        <w:rPr>
          <w:rFonts w:cstheme="minorHAnsi"/>
        </w:rPr>
        <w:t>p</w:t>
      </w:r>
      <w:r w:rsidRPr="00594A0C">
        <w:rPr>
          <w:rFonts w:cstheme="minorHAnsi"/>
        </w:rPr>
        <w:t xml:space="preserve">ersone </w:t>
      </w:r>
      <w:r>
        <w:rPr>
          <w:rFonts w:cstheme="minorHAnsi"/>
        </w:rPr>
        <w:t>c</w:t>
      </w:r>
      <w:r w:rsidRPr="00594A0C">
        <w:rPr>
          <w:rFonts w:cstheme="minorHAnsi"/>
        </w:rPr>
        <w:t xml:space="preserve">on </w:t>
      </w:r>
      <w:r>
        <w:rPr>
          <w:rFonts w:cstheme="minorHAnsi"/>
        </w:rPr>
        <w:t>d</w:t>
      </w:r>
      <w:r w:rsidRPr="00594A0C">
        <w:rPr>
          <w:rFonts w:cstheme="minorHAnsi"/>
        </w:rPr>
        <w:t>isabilit</w:t>
      </w:r>
      <w:r>
        <w:rPr>
          <w:rFonts w:cstheme="minorHAnsi"/>
        </w:rPr>
        <w:t>à g</w:t>
      </w:r>
      <w:r w:rsidRPr="00594A0C">
        <w:rPr>
          <w:rFonts w:cstheme="minorHAnsi"/>
        </w:rPr>
        <w:t xml:space="preserve">rave </w:t>
      </w:r>
      <w:r>
        <w:rPr>
          <w:rFonts w:cstheme="minorHAnsi"/>
        </w:rPr>
        <w:t>p</w:t>
      </w:r>
      <w:r w:rsidRPr="00594A0C">
        <w:rPr>
          <w:rFonts w:cstheme="minorHAnsi"/>
        </w:rPr>
        <w:t xml:space="preserve">rive </w:t>
      </w:r>
      <w:r>
        <w:rPr>
          <w:rFonts w:cstheme="minorHAnsi"/>
        </w:rPr>
        <w:t>d</w:t>
      </w:r>
      <w:r w:rsidRPr="00594A0C">
        <w:rPr>
          <w:rFonts w:cstheme="minorHAnsi"/>
        </w:rPr>
        <w:t>el</w:t>
      </w:r>
      <w:r>
        <w:rPr>
          <w:rFonts w:cstheme="minorHAnsi"/>
        </w:rPr>
        <w:t xml:space="preserve"> s</w:t>
      </w:r>
      <w:r w:rsidRPr="00594A0C">
        <w:rPr>
          <w:rFonts w:cstheme="minorHAnsi"/>
        </w:rPr>
        <w:t xml:space="preserve">ostegno </w:t>
      </w:r>
      <w:r>
        <w:rPr>
          <w:rFonts w:cstheme="minorHAnsi"/>
        </w:rPr>
        <w:t>f</w:t>
      </w:r>
      <w:r w:rsidRPr="00594A0C">
        <w:rPr>
          <w:rFonts w:cstheme="minorHAnsi"/>
        </w:rPr>
        <w:t xml:space="preserve">amiliare Anno </w:t>
      </w:r>
      <w:proofErr w:type="gramStart"/>
      <w:r w:rsidRPr="00594A0C">
        <w:rPr>
          <w:rFonts w:cstheme="minorHAnsi"/>
        </w:rPr>
        <w:t>2018  (</w:t>
      </w:r>
      <w:proofErr w:type="gramEnd"/>
      <w:r w:rsidRPr="00594A0C">
        <w:rPr>
          <w:rFonts w:cstheme="minorHAnsi"/>
        </w:rPr>
        <w:t>BUR</w:t>
      </w:r>
      <w:r>
        <w:rPr>
          <w:rFonts w:cstheme="minorHAnsi"/>
        </w:rPr>
        <w:t xml:space="preserve"> </w:t>
      </w:r>
      <w:r w:rsidRPr="00594A0C">
        <w:rPr>
          <w:rFonts w:cstheme="minorHAnsi"/>
        </w:rPr>
        <w:t>n. 49 del 12.8.19)</w:t>
      </w:r>
    </w:p>
    <w:p w:rsidR="00594A0C" w:rsidRPr="00594A0C" w:rsidRDefault="00594A0C" w:rsidP="00594A0C">
      <w:pPr>
        <w:shd w:val="clear" w:color="auto" w:fill="FEFEFE"/>
        <w:spacing w:after="0" w:line="20" w:lineRule="atLeast"/>
        <w:jc w:val="center"/>
        <w:outlineLvl w:val="1"/>
        <w:rPr>
          <w:rFonts w:cstheme="minorHAnsi"/>
          <w:b/>
        </w:rPr>
      </w:pPr>
      <w:r w:rsidRPr="00594A0C">
        <w:rPr>
          <w:rFonts w:cstheme="minorHAnsi"/>
          <w:b/>
        </w:rPr>
        <w:t>PREMESSA</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lastRenderedPageBreak/>
        <w:t>Gli articoli 3 e 19 della Convenzione delle Nazioni Unite sui diritti delle persone con disabilità, adottata a New York il 13 dicembre 2006 e ratificata dall'Italia con legge 3 marzo 2009, n. 18, impegnano gli Stati a favorire il benessere, la piena inclusione sociale e l'autonomia delle persone con disabilità.</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La Legge 22 giugno 2016, n. 112 “Disposizioni in materia di assistenza in favore delle persone con disabilità grave prive del sostegno familiare” disciplina misure di assistenza, cura e protezione nel superiore interesse delle persone con disabilità grave, non determinata dal naturale invecchiamento o da patologie connesse alla senilità. La richiamata legge dispone altresì che tali persone con disabilità possano essere prese in carico anche durante l'esistenza in vita dei genitori se questi non sono in grado di fornire l'adeguato sostegno genitoriale.</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Il decreto del Ministero del Lavoro e delle Politiche Sociali 23 novembre 2016 attuativo della Legge 22 giugno 2016, n. 112 fissa i requisiti per l’accesso alle prestazioni a carico dell’apposito Fondo istituito dalla legge.</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L'articolo 6 del decreto del Ministero del Lavoro e delle Politiche Sociali 23 novembre 2016 prevede che le Regioni adottino indirizzi di programmazione per l'attuazione degli interventi e servizi di cui all'articolo 3 dello stesso decreto.</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Per l'anno 2018 il decreto del Ministero del Lavoro e delle Politiche Sociali 15 novembre 2018 assegna alla Regione Campania la somma di € 5.161.100,00 per la realizzazione di interventi e servizi per l'assistenza alle persone con disabilità grave prive del sostegno familiare di cui all'art. 3 del decreto del Ministero del Lavoro e delle Politiche Sociali 23 novembre 2016.</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Per l'anno 2018 la Regione Campania, con nota prot. n. 7404 del 07/01/2019, ha trasmesso al Ministero del lavoro e delle politiche sociali le schede progettuali riferite agli interventi e servizi per l'assistenza alle persone con disabilità grave prive del sostegno familiare di cui all'art. 3 del decreto del Ministero del Lavoro e delle Politiche Sociali 23 novembre 2016.</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Il Ministero del lavoro e delle politiche sociali, con nota prot. n. 3038 del 10/04/2019, ha</w:t>
      </w:r>
    </w:p>
    <w:p w:rsidR="00594A0C" w:rsidRPr="00594A0C" w:rsidRDefault="00594A0C" w:rsidP="00594A0C">
      <w:pPr>
        <w:autoSpaceDE w:val="0"/>
        <w:autoSpaceDN w:val="0"/>
        <w:adjustRightInd w:val="0"/>
        <w:spacing w:after="0" w:line="20" w:lineRule="atLeast"/>
        <w:jc w:val="both"/>
        <w:rPr>
          <w:rFonts w:cstheme="minorHAnsi"/>
        </w:rPr>
      </w:pPr>
      <w:proofErr w:type="gramStart"/>
      <w:r w:rsidRPr="00594A0C">
        <w:rPr>
          <w:rFonts w:cstheme="minorHAnsi"/>
        </w:rPr>
        <w:t>approvato</w:t>
      </w:r>
      <w:proofErr w:type="gramEnd"/>
      <w:r w:rsidRPr="00594A0C">
        <w:rPr>
          <w:rFonts w:cstheme="minorHAnsi"/>
        </w:rPr>
        <w:t xml:space="preserve"> gli atti della Regione Campania e ha avviato le procedure per il trasferimento delle risorse assegnate con il decreto del Ministero del Lavoro e delle Politiche Sociali 15 novembre 2018.</w:t>
      </w:r>
    </w:p>
    <w:p w:rsidR="00594A0C" w:rsidRPr="00594A0C" w:rsidRDefault="00594A0C" w:rsidP="00594A0C">
      <w:pPr>
        <w:autoSpaceDE w:val="0"/>
        <w:autoSpaceDN w:val="0"/>
        <w:adjustRightInd w:val="0"/>
        <w:spacing w:after="0" w:line="20" w:lineRule="atLeast"/>
        <w:jc w:val="both"/>
        <w:rPr>
          <w:rFonts w:cstheme="minorHAnsi"/>
          <w:b/>
        </w:rPr>
      </w:pPr>
      <w:r w:rsidRPr="00594A0C">
        <w:rPr>
          <w:rFonts w:cstheme="minorHAnsi"/>
          <w:b/>
        </w:rPr>
        <w:t>LA DISPOSIZIONE</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 xml:space="preserve">Vengono adottati, per l'anno 2018, in attuazione dell'articolo 3 del decreto del Ministero del Lavoro e delle Politiche Sociali 23 novembre 2016, attuativo della legge 22 giugno 2016, gli indirizzi programmatici riferiti agli interventi e servizi per l'assistenza alle persone con disabilità grave, prive del sostegno familiare, così come declinati nelle schede progettuali allegate sub A) </w:t>
      </w:r>
    </w:p>
    <w:p w:rsidR="00594A0C" w:rsidRPr="00594A0C" w:rsidRDefault="00594A0C" w:rsidP="00594A0C">
      <w:pPr>
        <w:autoSpaceDE w:val="0"/>
        <w:autoSpaceDN w:val="0"/>
        <w:adjustRightInd w:val="0"/>
        <w:spacing w:after="0" w:line="20" w:lineRule="atLeast"/>
        <w:jc w:val="both"/>
        <w:rPr>
          <w:rFonts w:cstheme="minorHAnsi"/>
          <w:b/>
          <w:bCs/>
        </w:rPr>
      </w:pPr>
    </w:p>
    <w:p w:rsidR="00594A0C" w:rsidRPr="00594A0C" w:rsidRDefault="00594A0C" w:rsidP="00594A0C">
      <w:pPr>
        <w:autoSpaceDE w:val="0"/>
        <w:autoSpaceDN w:val="0"/>
        <w:adjustRightInd w:val="0"/>
        <w:spacing w:after="0" w:line="20" w:lineRule="atLeast"/>
        <w:jc w:val="both"/>
        <w:rPr>
          <w:rFonts w:cstheme="minorHAnsi"/>
          <w:b/>
          <w:bCs/>
        </w:rPr>
      </w:pPr>
      <w:r w:rsidRPr="00594A0C">
        <w:rPr>
          <w:rFonts w:cstheme="minorHAnsi"/>
          <w:b/>
          <w:bCs/>
        </w:rPr>
        <w:t>Premessa metodologica alle attività (art. 2 del decreto 23.11.2016)</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1. Indicazione della normativa regionale e/o delle modalità di regolamentazione prescelte per l’individuazione delle equipe multiprofessionali, senza nuovi o</w:t>
      </w:r>
      <w:r>
        <w:rPr>
          <w:rFonts w:cstheme="minorHAnsi"/>
        </w:rPr>
        <w:t xml:space="preserve"> </w:t>
      </w:r>
      <w:r w:rsidRPr="00594A0C">
        <w:rPr>
          <w:rFonts w:cstheme="minorHAnsi"/>
        </w:rPr>
        <w:t>maggiori oneri per la finanza pubblica.</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Descrizione delle procedure relative alla valutazione multidimensionale effettuata dalle equipe multiprofessionali, secondo i principi della valutazione bio-psicosociale e in coerenza con il sistema di classificazione ICF. In merito alle diverse dimensioni del funzionamento della persona con disabilità prendere in considerazione almeno le seguenti aree:</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 cura della propria persona;</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 mobilità;</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 comunicazione e altre attività cognitive;</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 attività strumentali e relazionali per la vita quotidiana</w:t>
      </w:r>
    </w:p>
    <w:p w:rsidR="00594A0C" w:rsidRPr="00594A0C" w:rsidRDefault="00594A0C" w:rsidP="00594A0C">
      <w:pPr>
        <w:autoSpaceDE w:val="0"/>
        <w:autoSpaceDN w:val="0"/>
        <w:adjustRightInd w:val="0"/>
        <w:spacing w:after="0" w:line="20" w:lineRule="atLeast"/>
        <w:jc w:val="both"/>
        <w:rPr>
          <w:rFonts w:cstheme="minorHAnsi"/>
        </w:rPr>
      </w:pP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“APPROVAZIONE DEL DOCUMENTO RECANTE LINEE DI INDIRIZZO, PROFILI E STANDARD IN MATERIA DI SERVIZI DOMICILIARI: "IL SISTEMA DEI SERVIZI DOMICILIARI IN CAMPANIA".</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Il servizio di assistenza domiciliare integrata in Campania si realizza attraverso procedure unitarie e condivise tra ASL e Comuni associati dell’Ambito Territoriale, per l'accesso, la valutazione e la presa in carico. Le funzioni integrate per l’accesso e la presa in carico si articolano secondo il seguente percorso:</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 xml:space="preserve"># La Richiesta presentata ad uno degli attori della P.U.A., con modulistica specifica e adottata con Regolamento congiunto da ASL e Ambito Territoriale </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 La proposta di ammissione all’ ADI/CDI formulata sulla base di requisiti essenziali dei Servizi Sociali e/o dell’Unità Operativa Distrettuale, in raccordo con il MMG</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 La valutazione multidimensionale a cura delle UVI (Unità di Valutazione Integrata)</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lastRenderedPageBreak/>
        <w:t># La redazione del Progetto Personalizzato e l'individuazione del Case Manager in sede UVI, con definizione del Piano Esecutivo attuato dall’Equipe Operativa</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 La dimissione</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La Legge Regionale 11/07, art. 41, prevede che l'accesso unitario concertato tra A.S.L. e Comuni degli Ambiti Territoriali nell’ambito della programmazione socio-sanitaria congiunta, sia oggetto di uno specifico regolamento allegato al Piano di Zona, che disciplini le funzioni della PUA e delle UVI, prevedendo una organizzazione funzionale di raccordo tra Unità Operative Distrettuali e Servizi Sociali dell'Ambito territoriale.</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La valutazione multidimensionale è attivata nel caso in cui si ravvisino problemi complessi che richiedono una valutazione delle diverse dimensioni sanitarioassistenziali-sociali. Rappresenta l'analisi dettagliata dei problemi e dei bisogni dell'assistito ed è l'atto prioritario ed ineludibile ai fini della definizione del Progetto Personalizzato. La valutazione multidimensionale viene effettuata da un team multiprofessionale, l'Unità di Valutazione Integrata (UVI), con competenze multi-disciplinari, in grado di leggere le esigenze di persone che presentano situazioni problematiche complesse, in cui è inscindibile il bisogno sanitario da quello sociale.</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L’istituzione delle UVI è oggetto del Regolamento di Accesso ex art.41 L.R. 11/</w:t>
      </w:r>
      <w:proofErr w:type="gramStart"/>
      <w:r w:rsidRPr="00594A0C">
        <w:rPr>
          <w:rFonts w:cstheme="minorHAnsi"/>
        </w:rPr>
        <w:t>07 .</w:t>
      </w:r>
      <w:proofErr w:type="gramEnd"/>
      <w:r w:rsidRPr="00594A0C">
        <w:rPr>
          <w:rFonts w:cstheme="minorHAnsi"/>
        </w:rPr>
        <w:t xml:space="preserve"> Va istituita almeno una UVI per ogni distretto sanitario, secondo quanto definito nei Piani di Zona e nei PAT.</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All’UVI devono partecipare i seguenti componenti:</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 M.M.G./PLS e assistente sociale individuato dall'Ambito Territoriale, entrambi responsabili della presa in carico del cittadino/utente;</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 Medico dell’UO distrettuale competente e referente per l’integrazione sociosanitaria dell’Ufficio di Piano, entrambi delegati alla spesa per le parti di ciascuna competenza, su provvedimento, rispettivamente, del Direttore del Distretto Sanitario e del Coordinatore dell’Ufficio di Piano.</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L’UVI può essere integrata, con le modalità previste nel regolamento, da altre figure specialistiche legate alla valutazione del singolo caso.</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Le considerazioni sopra esposte vanno contemperate con l'art. 14 della L. 328/2000 che introduce il concetto di progetto individuale, inteso come progetto che comprende, oltre alla valutazione diagnostico-funzionale, le prestazioni di cura e di riabilitazione a carico del Servizio sanitario nazionale, i servizi alla persona a cui provvede il comune in forma diretta o accreditata, con particolare riferimento al recupero e all’integrazione sociale, nonché le misure economiche necessarie per il superamento di condizioni di povertà, emarginazione ed esclusione sociale. Nel progetto individuale sono definiti anche le potenzialità e gli eventuali sostegni per il nucleo familiare.</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 xml:space="preserve">La progettazione terrà debitamente conto di quanto previsto dalla legge 18/2009 e dall'art. 1 della L. 328/2000 promuovendo “interventi per garantire la qualità della vita, pari opportunità, non discriminazione e diritti di cittadinanza, previene, elimina o riduce le condizioni di disabilità, di bisogno e di disagio individuale e familiare, derivanti da inadeguatezza di reddito, difficoltà sociali e condizioni di non autonomia, in coerenza con gli articoli 2, 3 e 38 della Costituzione”. In particolare, va garantito ed identificato il ruolo dei familiari o di chi ne fa le veci nella definizione del progetto di vita della persona con disabilità che non può rappresentarsi da </w:t>
      </w:r>
      <w:proofErr w:type="gramStart"/>
      <w:r w:rsidRPr="00594A0C">
        <w:rPr>
          <w:rFonts w:cstheme="minorHAnsi"/>
        </w:rPr>
        <w:t>sola..</w:t>
      </w:r>
      <w:proofErr w:type="gramEnd"/>
    </w:p>
    <w:p w:rsidR="00594A0C" w:rsidRPr="00594A0C" w:rsidRDefault="00594A0C" w:rsidP="00594A0C">
      <w:pPr>
        <w:autoSpaceDE w:val="0"/>
        <w:autoSpaceDN w:val="0"/>
        <w:adjustRightInd w:val="0"/>
        <w:spacing w:after="0" w:line="20" w:lineRule="atLeast"/>
        <w:jc w:val="both"/>
        <w:rPr>
          <w:rFonts w:cstheme="minorHAnsi"/>
        </w:rPr>
      </w:pP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“ADOZIONE DELLA SCHEDA DI VALUTAZIONE MULTIDIMENSIONALE PER LE PERSONE ADULTE DISABILI - S.VA.M.DI. CAMPANIA”.</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 xml:space="preserve">La scheda S.Va.M.Di. CAMPANIA è costruita sulla struttura e sull’organizzazione concettuale della S.VA.M.A. ed è integrata con la descrizione delle condizioni di salute secondo l'ICF (Classificazione Internazionale del Funzionamento, della Disabilità e della Salute) dove le abilità e le disabilità di una persona sono concepite come l’interazione dinamica tra le condizioni di salute e i fattori ambientali, vista in termini di processo o di risultato. E' uno strumento univoco per la raccolta coerente di informazioni e per la conseguente stesura del progetto individuale per le persone con disabilità in età adulta e risponde all'esigenza di rendere omogenei i sistemi di valutazione della persona con disabilità; in essa sono contenuti e sistematizzati una serie di strumenti di rilevazione del bisogno della persona con disabilità che ciascun professionista utilizza. </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 xml:space="preserve">La valutazione ha inizio con l'attivazione del percorso da parte del Medico di Medicina Generale/MMG e si articola in diverse fasi che prevedono il concorso e la partecipazione di diversi professionisti e in differenti momenti della fase di accesso e della presa in carico. </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 xml:space="preserve">La scheda S.Va.M.Di. CAMPANIA si compone di quattro schede che prendono in considerazione: </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 xml:space="preserve">1) LA VALUTAZIONE SANITARIA; </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lastRenderedPageBreak/>
        <w:t>2) LA</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 xml:space="preserve">VALUTAZIONE SPECIALISTICA PER L’AMMISSIONE AI SERVIZI TERRITORIALI; </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 xml:space="preserve">3) LA VALUTAZIONE SOCIALE; </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4) LA CARTELLA UVI.</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Da notare, tuttavia, che la SVAMDI presenta comunque dei limiti in quanto non consente di individuare tipo, frequenza e intensità di sostegni utili a migliorare la qualità della vita delle persone con disabilità, promuovendone l’empowerment verso l’autodeterminazione e l’autonomia. Per cui per i progetti legati al dopo di noi e alla vita indipendente sono ammessi sperimentazioni che individuino criteri di valutazione delle persone con disabilità legati alla qualità della vita, alla pari opportunità, alla non discriminazione e ai diritti di cittadinanza, prevenendo, eliminando o riducendo le condizioni di disabilità, di bisogno e di disagio individuale e familiare, derivanti da inadeguatezza di reddito, difficoltà sociali e condizioni di non autonomia.</w:t>
      </w:r>
    </w:p>
    <w:p w:rsidR="00594A0C" w:rsidRPr="00594A0C" w:rsidRDefault="00594A0C" w:rsidP="00594A0C">
      <w:pPr>
        <w:autoSpaceDE w:val="0"/>
        <w:autoSpaceDN w:val="0"/>
        <w:adjustRightInd w:val="0"/>
        <w:spacing w:after="0" w:line="20" w:lineRule="atLeast"/>
        <w:jc w:val="both"/>
        <w:rPr>
          <w:rFonts w:cstheme="minorHAnsi"/>
        </w:rPr>
      </w:pP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 xml:space="preserve"> “APPROVAZIONE DELLE LINEE OPERATIVE PER L'ACCESSO UNITARIO AI SERVIZI SOCIOSANITARI-P.U.A.”.</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La P.U.A., che si configura come lo snodo funzionale di indirizzo del cittadino verso il servizio competente per la presa in carico, costituisce il momento di segnalazione di un bisogno che può richiedere una valutazione multidimensionale in specifica equipe.</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L’accesso ai servizi/interventi dovrà avvenire attraverso l’attivazione del progetto personale (art.14 legge 328/00), e non solo attraverso la PUA.</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2. Progetto personalizzato</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Descrizione dei processi di definizione dei progetti personalizzati nelle modalità di cui all’art. 2, commi 2,3,4 e 5 del decreto Personalizzato tenendo conto dei bisogni, delle aspettative e delle priorità dell'assistito e del suo ambito familiare, delle abilità residue e recuperabili, dell’autonomia, oltre che dei fattori ambientali, contestuali, personali e familiari con l’obiettivo di garantire la migliore qualità di vita e l’inclusione sociale.</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L'UVI è responsabile del Progetto Personalizzato e ne verifica l'attuazione mediante il Case manager o Responsabile del caso, individuato nelle modalità di cui al paragrafo precedente.</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Il Progetto Personalizzato deve definire esplicitamente e in maniera analitica:</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 in rapporto al bisogno accertato e agli obiettivi di miglior qualità di vita e inclusione sociale, la tipologia di servizi e prestazioni sociali e sanitarie da erogare, modalità di erogazione, livello di intensità (alto, medio-basso) dell'intervento e le figure professionali impegnate;</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 titolarità, competenze e responsabilità di spesa;</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 le competenze e funzioni del responsabile della presa in carico delle figure di riferimento;</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 le competenze e funzioni del referente familiare e della stessa persona con disabilità;</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 data di avvio e durata del progetto, con la previsione di una verifica intermedia e finale;</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 le modalità di dimissione in relazione alla verifica del raggiungimento degli obiettivi;</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 consenso del cittadino interessato, o dei familiari, o di un tutore giuridico o di altri terzi disponibili, a partecipare al progetto personalizzato, anche per l’eventuale quota di compartecipazione alla spesa.</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All'interno del Progetto Personalizzato deve essere previsto il Piano Esecutivo condiviso con l’Equipe Operativa che svolgerà nel concreto il percorso assistenziale domiciliare dalla famiglia e dalla stessa persona con disabilità. Questa parte esecutiva del Progetto Personalizzato, che descrive in maniera puntuale il trattamento del caso, riporta:</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 azioni specifiche, tipologia delle prestazioni e figure professionali impegnate (includendo anche un amministratore di sostegno dove necessario);</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 quantità, modalità, frequenza e durata di ogni tipologia di intervento/prestazione, necessari al raggiungimento degli esiti desiderati (n. di accessi MMG/PLS, consulenze specialistiche programmate, n. ore giornaliere e settimanali di assistenza domiciliare, ecc.);</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 fornitura di presidi e materiali vari;</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 strumenti e tempi per il monitoraggio e per la valutazione del piano (risultati osservati in relazione ai risultati attesi) coinvolgendo la famiglia e la stessa persona con disabilità.</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 xml:space="preserve">La Regione attiverà un programma di informazione per le persone con disabilità e le loro famiglie, ricordando la possibilità di fare domanda, qualora fossero interessati, per richiedere il progetto individuale ai sensi dell’art.14 legge 328/2000 ai fini dei sostegni previsti dalla legge 112/2016 ed attivare così la valutazione multidimensionale propedeutica a tale progetto a cura dell’unità dopo individuata; altresì chiarirà le </w:t>
      </w:r>
      <w:r w:rsidRPr="00594A0C">
        <w:rPr>
          <w:rFonts w:cstheme="minorHAnsi"/>
        </w:rPr>
        <w:lastRenderedPageBreak/>
        <w:t>procedure volte alla redazione del progetto individuale anche secondo la normativa amministrativa regionale.</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Il progetto individuale dovrà contenere anche il budget di progetto, ossia la definizione quantitativa e qualitativa delle risorse economiche, strumentali, professionali ed umane atte a garantire la piena fruibilità dei sostegni indicati per qualità, quantità ed intensità nel progetto individuale, partendo dalla rilevazione anche di quanto già in essere ed individuando gli opportuni interventi anche ai fini delle misure di cui alla Legge n. 112/2016. In tale direzione tutti gli strumenti di sostegno finanziario devono essere indirizzati alle persone con disabilità beneficiarie dei progetti personalizzati finalizzati al dopo di noi, come per esempio i budget di salute</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3. Descrizione delle modalità di definizione e di articolazione del budget di progetto per le attività di cui all’art. 5, co. 4, lett. a) b) e c) del decreto, sottolineando l’importanza di favorire il passaggio da una programmazione basata esclusivamente sulla certificazione della disabilità grave, alla centralità del bisogno emergente in cui il progetto e il relativo budget, vengono costruiti attorno al bisogno concreto della persona.</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Per il 2018, il Fondo per l'assistenza alle persone con disabilità grave prive del sostegno familiare assegna alla Regione Campania l'importo di euro 5.161.100.</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In questa progettualità, tali risorse sono così articolate:</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a) Percorsi programmati di accompagnamento per l’uscita dal nucleo familiare di origine ovvero per la deistituzionalizzazione, di cui all’articolo 3, commi 2 e 3 del decreto. 40%</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b) Interventi di supporto alla domiciliarità in soluzioni alloggiative dalle caratteristiche di cui all’articolo 3, comma 4 del decreto; 60%</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c) Programmi di accrescimento della consapevolezza e per l’abilitazione e lo sviluppo delle competenze per favorire l’autonomia delle persone con disabilità grave e una migliore gestione della vita quotidiana (art. 3, comma 5), anche attraverso tirocini per l’inclusione sociale (art, 3, comma 6 del decreto);</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d) Interventi di realizzazione di innovative soluzioni alloggiative dalle caratteristiche di cui all’articolo 3, comma 4, mediante il possibile pagamento degli oneri di acquisto, di locazione, di ristrutturazione e di messa in opera degli impianti e delle attrezzature necessari per il funzionamento degli alloggi medesimi,</w:t>
      </w:r>
    </w:p>
    <w:p w:rsidR="00594A0C" w:rsidRPr="00594A0C" w:rsidRDefault="00594A0C" w:rsidP="00594A0C">
      <w:pPr>
        <w:autoSpaceDE w:val="0"/>
        <w:autoSpaceDN w:val="0"/>
        <w:adjustRightInd w:val="0"/>
        <w:spacing w:after="0" w:line="20" w:lineRule="atLeast"/>
        <w:jc w:val="both"/>
        <w:rPr>
          <w:rFonts w:cstheme="minorHAnsi"/>
        </w:rPr>
      </w:pPr>
      <w:proofErr w:type="gramStart"/>
      <w:r w:rsidRPr="00594A0C">
        <w:rPr>
          <w:rFonts w:cstheme="minorHAnsi"/>
        </w:rPr>
        <w:t>anche</w:t>
      </w:r>
      <w:proofErr w:type="gramEnd"/>
      <w:r w:rsidRPr="00594A0C">
        <w:rPr>
          <w:rFonts w:cstheme="minorHAnsi"/>
        </w:rPr>
        <w:t xml:space="preserve"> sostenendo forme di mutuo aiuto tra persone con disabilità.</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Tali risorse sono da considerarsi aggiuntive rispetto a quelle di provenienza FNPS, FRPS, sanitarie e per la vita indipendente che già impegnano le politiche sociali per la disabilità della Regione Campania, attualmente incentrate sulla diffusione della domiciliarità e della deistituzionalizzazione e sul soddisfacimento dei bisogni/autonomia delle persone disabili campane. Obiettivo strategico della Regione Campania è la gestione a domicilio delle condizioni di non autosufficienza, attraverso il rafforzamento, il consolidamento e l'ampliamento degli interventi di assistenza domiciliare che tendono a mantenere e salvaguardare ogni abilità residua, garantire i livelli più alti possibili di autonomia, indipendenza e qualità della vita. I bisogni delle persone con disabilità sono, dunque, al centro delle progettualità tese a realizzare le politiche sociali per persone con disabilità in Regione Campania</w:t>
      </w:r>
    </w:p>
    <w:p w:rsidR="00594A0C" w:rsidRPr="00594A0C" w:rsidRDefault="00594A0C" w:rsidP="00594A0C">
      <w:pPr>
        <w:autoSpaceDE w:val="0"/>
        <w:autoSpaceDN w:val="0"/>
        <w:adjustRightInd w:val="0"/>
        <w:spacing w:after="0" w:line="20" w:lineRule="atLeast"/>
        <w:jc w:val="both"/>
        <w:rPr>
          <w:rFonts w:cstheme="minorHAnsi"/>
          <w:b/>
          <w:bCs/>
        </w:rPr>
      </w:pPr>
      <w:r w:rsidRPr="00594A0C">
        <w:rPr>
          <w:rFonts w:cstheme="minorHAnsi"/>
          <w:b/>
          <w:bCs/>
        </w:rPr>
        <w:t>Scheda 2</w:t>
      </w:r>
    </w:p>
    <w:p w:rsidR="00594A0C" w:rsidRPr="00594A0C" w:rsidRDefault="00594A0C" w:rsidP="00594A0C">
      <w:pPr>
        <w:autoSpaceDE w:val="0"/>
        <w:autoSpaceDN w:val="0"/>
        <w:adjustRightInd w:val="0"/>
        <w:spacing w:after="0" w:line="20" w:lineRule="atLeast"/>
        <w:jc w:val="both"/>
        <w:rPr>
          <w:rFonts w:cstheme="minorHAnsi"/>
          <w:b/>
          <w:bCs/>
        </w:rPr>
      </w:pPr>
      <w:r w:rsidRPr="00594A0C">
        <w:rPr>
          <w:rFonts w:cstheme="minorHAnsi"/>
          <w:b/>
          <w:bCs/>
        </w:rPr>
        <w:t>Progetto personalizzato - Budget di progetto</w:t>
      </w:r>
    </w:p>
    <w:p w:rsidR="00594A0C" w:rsidRPr="00594A0C" w:rsidRDefault="00594A0C" w:rsidP="00594A0C">
      <w:pPr>
        <w:autoSpaceDE w:val="0"/>
        <w:autoSpaceDN w:val="0"/>
        <w:adjustRightInd w:val="0"/>
        <w:spacing w:after="0" w:line="20" w:lineRule="atLeast"/>
        <w:jc w:val="both"/>
        <w:rPr>
          <w:rFonts w:cstheme="minorHAnsi"/>
          <w:b/>
          <w:bCs/>
        </w:rPr>
      </w:pPr>
      <w:r w:rsidRPr="00594A0C">
        <w:rPr>
          <w:rFonts w:cstheme="minorHAnsi"/>
          <w:b/>
          <w:bCs/>
        </w:rPr>
        <w:t>€ 2.064.440,00</w:t>
      </w:r>
    </w:p>
    <w:p w:rsidR="00594A0C" w:rsidRPr="00594A0C" w:rsidRDefault="00594A0C" w:rsidP="00594A0C">
      <w:pPr>
        <w:autoSpaceDE w:val="0"/>
        <w:autoSpaceDN w:val="0"/>
        <w:adjustRightInd w:val="0"/>
        <w:spacing w:after="0" w:line="20" w:lineRule="atLeast"/>
        <w:jc w:val="both"/>
        <w:rPr>
          <w:rFonts w:cstheme="minorHAnsi"/>
          <w:b/>
          <w:bCs/>
        </w:rPr>
      </w:pPr>
      <w:r w:rsidRPr="00594A0C">
        <w:rPr>
          <w:rFonts w:cstheme="minorHAnsi"/>
          <w:b/>
          <w:bCs/>
        </w:rPr>
        <w:t>Come da programmazione 2016 e 2017</w:t>
      </w:r>
    </w:p>
    <w:p w:rsidR="00594A0C" w:rsidRPr="00594A0C" w:rsidRDefault="00594A0C" w:rsidP="00594A0C">
      <w:pPr>
        <w:autoSpaceDE w:val="0"/>
        <w:autoSpaceDN w:val="0"/>
        <w:adjustRightInd w:val="0"/>
        <w:spacing w:after="0" w:line="20" w:lineRule="atLeast"/>
        <w:jc w:val="both"/>
        <w:rPr>
          <w:rFonts w:cstheme="minorHAnsi"/>
          <w:b/>
          <w:bCs/>
        </w:rPr>
      </w:pPr>
      <w:r w:rsidRPr="00594A0C">
        <w:rPr>
          <w:rFonts w:cstheme="minorHAnsi"/>
          <w:b/>
          <w:bCs/>
        </w:rPr>
        <w:t>€ 3.096.660,00</w:t>
      </w:r>
    </w:p>
    <w:p w:rsidR="00594A0C" w:rsidRPr="00594A0C" w:rsidRDefault="00594A0C" w:rsidP="00594A0C">
      <w:pPr>
        <w:autoSpaceDE w:val="0"/>
        <w:autoSpaceDN w:val="0"/>
        <w:adjustRightInd w:val="0"/>
        <w:spacing w:after="0" w:line="20" w:lineRule="atLeast"/>
        <w:jc w:val="both"/>
        <w:rPr>
          <w:rFonts w:cstheme="minorHAnsi"/>
          <w:b/>
          <w:bCs/>
        </w:rPr>
      </w:pPr>
      <w:r w:rsidRPr="00594A0C">
        <w:rPr>
          <w:rFonts w:cstheme="minorHAnsi"/>
          <w:b/>
          <w:bCs/>
        </w:rPr>
        <w:t>Come da programmazione 2016 e 2017</w:t>
      </w:r>
    </w:p>
    <w:p w:rsidR="00594A0C" w:rsidRPr="00594A0C" w:rsidRDefault="00594A0C" w:rsidP="00594A0C">
      <w:pPr>
        <w:autoSpaceDE w:val="0"/>
        <w:autoSpaceDN w:val="0"/>
        <w:adjustRightInd w:val="0"/>
        <w:spacing w:after="0" w:line="20" w:lineRule="atLeast"/>
        <w:jc w:val="both"/>
        <w:rPr>
          <w:rFonts w:cstheme="minorHAnsi"/>
          <w:b/>
          <w:bCs/>
        </w:rPr>
      </w:pPr>
      <w:r w:rsidRPr="00594A0C">
        <w:rPr>
          <w:rFonts w:cstheme="minorHAnsi"/>
          <w:b/>
          <w:bCs/>
        </w:rPr>
        <w:t>€ 0,00</w:t>
      </w:r>
    </w:p>
    <w:p w:rsidR="00594A0C" w:rsidRPr="00594A0C" w:rsidRDefault="00594A0C" w:rsidP="00594A0C">
      <w:pPr>
        <w:autoSpaceDE w:val="0"/>
        <w:autoSpaceDN w:val="0"/>
        <w:adjustRightInd w:val="0"/>
        <w:spacing w:after="0" w:line="20" w:lineRule="atLeast"/>
        <w:jc w:val="both"/>
        <w:rPr>
          <w:rFonts w:cstheme="minorHAnsi"/>
          <w:b/>
          <w:bCs/>
        </w:rPr>
      </w:pPr>
      <w:r w:rsidRPr="00594A0C">
        <w:rPr>
          <w:rFonts w:cstheme="minorHAnsi"/>
          <w:b/>
          <w:bCs/>
        </w:rPr>
        <w:t>DESCRIZIONE DEGLI INTERVENTI</w:t>
      </w:r>
    </w:p>
    <w:p w:rsidR="00594A0C" w:rsidRPr="00594A0C" w:rsidRDefault="00594A0C" w:rsidP="00594A0C">
      <w:pPr>
        <w:autoSpaceDE w:val="0"/>
        <w:autoSpaceDN w:val="0"/>
        <w:adjustRightInd w:val="0"/>
        <w:spacing w:after="0" w:line="20" w:lineRule="atLeast"/>
        <w:jc w:val="both"/>
        <w:rPr>
          <w:rFonts w:cstheme="minorHAnsi"/>
          <w:b/>
          <w:bCs/>
        </w:rPr>
      </w:pPr>
      <w:r w:rsidRPr="00594A0C">
        <w:rPr>
          <w:rFonts w:cstheme="minorHAnsi"/>
          <w:b/>
          <w:bCs/>
        </w:rPr>
        <w:t>DESCRIZIONE DEGLI INTERVENTI € 0,00</w:t>
      </w:r>
    </w:p>
    <w:p w:rsidR="00594A0C" w:rsidRPr="00594A0C" w:rsidRDefault="00594A0C" w:rsidP="00594A0C">
      <w:pPr>
        <w:autoSpaceDE w:val="0"/>
        <w:autoSpaceDN w:val="0"/>
        <w:adjustRightInd w:val="0"/>
        <w:spacing w:after="0" w:line="20" w:lineRule="atLeast"/>
        <w:jc w:val="both"/>
        <w:rPr>
          <w:rFonts w:cstheme="minorHAnsi"/>
          <w:b/>
          <w:bCs/>
        </w:rPr>
      </w:pPr>
      <w:r w:rsidRPr="00594A0C">
        <w:rPr>
          <w:rFonts w:cstheme="minorHAnsi"/>
        </w:rPr>
        <w:t xml:space="preserve">Totale </w:t>
      </w:r>
      <w:r w:rsidRPr="00594A0C">
        <w:rPr>
          <w:rFonts w:cstheme="minorHAnsi"/>
          <w:b/>
          <w:bCs/>
        </w:rPr>
        <w:t>€ 5.161.100,00</w:t>
      </w:r>
    </w:p>
    <w:p w:rsidR="00594A0C" w:rsidRPr="00594A0C" w:rsidRDefault="00594A0C" w:rsidP="00594A0C">
      <w:pPr>
        <w:autoSpaceDE w:val="0"/>
        <w:autoSpaceDN w:val="0"/>
        <w:adjustRightInd w:val="0"/>
        <w:spacing w:after="0" w:line="20" w:lineRule="atLeast"/>
        <w:jc w:val="both"/>
        <w:rPr>
          <w:rFonts w:cstheme="minorHAnsi"/>
          <w:b/>
          <w:bCs/>
        </w:rPr>
      </w:pPr>
      <w:r w:rsidRPr="00594A0C">
        <w:rPr>
          <w:rFonts w:cstheme="minorHAnsi"/>
          <w:b/>
          <w:bCs/>
        </w:rPr>
        <w:t>Attività finanziabili con risorse del fondo di cui all’art. 5 del decreto</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Tutti gli interventi devono essere aggiuntivi e non sostitutivi dei servizi già esistenti e rispettare le finalità indicate all’art. 19 della Convenzione ONU, con particolare riguardo al comma 1, lett. a).</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t xml:space="preserve">Deve essere garantito l’accesso ai servizi e agli interventi a tutte le categorie di disabilità, comprese quelle intellettive e del neuro sviluppo, ai sensi dell’art. 3, comma 1, secondo periodo del </w:t>
      </w:r>
      <w:proofErr w:type="gramStart"/>
      <w:r w:rsidRPr="00594A0C">
        <w:rPr>
          <w:rFonts w:cstheme="minorHAnsi"/>
        </w:rPr>
        <w:t>D.M..</w:t>
      </w:r>
      <w:proofErr w:type="gramEnd"/>
      <w:r w:rsidRPr="00594A0C">
        <w:rPr>
          <w:rFonts w:cstheme="minorHAnsi"/>
        </w:rPr>
        <w:t xml:space="preserve"> In merito alle spese per servizi socio-sanitari, sono ammissibili soltanto quelle di rilevanza sociale.</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rPr>
        <w:lastRenderedPageBreak/>
        <w:t>Gli interventi possono essere integrati con risorse regionali, di ambito o di soggetti terzi, sempre nel rispetto delle indicazioni operative e degli indirizzi indicati nel DM, in funzione delle finalità della legge 112/2016.</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b/>
          <w:bCs/>
        </w:rPr>
        <w:t xml:space="preserve">a. </w:t>
      </w:r>
      <w:r w:rsidRPr="00594A0C">
        <w:rPr>
          <w:rFonts w:cstheme="minorHAnsi"/>
        </w:rPr>
        <w:t>Percorsi programmati di accompagnamento per l’uscita dal nucleo familiare di origine ovvero per la deistituzionalizzazione, di cui all’articolo 3, commi 2 e 3. Le azioni di cui al presente punto e alla successiva lettera b) devono riprodurre e ricercare soluzioni e condizioni abitative, quanto più possibile, proprie dell’ambiente familiare.</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b/>
          <w:bCs/>
        </w:rPr>
        <w:t>b</w:t>
      </w:r>
      <w:r w:rsidRPr="00594A0C">
        <w:rPr>
          <w:rFonts w:cstheme="minorHAnsi"/>
        </w:rPr>
        <w:t>. Interventi di supporto alla domiciliarità in soluzioni alloggiative dalle caratteristiche di cui all’articolo 3, comma 4;</w:t>
      </w:r>
    </w:p>
    <w:p w:rsidR="00594A0C" w:rsidRPr="00594A0C" w:rsidRDefault="00594A0C" w:rsidP="00594A0C">
      <w:pPr>
        <w:autoSpaceDE w:val="0"/>
        <w:autoSpaceDN w:val="0"/>
        <w:adjustRightInd w:val="0"/>
        <w:spacing w:after="0" w:line="20" w:lineRule="atLeast"/>
        <w:jc w:val="both"/>
        <w:rPr>
          <w:rFonts w:cstheme="minorHAnsi"/>
        </w:rPr>
      </w:pPr>
      <w:r w:rsidRPr="00594A0C">
        <w:rPr>
          <w:rFonts w:cstheme="minorHAnsi"/>
          <w:b/>
          <w:bCs/>
        </w:rPr>
        <w:t>c</w:t>
      </w:r>
      <w:r w:rsidRPr="00594A0C">
        <w:rPr>
          <w:rFonts w:cstheme="minorHAnsi"/>
        </w:rPr>
        <w:t>. programmi di accrescimento della consapevolezza, di abilitazione e di sviluppo delle competenze per la gestione della vita quotidiana e per il raggiungimento del maggior livello di autonomia possibile programmi di accrescimento della consapevolezza abilitazione e lo sviluppo delle competenze per favorire l’autonomia (art. 3, comma 5), anche attraverso tirocini per l’inclusione sociale (art. 3, comma 6)</w:t>
      </w:r>
    </w:p>
    <w:p w:rsidR="000E6D4F" w:rsidRDefault="00594A0C" w:rsidP="00D77AA8">
      <w:pPr>
        <w:autoSpaceDE w:val="0"/>
        <w:autoSpaceDN w:val="0"/>
        <w:adjustRightInd w:val="0"/>
        <w:spacing w:after="0" w:line="20" w:lineRule="atLeast"/>
        <w:jc w:val="both"/>
        <w:rPr>
          <w:rFonts w:cstheme="minorHAnsi"/>
        </w:rPr>
      </w:pPr>
      <w:r w:rsidRPr="00594A0C">
        <w:rPr>
          <w:rFonts w:cstheme="minorHAnsi"/>
          <w:b/>
          <w:bCs/>
        </w:rPr>
        <w:t>e</w:t>
      </w:r>
      <w:r w:rsidRPr="00594A0C">
        <w:rPr>
          <w:rFonts w:cstheme="minorHAnsi"/>
        </w:rPr>
        <w:t>. in via residuale, interventi di permanenza temporanea in una soluzione abitativa extra-familiare, di cui all’articolo 3, comma 7.</w:t>
      </w:r>
    </w:p>
    <w:p w:rsidR="00FF7E92" w:rsidRDefault="00FF7E92" w:rsidP="00D77AA8">
      <w:pPr>
        <w:autoSpaceDE w:val="0"/>
        <w:autoSpaceDN w:val="0"/>
        <w:adjustRightInd w:val="0"/>
        <w:spacing w:after="0" w:line="20" w:lineRule="atLeast"/>
        <w:jc w:val="both"/>
        <w:rPr>
          <w:rFonts w:cstheme="minorHAnsi"/>
        </w:rPr>
      </w:pPr>
    </w:p>
    <w:p w:rsidR="00FF7E92" w:rsidRPr="009919A3" w:rsidRDefault="00FF7E92" w:rsidP="00FF7E9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EFEFE"/>
        <w:spacing w:after="0" w:line="20" w:lineRule="atLeast"/>
        <w:jc w:val="center"/>
        <w:outlineLvl w:val="1"/>
        <w:rPr>
          <w:rFonts w:cstheme="minorHAnsi"/>
          <w:b/>
        </w:rPr>
      </w:pPr>
      <w:r w:rsidRPr="009919A3">
        <w:rPr>
          <w:rFonts w:cstheme="minorHAnsi"/>
          <w:b/>
        </w:rPr>
        <w:t>SANITÀ</w:t>
      </w:r>
    </w:p>
    <w:p w:rsidR="00FF7E92" w:rsidRDefault="00FF7E92" w:rsidP="00FF7E92">
      <w:pPr>
        <w:shd w:val="clear" w:color="auto" w:fill="FEFEFE"/>
        <w:spacing w:after="0" w:line="20" w:lineRule="atLeast"/>
        <w:jc w:val="both"/>
        <w:outlineLvl w:val="1"/>
        <w:rPr>
          <w:rFonts w:cstheme="minorHAnsi"/>
        </w:rPr>
      </w:pPr>
    </w:p>
    <w:p w:rsidR="00FF7E92" w:rsidRPr="006B0B81" w:rsidRDefault="00FF7E92" w:rsidP="00FF7E92">
      <w:pPr>
        <w:spacing w:after="0" w:line="20" w:lineRule="atLeast"/>
        <w:jc w:val="both"/>
        <w:rPr>
          <w:rFonts w:cstheme="minorHAnsi"/>
        </w:rPr>
      </w:pPr>
      <w:r w:rsidRPr="006B0B81">
        <w:rPr>
          <w:rFonts w:cstheme="minorHAnsi"/>
          <w:b/>
        </w:rPr>
        <w:t xml:space="preserve">DCA    4 </w:t>
      </w:r>
      <w:proofErr w:type="gramStart"/>
      <w:r w:rsidRPr="006B0B81">
        <w:rPr>
          <w:rFonts w:cstheme="minorHAnsi"/>
          <w:b/>
        </w:rPr>
        <w:t>luglio  2019</w:t>
      </w:r>
      <w:proofErr w:type="gramEnd"/>
      <w:r w:rsidRPr="006B0B81">
        <w:rPr>
          <w:rFonts w:cstheme="minorHAnsi"/>
          <w:b/>
        </w:rPr>
        <w:t xml:space="preserve">, n.  </w:t>
      </w:r>
      <w:proofErr w:type="gramStart"/>
      <w:r w:rsidRPr="006B0B81">
        <w:rPr>
          <w:rFonts w:cstheme="minorHAnsi"/>
          <w:b/>
        </w:rPr>
        <w:t xml:space="preserve">57, </w:t>
      </w:r>
      <w:r w:rsidRPr="006B0B81">
        <w:rPr>
          <w:rFonts w:cstheme="minorHAnsi"/>
        </w:rPr>
        <w:t xml:space="preserve"> Ripartizione</w:t>
      </w:r>
      <w:proofErr w:type="gramEnd"/>
      <w:r w:rsidRPr="006B0B81">
        <w:rPr>
          <w:rFonts w:cstheme="minorHAnsi"/>
        </w:rPr>
        <w:t xml:space="preserve"> del finanziamento statale della spesa sanitaria regionale corrente per l’esercizio 2018 ed Indicazioni operative aventi ad oggetto la redazione del Bilancio consuntivo al 31 dicembre 2018 – Approvazione. (BUR n. 44 del 1.8.19)</w:t>
      </w:r>
    </w:p>
    <w:p w:rsidR="00FF7E92" w:rsidRPr="009B3050" w:rsidRDefault="00FF7E92" w:rsidP="00FF7E92">
      <w:pPr>
        <w:spacing w:after="0" w:line="20" w:lineRule="atLeast"/>
        <w:jc w:val="both"/>
        <w:rPr>
          <w:rFonts w:cstheme="minorHAnsi"/>
          <w:b/>
        </w:rPr>
      </w:pPr>
      <w:r w:rsidRPr="009B3050">
        <w:rPr>
          <w:rFonts w:cstheme="minorHAnsi"/>
          <w:b/>
        </w:rPr>
        <w:t>Note</w:t>
      </w:r>
    </w:p>
    <w:p w:rsidR="00FF7E92" w:rsidRPr="006B0B81" w:rsidRDefault="00FF7E92" w:rsidP="00FF7E92">
      <w:pPr>
        <w:spacing w:after="0" w:line="20" w:lineRule="atLeast"/>
        <w:jc w:val="both"/>
        <w:rPr>
          <w:rFonts w:cstheme="minorHAnsi"/>
        </w:rPr>
      </w:pPr>
      <w:proofErr w:type="gramStart"/>
      <w:r w:rsidRPr="006B0B81">
        <w:rPr>
          <w:rFonts w:cstheme="minorHAnsi"/>
        </w:rPr>
        <w:t>Viene  approvata</w:t>
      </w:r>
      <w:proofErr w:type="gramEnd"/>
      <w:r w:rsidRPr="006B0B81">
        <w:rPr>
          <w:rFonts w:cstheme="minorHAnsi"/>
        </w:rPr>
        <w:t xml:space="preserve">  la ripartizione del finanziamento della spesa sanitaria regionale corrente indistinta e vincolata per l’esercizio 2018, nonché la ripartizione provvisoria del FSR indistinto per l’esercizio 2019, come esposte nel documento  “Allegato riparto del FSR indistinto, finalizzato e vincolato definitivo 2018 e riparto provvisorio del FSR indistinto 2019”.</w:t>
      </w:r>
    </w:p>
    <w:p w:rsidR="00FF7E92" w:rsidRDefault="00FF7E92" w:rsidP="00D77AA8">
      <w:pPr>
        <w:autoSpaceDE w:val="0"/>
        <w:autoSpaceDN w:val="0"/>
        <w:adjustRightInd w:val="0"/>
        <w:spacing w:after="0" w:line="20" w:lineRule="atLeast"/>
        <w:jc w:val="both"/>
        <w:rPr>
          <w:rFonts w:cstheme="minorHAnsi"/>
        </w:rPr>
      </w:pPr>
    </w:p>
    <w:p w:rsidR="00466533" w:rsidRDefault="00466533" w:rsidP="00466533">
      <w:pPr>
        <w:spacing w:after="0" w:line="20" w:lineRule="atLeast"/>
        <w:ind w:left="360"/>
        <w:jc w:val="center"/>
        <w:rPr>
          <w:rFonts w:ascii="Broadway" w:hAnsi="Broadway" w:cstheme="majorHAnsi"/>
          <w:b/>
          <w:sz w:val="40"/>
          <w:szCs w:val="40"/>
        </w:rPr>
      </w:pPr>
      <w:proofErr w:type="gramStart"/>
      <w:r>
        <w:rPr>
          <w:rFonts w:ascii="Broadway" w:hAnsi="Broadway" w:cstheme="majorHAnsi"/>
          <w:b/>
          <w:sz w:val="40"/>
          <w:szCs w:val="40"/>
        </w:rPr>
        <w:t>E</w:t>
      </w:r>
      <w:r w:rsidRPr="008B2D00">
        <w:rPr>
          <w:rFonts w:ascii="Broadway" w:hAnsi="Broadway" w:cstheme="majorHAnsi"/>
          <w:b/>
          <w:sz w:val="40"/>
          <w:szCs w:val="40"/>
        </w:rPr>
        <w:t>MILIA  ROMAGNA</w:t>
      </w:r>
      <w:proofErr w:type="gramEnd"/>
    </w:p>
    <w:p w:rsidR="004A63E8" w:rsidRDefault="004A63E8" w:rsidP="00466533">
      <w:pPr>
        <w:spacing w:after="0" w:line="20" w:lineRule="atLeast"/>
        <w:jc w:val="both"/>
        <w:rPr>
          <w:rFonts w:eastAsia="Times New Roman" w:cstheme="minorHAnsi"/>
          <w:b/>
          <w:color w:val="515151"/>
          <w:lang w:eastAsia="it-IT"/>
        </w:rPr>
      </w:pPr>
    </w:p>
    <w:p w:rsidR="005248E2" w:rsidRDefault="005248E2" w:rsidP="005248E2">
      <w:pPr>
        <w:pStyle w:val="metadata"/>
        <w:pBdr>
          <w:top w:val="single" w:sz="4" w:space="1" w:color="auto"/>
          <w:left w:val="single" w:sz="4" w:space="4" w:color="auto"/>
          <w:bottom w:val="single" w:sz="4" w:space="1" w:color="auto"/>
          <w:right w:val="single" w:sz="4" w:space="4" w:color="auto"/>
          <w:between w:val="single" w:sz="4" w:space="1" w:color="auto"/>
          <w:bar w:val="single" w:sz="4" w:color="auto"/>
        </w:pBdr>
        <w:spacing w:before="0" w:beforeAutospacing="0" w:after="0" w:afterAutospacing="0" w:line="20" w:lineRule="atLeast"/>
        <w:jc w:val="center"/>
        <w:rPr>
          <w:rFonts w:asciiTheme="minorHAnsi" w:hAnsiTheme="minorHAnsi" w:cstheme="minorHAnsi"/>
          <w:b/>
          <w:sz w:val="22"/>
          <w:szCs w:val="22"/>
        </w:rPr>
      </w:pPr>
      <w:r>
        <w:rPr>
          <w:rFonts w:asciiTheme="minorHAnsi" w:hAnsiTheme="minorHAnsi" w:cstheme="minorHAnsi"/>
          <w:b/>
          <w:sz w:val="22"/>
          <w:szCs w:val="22"/>
        </w:rPr>
        <w:t>FAMIGLIA</w:t>
      </w:r>
    </w:p>
    <w:p w:rsidR="005248E2" w:rsidRDefault="005248E2" w:rsidP="004E572C">
      <w:pPr>
        <w:pStyle w:val="metadata"/>
        <w:spacing w:before="0" w:beforeAutospacing="0" w:after="0" w:afterAutospacing="0" w:line="20" w:lineRule="atLeast"/>
        <w:jc w:val="both"/>
        <w:rPr>
          <w:rFonts w:asciiTheme="minorHAnsi" w:hAnsiTheme="minorHAnsi" w:cstheme="minorHAnsi"/>
          <w:b/>
          <w:sz w:val="22"/>
          <w:szCs w:val="22"/>
        </w:rPr>
      </w:pPr>
    </w:p>
    <w:p w:rsidR="004E572C" w:rsidRPr="004E572C" w:rsidRDefault="004E572C" w:rsidP="004E572C">
      <w:pPr>
        <w:pStyle w:val="metadata"/>
        <w:spacing w:before="0" w:beforeAutospacing="0" w:after="0" w:afterAutospacing="0" w:line="20" w:lineRule="atLeast"/>
        <w:jc w:val="both"/>
        <w:rPr>
          <w:rFonts w:asciiTheme="minorHAnsi" w:hAnsiTheme="minorHAnsi" w:cstheme="minorHAnsi"/>
          <w:sz w:val="22"/>
          <w:szCs w:val="22"/>
        </w:rPr>
      </w:pPr>
      <w:r w:rsidRPr="004E572C">
        <w:rPr>
          <w:rFonts w:asciiTheme="minorHAnsi" w:hAnsiTheme="minorHAnsi" w:cstheme="minorHAnsi"/>
          <w:b/>
          <w:sz w:val="22"/>
          <w:szCs w:val="22"/>
        </w:rPr>
        <w:t>DGR 13 maggio 2019, n. 743</w:t>
      </w:r>
      <w:r w:rsidRPr="004E572C">
        <w:rPr>
          <w:rFonts w:asciiTheme="minorHAnsi" w:hAnsiTheme="minorHAnsi" w:cstheme="minorHAnsi"/>
          <w:sz w:val="22"/>
          <w:szCs w:val="22"/>
        </w:rPr>
        <w:t>, Assegnazione e concessione di risorse ai CPF per attività dedicate all'adolescenza in attuazione delibera di Giunta regionale n. 425/2019. (BUR n. 278 del 21.6.19)</w:t>
      </w:r>
    </w:p>
    <w:p w:rsidR="004E572C" w:rsidRPr="004E572C" w:rsidRDefault="004E572C" w:rsidP="004E572C">
      <w:pPr>
        <w:pStyle w:val="metadata"/>
        <w:spacing w:before="0" w:beforeAutospacing="0" w:after="0" w:afterAutospacing="0" w:line="20" w:lineRule="atLeast"/>
        <w:jc w:val="both"/>
        <w:rPr>
          <w:rFonts w:asciiTheme="minorHAnsi" w:hAnsiTheme="minorHAnsi" w:cstheme="minorHAnsi"/>
          <w:b/>
          <w:sz w:val="22"/>
          <w:szCs w:val="22"/>
        </w:rPr>
      </w:pPr>
      <w:r w:rsidRPr="004E572C">
        <w:rPr>
          <w:rFonts w:asciiTheme="minorHAnsi" w:hAnsiTheme="minorHAnsi" w:cstheme="minorHAnsi"/>
          <w:b/>
          <w:sz w:val="22"/>
          <w:szCs w:val="22"/>
        </w:rPr>
        <w:t>RIFERIMENTI NORMATIVI</w:t>
      </w:r>
    </w:p>
    <w:p w:rsidR="004E572C" w:rsidRPr="004E572C" w:rsidRDefault="004E572C" w:rsidP="004E572C">
      <w:pPr>
        <w:pStyle w:val="NormaleWeb"/>
        <w:shd w:val="clear" w:color="auto" w:fill="EFEFEF"/>
        <w:spacing w:before="0" w:beforeAutospacing="0" w:after="0" w:afterAutospacing="0" w:line="20" w:lineRule="atLeast"/>
        <w:jc w:val="both"/>
        <w:rPr>
          <w:rFonts w:asciiTheme="minorHAnsi" w:hAnsiTheme="minorHAnsi" w:cstheme="minorHAnsi"/>
          <w:sz w:val="22"/>
          <w:szCs w:val="22"/>
        </w:rPr>
      </w:pPr>
      <w:r w:rsidRPr="004E572C">
        <w:rPr>
          <w:rFonts w:asciiTheme="minorHAnsi" w:hAnsiTheme="minorHAnsi" w:cstheme="minorHAnsi"/>
          <w:sz w:val="22"/>
          <w:szCs w:val="22"/>
        </w:rPr>
        <w:t>L.R. 2 marzo 2003, n. 2 “Norme per la promozione della cittadinanza sociale e per la realizzazione del sistema integrato di interventi e servizi sociali” e successive modifiche;</w:t>
      </w:r>
    </w:p>
    <w:p w:rsidR="004E572C" w:rsidRPr="004E572C" w:rsidRDefault="004E572C" w:rsidP="004E572C">
      <w:pPr>
        <w:pStyle w:val="NormaleWeb"/>
        <w:shd w:val="clear" w:color="auto" w:fill="EFEFEF"/>
        <w:spacing w:before="0" w:beforeAutospacing="0" w:after="0" w:afterAutospacing="0" w:line="20" w:lineRule="atLeast"/>
        <w:jc w:val="both"/>
        <w:rPr>
          <w:rFonts w:asciiTheme="minorHAnsi" w:hAnsiTheme="minorHAnsi" w:cstheme="minorHAnsi"/>
          <w:sz w:val="22"/>
          <w:szCs w:val="22"/>
        </w:rPr>
      </w:pPr>
      <w:r w:rsidRPr="004E572C">
        <w:rPr>
          <w:rFonts w:asciiTheme="minorHAnsi" w:hAnsiTheme="minorHAnsi" w:cstheme="minorHAnsi"/>
          <w:sz w:val="22"/>
          <w:szCs w:val="22"/>
        </w:rPr>
        <w:t>- la L.R. 28 luglio 2008, n. 14 “Norme in materia di politiche per le giovani generazioni” ed in particolare l’art. 15;</w:t>
      </w:r>
    </w:p>
    <w:p w:rsidR="004E572C" w:rsidRPr="004E572C" w:rsidRDefault="004E572C" w:rsidP="004E572C">
      <w:pPr>
        <w:pStyle w:val="NormaleWeb"/>
        <w:shd w:val="clear" w:color="auto" w:fill="EFEFEF"/>
        <w:spacing w:before="0" w:beforeAutospacing="0" w:after="0" w:afterAutospacing="0" w:line="20" w:lineRule="atLeast"/>
        <w:jc w:val="both"/>
        <w:rPr>
          <w:rFonts w:asciiTheme="minorHAnsi" w:hAnsiTheme="minorHAnsi" w:cstheme="minorHAnsi"/>
          <w:sz w:val="22"/>
          <w:szCs w:val="22"/>
        </w:rPr>
      </w:pPr>
      <w:r w:rsidRPr="004E572C">
        <w:rPr>
          <w:rFonts w:asciiTheme="minorHAnsi" w:hAnsiTheme="minorHAnsi" w:cstheme="minorHAnsi"/>
          <w:sz w:val="22"/>
          <w:szCs w:val="22"/>
        </w:rPr>
        <w:t>DGR  391 del 15/4/2015 “Approvazione Linee Guida regionali per i Centri per le famiglie”;</w:t>
      </w:r>
    </w:p>
    <w:p w:rsidR="004E572C" w:rsidRPr="004E572C" w:rsidRDefault="004E572C" w:rsidP="004E572C">
      <w:pPr>
        <w:pStyle w:val="NormaleWeb"/>
        <w:shd w:val="clear" w:color="auto" w:fill="EFEFEF"/>
        <w:spacing w:before="0" w:beforeAutospacing="0" w:after="0" w:afterAutospacing="0" w:line="20" w:lineRule="atLeast"/>
        <w:jc w:val="both"/>
        <w:rPr>
          <w:rFonts w:asciiTheme="minorHAnsi" w:hAnsiTheme="minorHAnsi" w:cstheme="minorHAnsi"/>
          <w:sz w:val="22"/>
          <w:szCs w:val="22"/>
        </w:rPr>
      </w:pPr>
      <w:r w:rsidRPr="004E572C">
        <w:rPr>
          <w:rFonts w:asciiTheme="minorHAnsi" w:hAnsiTheme="minorHAnsi" w:cstheme="minorHAnsi"/>
          <w:sz w:val="22"/>
          <w:szCs w:val="22"/>
        </w:rPr>
        <w:t xml:space="preserve">DGR  425 del 25/3/2019 “Programma annuale 2019: ripartizione delle risorse del fondo sociale regionale ai sensi della L.R. 2/2003 </w:t>
      </w:r>
      <w:proofErr w:type="gramStart"/>
      <w:r w:rsidRPr="004E572C">
        <w:rPr>
          <w:rFonts w:asciiTheme="minorHAnsi" w:hAnsiTheme="minorHAnsi" w:cstheme="minorHAnsi"/>
          <w:sz w:val="22"/>
          <w:szCs w:val="22"/>
        </w:rPr>
        <w:t>e  paragrafo</w:t>
      </w:r>
      <w:proofErr w:type="gramEnd"/>
      <w:r w:rsidRPr="004E572C">
        <w:rPr>
          <w:rFonts w:asciiTheme="minorHAnsi" w:hAnsiTheme="minorHAnsi" w:cstheme="minorHAnsi"/>
          <w:sz w:val="22"/>
          <w:szCs w:val="22"/>
        </w:rPr>
        <w:t xml:space="preserve"> 3.3 del Programma e risorse pari a € 150.000,00 destinate ai Centri per le Famiglie esistenti ed operativi al 31/12/2018 per attività dedicate all’adolescenza;.</w:t>
      </w:r>
    </w:p>
    <w:p w:rsidR="004E572C" w:rsidRPr="004E572C" w:rsidRDefault="004E572C" w:rsidP="004E572C">
      <w:pPr>
        <w:pStyle w:val="NormaleWeb"/>
        <w:shd w:val="clear" w:color="auto" w:fill="EFEFEF"/>
        <w:spacing w:before="0" w:beforeAutospacing="0" w:after="0" w:afterAutospacing="0" w:line="20" w:lineRule="atLeast"/>
        <w:jc w:val="both"/>
        <w:rPr>
          <w:rFonts w:asciiTheme="minorHAnsi" w:hAnsiTheme="minorHAnsi" w:cstheme="minorHAnsi"/>
          <w:b/>
          <w:sz w:val="22"/>
          <w:szCs w:val="22"/>
        </w:rPr>
      </w:pPr>
      <w:r w:rsidRPr="004E572C">
        <w:rPr>
          <w:rFonts w:asciiTheme="minorHAnsi" w:hAnsiTheme="minorHAnsi" w:cstheme="minorHAnsi"/>
          <w:b/>
          <w:sz w:val="22"/>
          <w:szCs w:val="22"/>
        </w:rPr>
        <w:t xml:space="preserve">LA DISPOSIZIONE </w:t>
      </w:r>
    </w:p>
    <w:p w:rsidR="004E572C" w:rsidRPr="004E572C" w:rsidRDefault="004E572C" w:rsidP="004E572C">
      <w:pPr>
        <w:pStyle w:val="NormaleWeb"/>
        <w:shd w:val="clear" w:color="auto" w:fill="EFEFEF"/>
        <w:spacing w:before="0" w:beforeAutospacing="0" w:after="0" w:afterAutospacing="0" w:line="20" w:lineRule="atLeast"/>
        <w:jc w:val="both"/>
        <w:rPr>
          <w:rFonts w:asciiTheme="minorHAnsi" w:hAnsiTheme="minorHAnsi" w:cstheme="minorHAnsi"/>
          <w:sz w:val="22"/>
          <w:szCs w:val="22"/>
        </w:rPr>
      </w:pPr>
      <w:r w:rsidRPr="004E572C">
        <w:rPr>
          <w:rFonts w:asciiTheme="minorHAnsi" w:hAnsiTheme="minorHAnsi" w:cstheme="minorHAnsi"/>
          <w:sz w:val="22"/>
          <w:szCs w:val="22"/>
        </w:rPr>
        <w:t>Vengono destinate tali risorse allo sviluppo e la qualificazione dei Centri per le famiglie, con finalità di realizzare interventi dedicati all’adolescenza secondo le seguenti tre aree:</w:t>
      </w:r>
    </w:p>
    <w:p w:rsidR="004E572C" w:rsidRPr="004E572C" w:rsidRDefault="004E572C" w:rsidP="004E572C">
      <w:pPr>
        <w:pStyle w:val="NormaleWeb"/>
        <w:shd w:val="clear" w:color="auto" w:fill="EFEFEF"/>
        <w:spacing w:before="0" w:beforeAutospacing="0" w:after="0" w:afterAutospacing="0" w:line="20" w:lineRule="atLeast"/>
        <w:jc w:val="both"/>
        <w:rPr>
          <w:rFonts w:asciiTheme="minorHAnsi" w:hAnsiTheme="minorHAnsi" w:cstheme="minorHAnsi"/>
          <w:sz w:val="22"/>
          <w:szCs w:val="22"/>
        </w:rPr>
      </w:pPr>
      <w:r w:rsidRPr="004E572C">
        <w:rPr>
          <w:rFonts w:asciiTheme="minorHAnsi" w:hAnsiTheme="minorHAnsi" w:cstheme="minorHAnsi"/>
          <w:sz w:val="22"/>
          <w:szCs w:val="22"/>
        </w:rPr>
        <w:t>- </w:t>
      </w:r>
      <w:r w:rsidRPr="004E572C">
        <w:rPr>
          <w:rFonts w:asciiTheme="minorHAnsi" w:hAnsiTheme="minorHAnsi" w:cstheme="minorHAnsi"/>
          <w:b/>
          <w:bCs/>
          <w:sz w:val="22"/>
          <w:szCs w:val="22"/>
        </w:rPr>
        <w:t>Attività informative</w:t>
      </w:r>
      <w:r w:rsidRPr="004E572C">
        <w:rPr>
          <w:rFonts w:asciiTheme="minorHAnsi" w:hAnsiTheme="minorHAnsi" w:cstheme="minorHAnsi"/>
          <w:sz w:val="22"/>
          <w:szCs w:val="22"/>
        </w:rPr>
        <w:t>, di orientamento e di approfondimento sulla fase dell’adolescenza rivolte alle famiglie ed agli adulti di riferimento delle/i ragazze/i;</w:t>
      </w:r>
    </w:p>
    <w:p w:rsidR="004E572C" w:rsidRPr="004E572C" w:rsidRDefault="004E572C" w:rsidP="004E572C">
      <w:pPr>
        <w:pStyle w:val="NormaleWeb"/>
        <w:shd w:val="clear" w:color="auto" w:fill="EFEFEF"/>
        <w:spacing w:before="0" w:beforeAutospacing="0" w:after="0" w:afterAutospacing="0" w:line="20" w:lineRule="atLeast"/>
        <w:jc w:val="both"/>
        <w:rPr>
          <w:rFonts w:asciiTheme="minorHAnsi" w:hAnsiTheme="minorHAnsi" w:cstheme="minorHAnsi"/>
          <w:sz w:val="22"/>
          <w:szCs w:val="22"/>
        </w:rPr>
      </w:pPr>
      <w:r w:rsidRPr="004E572C">
        <w:rPr>
          <w:rFonts w:asciiTheme="minorHAnsi" w:hAnsiTheme="minorHAnsi" w:cstheme="minorHAnsi"/>
          <w:sz w:val="22"/>
          <w:szCs w:val="22"/>
        </w:rPr>
        <w:t>- </w:t>
      </w:r>
      <w:r w:rsidRPr="004E572C">
        <w:rPr>
          <w:rFonts w:asciiTheme="minorHAnsi" w:hAnsiTheme="minorHAnsi" w:cstheme="minorHAnsi"/>
          <w:b/>
          <w:bCs/>
          <w:sz w:val="22"/>
          <w:szCs w:val="22"/>
        </w:rPr>
        <w:t>Attività di sostegno alle competenze</w:t>
      </w:r>
      <w:r w:rsidRPr="004E572C">
        <w:rPr>
          <w:rFonts w:asciiTheme="minorHAnsi" w:hAnsiTheme="minorHAnsi" w:cstheme="minorHAnsi"/>
          <w:sz w:val="22"/>
          <w:szCs w:val="22"/>
        </w:rPr>
        <w:t> </w:t>
      </w:r>
      <w:r w:rsidRPr="004E572C">
        <w:rPr>
          <w:rFonts w:asciiTheme="minorHAnsi" w:hAnsiTheme="minorHAnsi" w:cstheme="minorHAnsi"/>
          <w:b/>
          <w:bCs/>
          <w:sz w:val="22"/>
          <w:szCs w:val="22"/>
        </w:rPr>
        <w:t>genitoriali</w:t>
      </w:r>
      <w:r w:rsidRPr="004E572C">
        <w:rPr>
          <w:rFonts w:asciiTheme="minorHAnsi" w:hAnsiTheme="minorHAnsi" w:cstheme="minorHAnsi"/>
          <w:sz w:val="22"/>
          <w:szCs w:val="22"/>
        </w:rPr>
        <w:t> attraverso consulenze ed altre forme di ascolto ed accompagnamento anche in rete con altri servizi socio-educativi e sanitari;</w:t>
      </w:r>
    </w:p>
    <w:p w:rsidR="004E572C" w:rsidRPr="004E572C" w:rsidRDefault="004E572C" w:rsidP="004E572C">
      <w:pPr>
        <w:pStyle w:val="NormaleWeb"/>
        <w:shd w:val="clear" w:color="auto" w:fill="EFEFEF"/>
        <w:spacing w:before="0" w:beforeAutospacing="0" w:after="0" w:afterAutospacing="0" w:line="20" w:lineRule="atLeast"/>
        <w:jc w:val="both"/>
        <w:rPr>
          <w:rFonts w:asciiTheme="minorHAnsi" w:hAnsiTheme="minorHAnsi" w:cstheme="minorHAnsi"/>
          <w:sz w:val="22"/>
          <w:szCs w:val="22"/>
        </w:rPr>
      </w:pPr>
      <w:r w:rsidRPr="004E572C">
        <w:rPr>
          <w:rFonts w:asciiTheme="minorHAnsi" w:hAnsiTheme="minorHAnsi" w:cstheme="minorHAnsi"/>
          <w:sz w:val="22"/>
          <w:szCs w:val="22"/>
        </w:rPr>
        <w:t>- </w:t>
      </w:r>
      <w:r w:rsidRPr="004E572C">
        <w:rPr>
          <w:rFonts w:asciiTheme="minorHAnsi" w:hAnsiTheme="minorHAnsi" w:cstheme="minorHAnsi"/>
          <w:b/>
          <w:bCs/>
          <w:sz w:val="22"/>
          <w:szCs w:val="22"/>
        </w:rPr>
        <w:t>Attivazione di gruppi e azioni di confronto</w:t>
      </w:r>
      <w:r w:rsidRPr="004E572C">
        <w:rPr>
          <w:rFonts w:asciiTheme="minorHAnsi" w:hAnsiTheme="minorHAnsi" w:cstheme="minorHAnsi"/>
          <w:sz w:val="22"/>
          <w:szCs w:val="22"/>
        </w:rPr>
        <w:t> tra famiglie per facilitare l’auto mutuo aiuto, offrendo un sostegno pratico ed emotivo nella quotidianità a genitori di adolescenti; Attivazione di gruppi di confronto e supporto tra ragazzi adolescenti.</w:t>
      </w:r>
    </w:p>
    <w:p w:rsidR="004E572C" w:rsidRPr="004E572C" w:rsidRDefault="004E572C" w:rsidP="004E572C">
      <w:pPr>
        <w:pStyle w:val="NormaleWeb"/>
        <w:shd w:val="clear" w:color="auto" w:fill="EFEFEF"/>
        <w:spacing w:before="0" w:beforeAutospacing="0" w:after="0" w:afterAutospacing="0" w:line="20" w:lineRule="atLeast"/>
        <w:jc w:val="both"/>
        <w:rPr>
          <w:rFonts w:asciiTheme="minorHAnsi" w:hAnsiTheme="minorHAnsi" w:cstheme="minorHAnsi"/>
          <w:sz w:val="22"/>
          <w:szCs w:val="22"/>
        </w:rPr>
      </w:pPr>
      <w:r w:rsidRPr="004E572C">
        <w:rPr>
          <w:rFonts w:asciiTheme="minorHAnsi" w:hAnsiTheme="minorHAnsi" w:cstheme="minorHAnsi"/>
          <w:sz w:val="22"/>
          <w:szCs w:val="22"/>
        </w:rPr>
        <w:t>Una quota pari al 70</w:t>
      </w:r>
      <w:proofErr w:type="gramStart"/>
      <w:r w:rsidRPr="004E572C">
        <w:rPr>
          <w:rFonts w:asciiTheme="minorHAnsi" w:hAnsiTheme="minorHAnsi" w:cstheme="minorHAnsi"/>
          <w:sz w:val="22"/>
          <w:szCs w:val="22"/>
        </w:rPr>
        <w:t>%  è</w:t>
      </w:r>
      <w:proofErr w:type="gramEnd"/>
      <w:r w:rsidRPr="004E572C">
        <w:rPr>
          <w:rFonts w:asciiTheme="minorHAnsi" w:hAnsiTheme="minorHAnsi" w:cstheme="minorHAnsi"/>
          <w:sz w:val="22"/>
          <w:szCs w:val="22"/>
        </w:rPr>
        <w:t xml:space="preserve"> suddivisa in egual misura per ogni Centro per le Famiglie;</w:t>
      </w:r>
    </w:p>
    <w:p w:rsidR="004E572C" w:rsidRPr="004E572C" w:rsidRDefault="004E572C" w:rsidP="004E572C">
      <w:pPr>
        <w:pStyle w:val="NormaleWeb"/>
        <w:shd w:val="clear" w:color="auto" w:fill="EFEFEF"/>
        <w:spacing w:before="0" w:beforeAutospacing="0" w:after="0" w:afterAutospacing="0" w:line="20" w:lineRule="atLeast"/>
        <w:jc w:val="both"/>
        <w:rPr>
          <w:rFonts w:asciiTheme="minorHAnsi" w:hAnsiTheme="minorHAnsi" w:cstheme="minorHAnsi"/>
          <w:sz w:val="22"/>
          <w:szCs w:val="22"/>
        </w:rPr>
      </w:pPr>
      <w:r w:rsidRPr="004E572C">
        <w:rPr>
          <w:rFonts w:asciiTheme="minorHAnsi" w:hAnsiTheme="minorHAnsi" w:cstheme="minorHAnsi"/>
          <w:sz w:val="22"/>
          <w:szCs w:val="22"/>
        </w:rPr>
        <w:lastRenderedPageBreak/>
        <w:t>Una quota pari al 30</w:t>
      </w:r>
      <w:proofErr w:type="gramStart"/>
      <w:r w:rsidRPr="004E572C">
        <w:rPr>
          <w:rFonts w:asciiTheme="minorHAnsi" w:hAnsiTheme="minorHAnsi" w:cstheme="minorHAnsi"/>
          <w:sz w:val="22"/>
          <w:szCs w:val="22"/>
        </w:rPr>
        <w:t>%  è</w:t>
      </w:r>
      <w:proofErr w:type="gramEnd"/>
      <w:r w:rsidRPr="004E572C">
        <w:rPr>
          <w:rFonts w:asciiTheme="minorHAnsi" w:hAnsiTheme="minorHAnsi" w:cstheme="minorHAnsi"/>
          <w:sz w:val="22"/>
          <w:szCs w:val="22"/>
        </w:rPr>
        <w:t xml:space="preserve"> suddivisa in base alla popolazione 11-19 anni, residente al 01/01/2018”.</w:t>
      </w:r>
    </w:p>
    <w:p w:rsidR="004E572C" w:rsidRDefault="004E572C" w:rsidP="00466533">
      <w:pPr>
        <w:spacing w:after="0" w:line="20" w:lineRule="atLeast"/>
        <w:jc w:val="both"/>
        <w:rPr>
          <w:rFonts w:eastAsia="Times New Roman" w:cstheme="minorHAnsi"/>
          <w:b/>
          <w:color w:val="515151"/>
          <w:lang w:eastAsia="it-IT"/>
        </w:rPr>
      </w:pPr>
    </w:p>
    <w:p w:rsidR="004A63E8" w:rsidRDefault="004A63E8" w:rsidP="004A63E8">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eastAsia="Times New Roman" w:cstheme="minorHAnsi"/>
          <w:b/>
          <w:color w:val="515151"/>
          <w:lang w:eastAsia="it-IT"/>
        </w:rPr>
      </w:pPr>
      <w:r>
        <w:rPr>
          <w:rFonts w:eastAsia="Times New Roman" w:cstheme="minorHAnsi"/>
          <w:b/>
          <w:color w:val="515151"/>
          <w:lang w:eastAsia="it-IT"/>
        </w:rPr>
        <w:t>GIOVANI</w:t>
      </w:r>
    </w:p>
    <w:p w:rsidR="004A63E8" w:rsidRDefault="004A63E8" w:rsidP="00466533">
      <w:pPr>
        <w:spacing w:after="0" w:line="20" w:lineRule="atLeast"/>
        <w:jc w:val="both"/>
        <w:rPr>
          <w:rFonts w:eastAsia="Times New Roman" w:cstheme="minorHAnsi"/>
          <w:b/>
          <w:color w:val="515151"/>
          <w:lang w:eastAsia="it-IT"/>
        </w:rPr>
      </w:pPr>
    </w:p>
    <w:p w:rsidR="00466533" w:rsidRDefault="00466533" w:rsidP="00466533">
      <w:pPr>
        <w:spacing w:after="0" w:line="20" w:lineRule="atLeast"/>
        <w:jc w:val="both"/>
        <w:rPr>
          <w:rFonts w:eastAsia="Times New Roman" w:cstheme="minorHAnsi"/>
          <w:bCs/>
          <w:color w:val="515151"/>
          <w:kern w:val="36"/>
          <w:lang w:eastAsia="it-IT"/>
        </w:rPr>
      </w:pPr>
      <w:r w:rsidRPr="00CC74BF">
        <w:rPr>
          <w:rFonts w:eastAsia="Times New Roman" w:cstheme="minorHAnsi"/>
          <w:b/>
          <w:color w:val="515151"/>
          <w:lang w:eastAsia="it-IT"/>
        </w:rPr>
        <w:t>DGR 22 luglio 2019, n. 1239</w:t>
      </w:r>
      <w:r>
        <w:rPr>
          <w:rFonts w:eastAsia="Times New Roman" w:cstheme="minorHAnsi"/>
          <w:color w:val="515151"/>
          <w:lang w:eastAsia="it-IT"/>
        </w:rPr>
        <w:t xml:space="preserve">, </w:t>
      </w:r>
      <w:r w:rsidRPr="00CC74BF">
        <w:rPr>
          <w:rFonts w:eastAsia="Times New Roman" w:cstheme="minorHAnsi"/>
          <w:bCs/>
          <w:color w:val="515151"/>
          <w:kern w:val="36"/>
          <w:lang w:eastAsia="it-IT"/>
        </w:rPr>
        <w:t>Approvazione della Proposta progettuale in materia di politiche giovanili per l'anno 2019 denominata "GECO 9", ai sensi del comma 2, art. 2 dell'Intesa, Rep. 14/CU, del 13/2/2019</w:t>
      </w:r>
      <w:r>
        <w:rPr>
          <w:rFonts w:eastAsia="Times New Roman" w:cstheme="minorHAnsi"/>
          <w:bCs/>
          <w:color w:val="515151"/>
          <w:kern w:val="36"/>
          <w:lang w:eastAsia="it-IT"/>
        </w:rPr>
        <w:t>. (</w:t>
      </w:r>
      <w:proofErr w:type="gramStart"/>
      <w:r>
        <w:rPr>
          <w:rFonts w:eastAsia="Times New Roman" w:cstheme="minorHAnsi"/>
          <w:bCs/>
          <w:color w:val="515151"/>
          <w:kern w:val="36"/>
          <w:lang w:eastAsia="it-IT"/>
        </w:rPr>
        <w:t>BUR  n.</w:t>
      </w:r>
      <w:proofErr w:type="gramEnd"/>
      <w:r>
        <w:rPr>
          <w:rFonts w:eastAsia="Times New Roman" w:cstheme="minorHAnsi"/>
          <w:bCs/>
          <w:color w:val="515151"/>
          <w:kern w:val="36"/>
          <w:lang w:eastAsia="it-IT"/>
        </w:rPr>
        <w:t xml:space="preserve"> 265 del 7.8.19)</w:t>
      </w:r>
    </w:p>
    <w:p w:rsidR="00466533" w:rsidRDefault="00466533" w:rsidP="00466533">
      <w:pPr>
        <w:spacing w:after="0" w:line="20" w:lineRule="atLeast"/>
        <w:jc w:val="both"/>
        <w:rPr>
          <w:rFonts w:eastAsia="Times New Roman" w:cstheme="minorHAnsi"/>
          <w:b/>
          <w:bCs/>
          <w:color w:val="515151"/>
          <w:kern w:val="36"/>
          <w:lang w:eastAsia="it-IT"/>
        </w:rPr>
      </w:pPr>
      <w:r w:rsidRPr="00466533">
        <w:rPr>
          <w:rFonts w:eastAsia="Times New Roman" w:cstheme="minorHAnsi"/>
          <w:b/>
          <w:bCs/>
          <w:color w:val="515151"/>
          <w:kern w:val="36"/>
          <w:lang w:eastAsia="it-IT"/>
        </w:rPr>
        <w:t>Note</w:t>
      </w:r>
    </w:p>
    <w:p w:rsidR="00466533" w:rsidRPr="00E46EF1" w:rsidRDefault="00466533" w:rsidP="00466533">
      <w:pPr>
        <w:shd w:val="clear" w:color="auto" w:fill="EFEFEF"/>
        <w:spacing w:after="0" w:line="20" w:lineRule="atLeast"/>
        <w:jc w:val="both"/>
        <w:rPr>
          <w:rFonts w:eastAsia="Times New Roman" w:cstheme="minorHAnsi"/>
          <w:color w:val="515151"/>
          <w:lang w:eastAsia="it-IT"/>
        </w:rPr>
      </w:pPr>
      <w:proofErr w:type="gramStart"/>
      <w:r>
        <w:rPr>
          <w:rFonts w:eastAsia="Times New Roman" w:cstheme="minorHAnsi"/>
          <w:color w:val="515151"/>
          <w:lang w:eastAsia="it-IT"/>
        </w:rPr>
        <w:t xml:space="preserve">Si </w:t>
      </w:r>
      <w:r w:rsidRPr="00E46EF1">
        <w:rPr>
          <w:rFonts w:eastAsia="Times New Roman" w:cstheme="minorHAnsi"/>
          <w:color w:val="515151"/>
          <w:lang w:eastAsia="it-IT"/>
        </w:rPr>
        <w:t xml:space="preserve"> procede</w:t>
      </w:r>
      <w:proofErr w:type="gramEnd"/>
      <w:r w:rsidRPr="00E46EF1">
        <w:rPr>
          <w:rFonts w:eastAsia="Times New Roman" w:cstheme="minorHAnsi"/>
          <w:color w:val="515151"/>
          <w:lang w:eastAsia="it-IT"/>
        </w:rPr>
        <w:t xml:space="preserve"> all’approvazione della “Proposta progettuale in materia di politiche giovanili per l’anno 2019” finalizzata alla realizzazione di interventi, in materia di politiche giovanili, volti a promuovere:</w:t>
      </w:r>
    </w:p>
    <w:p w:rsidR="00466533" w:rsidRPr="00E46EF1" w:rsidRDefault="00466533" w:rsidP="00466533">
      <w:pPr>
        <w:shd w:val="clear" w:color="auto" w:fill="EFEFEF"/>
        <w:spacing w:after="0" w:line="20" w:lineRule="atLeast"/>
        <w:jc w:val="both"/>
        <w:rPr>
          <w:rFonts w:eastAsia="Times New Roman" w:cstheme="minorHAnsi"/>
          <w:color w:val="515151"/>
          <w:lang w:eastAsia="it-IT"/>
        </w:rPr>
      </w:pPr>
      <w:r w:rsidRPr="00E46EF1">
        <w:rPr>
          <w:rFonts w:eastAsia="Times New Roman" w:cstheme="minorHAnsi"/>
          <w:color w:val="515151"/>
          <w:lang w:eastAsia="it-IT"/>
        </w:rPr>
        <w:t>- la partecipazione inclusiva dei giovani alla vita sociale e politica dei territori, anche al fine di consentire loro di concorrere al processo decisionale e poter orientare le politiche rivolte al target di riferimento;</w:t>
      </w:r>
    </w:p>
    <w:p w:rsidR="00466533" w:rsidRPr="00E46EF1" w:rsidRDefault="00466533" w:rsidP="00466533">
      <w:pPr>
        <w:shd w:val="clear" w:color="auto" w:fill="EFEFEF"/>
        <w:spacing w:after="0" w:line="20" w:lineRule="atLeast"/>
        <w:jc w:val="both"/>
        <w:rPr>
          <w:rFonts w:eastAsia="Times New Roman" w:cstheme="minorHAnsi"/>
          <w:color w:val="515151"/>
          <w:lang w:eastAsia="it-IT"/>
        </w:rPr>
      </w:pPr>
      <w:r w:rsidRPr="00E46EF1">
        <w:rPr>
          <w:rFonts w:eastAsia="Times New Roman" w:cstheme="minorHAnsi"/>
          <w:color w:val="515151"/>
          <w:lang w:eastAsia="it-IT"/>
        </w:rPr>
        <w:t>- progetti che vadano incontro alle aspettative di autonomia e realizzazione dei giovani;</w:t>
      </w:r>
    </w:p>
    <w:p w:rsidR="00466533" w:rsidRPr="00E46EF1" w:rsidRDefault="00466533" w:rsidP="00466533">
      <w:pPr>
        <w:shd w:val="clear" w:color="auto" w:fill="EFEFEF"/>
        <w:spacing w:after="0" w:line="20" w:lineRule="atLeast"/>
        <w:jc w:val="both"/>
        <w:rPr>
          <w:rFonts w:eastAsia="Times New Roman" w:cstheme="minorHAnsi"/>
          <w:color w:val="515151"/>
          <w:lang w:eastAsia="it-IT"/>
        </w:rPr>
      </w:pPr>
      <w:r w:rsidRPr="00E46EF1">
        <w:rPr>
          <w:rFonts w:eastAsia="Times New Roman" w:cstheme="minorHAnsi"/>
          <w:color w:val="515151"/>
          <w:lang w:eastAsia="it-IT"/>
        </w:rPr>
        <w:t>- attività di orientamento multilivello e disseminazione, anche realizzate nel settore culturale, e/o finalizzate alla prevenzione in vari ambiti, con particolare riferimento alla prevenzione del fenomeno delle nuove dipendenze legate ai giovani;</w:t>
      </w:r>
    </w:p>
    <w:p w:rsidR="00466533" w:rsidRPr="00E46EF1" w:rsidRDefault="00466533" w:rsidP="00466533">
      <w:pPr>
        <w:shd w:val="clear" w:color="auto" w:fill="EFEFEF"/>
        <w:spacing w:after="0" w:line="20" w:lineRule="atLeast"/>
        <w:jc w:val="both"/>
        <w:rPr>
          <w:rFonts w:eastAsia="Times New Roman" w:cstheme="minorHAnsi"/>
          <w:color w:val="515151"/>
          <w:lang w:eastAsia="it-IT"/>
        </w:rPr>
      </w:pPr>
      <w:r w:rsidRPr="00E46EF1">
        <w:rPr>
          <w:rFonts w:eastAsia="Times New Roman" w:cstheme="minorHAnsi"/>
          <w:color w:val="515151"/>
          <w:lang w:eastAsia="it-IT"/>
        </w:rPr>
        <w:t>- attività di orientamento e placement, e/o attività dirette alla prevenzione del disagio e al sostegno dei giovani talenti, anche ed in continuità con quelle in corso di attuazione, relative agli anni 2016, 2017 e 2018;</w:t>
      </w:r>
    </w:p>
    <w:p w:rsidR="00466533" w:rsidRPr="00E46EF1" w:rsidRDefault="00466533" w:rsidP="00466533">
      <w:pPr>
        <w:shd w:val="clear" w:color="auto" w:fill="EFEFEF"/>
        <w:spacing w:after="0" w:line="20" w:lineRule="atLeast"/>
        <w:jc w:val="both"/>
        <w:rPr>
          <w:rFonts w:eastAsia="Times New Roman" w:cstheme="minorHAnsi"/>
          <w:color w:val="515151"/>
          <w:lang w:eastAsia="it-IT"/>
        </w:rPr>
      </w:pPr>
      <w:r>
        <w:rPr>
          <w:rFonts w:eastAsia="Times New Roman" w:cstheme="minorHAnsi"/>
          <w:color w:val="515151"/>
          <w:lang w:eastAsia="it-IT"/>
        </w:rPr>
        <w:t>L</w:t>
      </w:r>
      <w:r w:rsidRPr="00E46EF1">
        <w:rPr>
          <w:rFonts w:eastAsia="Times New Roman" w:cstheme="minorHAnsi"/>
          <w:color w:val="515151"/>
          <w:lang w:eastAsia="it-IT"/>
        </w:rPr>
        <w:t>a “proposta progettuale in materia di politiche giovanili per l’anno 2019” denominata “GECO 9 – Giovani evoluti e consapevoli” è costituita da:</w:t>
      </w:r>
    </w:p>
    <w:p w:rsidR="00466533" w:rsidRPr="00E46EF1" w:rsidRDefault="00466533" w:rsidP="00466533">
      <w:pPr>
        <w:shd w:val="clear" w:color="auto" w:fill="EFEFEF"/>
        <w:spacing w:after="0" w:line="20" w:lineRule="atLeast"/>
        <w:jc w:val="both"/>
        <w:rPr>
          <w:rFonts w:eastAsia="Times New Roman" w:cstheme="minorHAnsi"/>
          <w:color w:val="515151"/>
          <w:lang w:eastAsia="it-IT"/>
        </w:rPr>
      </w:pPr>
      <w:r w:rsidRPr="00E46EF1">
        <w:rPr>
          <w:rFonts w:eastAsia="Times New Roman" w:cstheme="minorHAnsi"/>
          <w:b/>
          <w:bCs/>
          <w:color w:val="515151"/>
          <w:lang w:eastAsia="it-IT"/>
        </w:rPr>
        <w:t xml:space="preserve">- Allegato </w:t>
      </w:r>
      <w:proofErr w:type="gramStart"/>
      <w:r w:rsidRPr="00E46EF1">
        <w:rPr>
          <w:rFonts w:eastAsia="Times New Roman" w:cstheme="minorHAnsi"/>
          <w:b/>
          <w:bCs/>
          <w:color w:val="515151"/>
          <w:lang w:eastAsia="it-IT"/>
        </w:rPr>
        <w:t>A)</w:t>
      </w:r>
      <w:r w:rsidRPr="00E46EF1">
        <w:rPr>
          <w:rFonts w:eastAsia="Times New Roman" w:cstheme="minorHAnsi"/>
          <w:color w:val="515151"/>
          <w:lang w:eastAsia="it-IT"/>
        </w:rPr>
        <w:t>  “</w:t>
      </w:r>
      <w:proofErr w:type="gramEnd"/>
      <w:r w:rsidRPr="00E46EF1">
        <w:rPr>
          <w:rFonts w:eastAsia="Times New Roman" w:cstheme="minorHAnsi"/>
          <w:color w:val="515151"/>
          <w:lang w:eastAsia="it-IT"/>
        </w:rPr>
        <w:t>Schede intervento, risorse complessive e costi previsti”, nella quale è espressamente indicato, tra l'altro, il titolo, gli obiettivi e la descrizione dell’intervento, i territori coinvolti, il numero degli interventi, il numero degli utenti destinatari, il soggetto attuatore, gli altri soggetti coinvolti, il valore complessivo, la copertura finanziaria prevista, i tempi di realizzazione previsti ed il referente del progetto”;</w:t>
      </w:r>
    </w:p>
    <w:p w:rsidR="00466533" w:rsidRPr="00E46EF1" w:rsidRDefault="00466533" w:rsidP="00466533">
      <w:pPr>
        <w:shd w:val="clear" w:color="auto" w:fill="EFEFEF"/>
        <w:spacing w:after="0" w:line="20" w:lineRule="atLeast"/>
        <w:jc w:val="both"/>
        <w:rPr>
          <w:rFonts w:eastAsia="Times New Roman" w:cstheme="minorHAnsi"/>
          <w:color w:val="515151"/>
          <w:lang w:eastAsia="it-IT"/>
        </w:rPr>
      </w:pPr>
      <w:r w:rsidRPr="00E46EF1">
        <w:rPr>
          <w:rFonts w:eastAsia="Times New Roman" w:cstheme="minorHAnsi"/>
          <w:color w:val="515151"/>
          <w:lang w:eastAsia="it-IT"/>
        </w:rPr>
        <w:t>- </w:t>
      </w:r>
      <w:r w:rsidRPr="00E46EF1">
        <w:rPr>
          <w:rFonts w:eastAsia="Times New Roman" w:cstheme="minorHAnsi"/>
          <w:b/>
          <w:bCs/>
          <w:color w:val="515151"/>
          <w:lang w:eastAsia="it-IT"/>
        </w:rPr>
        <w:t xml:space="preserve">Allegato </w:t>
      </w:r>
      <w:proofErr w:type="gramStart"/>
      <w:r w:rsidRPr="00E46EF1">
        <w:rPr>
          <w:rFonts w:eastAsia="Times New Roman" w:cstheme="minorHAnsi"/>
          <w:b/>
          <w:bCs/>
          <w:color w:val="515151"/>
          <w:lang w:eastAsia="it-IT"/>
        </w:rPr>
        <w:t>B)</w:t>
      </w:r>
      <w:r w:rsidRPr="00E46EF1">
        <w:rPr>
          <w:rFonts w:eastAsia="Times New Roman" w:cstheme="minorHAnsi"/>
          <w:color w:val="515151"/>
          <w:lang w:eastAsia="it-IT"/>
        </w:rPr>
        <w:t>  recante</w:t>
      </w:r>
      <w:proofErr w:type="gramEnd"/>
      <w:r w:rsidRPr="00E46EF1">
        <w:rPr>
          <w:rFonts w:eastAsia="Times New Roman" w:cstheme="minorHAnsi"/>
          <w:color w:val="515151"/>
          <w:lang w:eastAsia="it-IT"/>
        </w:rPr>
        <w:t xml:space="preserve"> il “Quadro finanziario di sintesi della “Proposta progettuale” denominata “GECO 9 – Giovani evoluti e consapevoli”, nel quale sono descritti il titolo dell'intervento, i soggetti coinvolti, la quota a carico del Fondo Nazionale Politiche giovanili 2019, la quota e la percentuale di cofinanziamento, il totale dell'area (comprendente la quota a carico del Fondo Nazionale Politiche giovanili 2019, la quota di cofinanziamento)</w:t>
      </w:r>
      <w:r>
        <w:rPr>
          <w:rFonts w:eastAsia="Times New Roman" w:cstheme="minorHAnsi"/>
          <w:color w:val="515151"/>
          <w:lang w:eastAsia="it-IT"/>
        </w:rPr>
        <w:t>.</w:t>
      </w:r>
    </w:p>
    <w:p w:rsidR="0006692C" w:rsidRPr="00E46EF1" w:rsidRDefault="00466533" w:rsidP="00466533">
      <w:pPr>
        <w:shd w:val="clear" w:color="auto" w:fill="EFEFEF"/>
        <w:spacing w:after="0" w:line="20" w:lineRule="atLeast"/>
        <w:jc w:val="both"/>
        <w:rPr>
          <w:rFonts w:eastAsia="Times New Roman" w:cstheme="minorHAnsi"/>
          <w:color w:val="515151"/>
          <w:lang w:eastAsia="it-IT"/>
        </w:rPr>
      </w:pPr>
      <w:r>
        <w:rPr>
          <w:rFonts w:eastAsia="Times New Roman" w:cstheme="minorHAnsi"/>
          <w:color w:val="515151"/>
          <w:lang w:eastAsia="it-IT"/>
        </w:rPr>
        <w:t>L</w:t>
      </w:r>
      <w:r w:rsidRPr="00E46EF1">
        <w:rPr>
          <w:rFonts w:eastAsia="Times New Roman" w:cstheme="minorHAnsi"/>
          <w:color w:val="515151"/>
          <w:lang w:eastAsia="it-IT"/>
        </w:rPr>
        <w:t>’ammontare complessivo della proposta progettuale è pari ad euro 858.769,00</w:t>
      </w:r>
      <w:r>
        <w:rPr>
          <w:rFonts w:eastAsia="Times New Roman" w:cstheme="minorHAnsi"/>
          <w:color w:val="515151"/>
          <w:lang w:eastAsia="it-IT"/>
        </w:rPr>
        <w:t>.</w:t>
      </w:r>
    </w:p>
    <w:p w:rsidR="0006692C" w:rsidRDefault="0006692C" w:rsidP="0006692C">
      <w:pPr>
        <w:spacing w:after="0" w:line="20" w:lineRule="atLeast"/>
        <w:jc w:val="both"/>
        <w:rPr>
          <w:rFonts w:cstheme="minorHAnsi"/>
        </w:rPr>
      </w:pPr>
      <w:r w:rsidRPr="00E46EF1">
        <w:rPr>
          <w:rFonts w:cstheme="minorHAnsi"/>
        </w:rPr>
        <w:t>Schede intervento</w:t>
      </w:r>
    </w:p>
    <w:p w:rsidR="0006692C" w:rsidRDefault="0006692C" w:rsidP="0006692C">
      <w:pPr>
        <w:spacing w:after="0" w:line="20" w:lineRule="atLeast"/>
        <w:jc w:val="both"/>
        <w:rPr>
          <w:rFonts w:cstheme="minorHAnsi"/>
        </w:rPr>
      </w:pPr>
      <w:r w:rsidRPr="00E46EF1">
        <w:rPr>
          <w:rFonts w:cstheme="minorHAnsi"/>
        </w:rPr>
        <w:t xml:space="preserve"> La realizzazione della proposta progettuale “GECO 9 – Giovani evoluti e consapevoli”, interventi in materia di politiche giovanili, ha quale l’obiettivo prioritario quello di promuovere azioni di sistema di valenza regionale, per favorire la collaborazione stabile e organizzata tra i diversi enti locali del territorio, l’utilizzo condiviso di strumenti e modalità di realizzazione degli interventi, anche al fine di attivare la costruzione di sinergie e di reti tra esperienze analoghe, tra soggetti e tra territori, finalizzate ad un rafforzamento reciproco e ad una maggiore qualità delle iniziative. </w:t>
      </w:r>
    </w:p>
    <w:p w:rsidR="0006692C" w:rsidRDefault="0006692C" w:rsidP="0006692C">
      <w:pPr>
        <w:spacing w:after="0" w:line="20" w:lineRule="atLeast"/>
        <w:jc w:val="both"/>
        <w:rPr>
          <w:rFonts w:cstheme="minorHAnsi"/>
        </w:rPr>
      </w:pPr>
      <w:r w:rsidRPr="00E46EF1">
        <w:rPr>
          <w:rFonts w:cstheme="minorHAnsi"/>
        </w:rPr>
        <w:t xml:space="preserve">Tali azioni di sistema sono volte a promuovere una condivisione delle responsabilità tra tutti i soggetti interessati sul piano della progettazione e dello sviluppo degli interventi e processi di conoscenza diffusa delle esperienze, sia mediante l’acquisizione sistematica di informazioni e dati, sia attraverso il monitoraggio degli interventi e l’individuazione e lo scambio di buone prassi. </w:t>
      </w:r>
    </w:p>
    <w:p w:rsidR="0006692C" w:rsidRDefault="0006692C" w:rsidP="0006692C">
      <w:pPr>
        <w:spacing w:after="0" w:line="20" w:lineRule="atLeast"/>
        <w:jc w:val="both"/>
        <w:rPr>
          <w:rFonts w:cstheme="minorHAnsi"/>
        </w:rPr>
      </w:pPr>
      <w:r w:rsidRPr="00E46EF1">
        <w:rPr>
          <w:rFonts w:cstheme="minorHAnsi"/>
        </w:rPr>
        <w:t>La proposta progettuale “GECO 9 – Giovani evoluti e consapevoli”, interventi in materia di politiche giovanili, si articola in una triplice linea di azione concretizzata nelle tre schede di seguito individuate:</w:t>
      </w:r>
    </w:p>
    <w:p w:rsidR="0006692C" w:rsidRDefault="0006692C" w:rsidP="0006692C">
      <w:pPr>
        <w:spacing w:after="0" w:line="20" w:lineRule="atLeast"/>
        <w:jc w:val="both"/>
        <w:rPr>
          <w:rFonts w:cstheme="minorHAnsi"/>
        </w:rPr>
      </w:pPr>
      <w:r w:rsidRPr="00E46EF1">
        <w:rPr>
          <w:rFonts w:cstheme="minorHAnsi"/>
        </w:rPr>
        <w:t xml:space="preserve"> </w:t>
      </w:r>
      <w:r w:rsidRPr="00E46EF1">
        <w:rPr>
          <w:rFonts w:cstheme="minorHAnsi"/>
        </w:rPr>
        <w:sym w:font="Symbol" w:char="F0A7"/>
      </w:r>
      <w:r w:rsidRPr="00E46EF1">
        <w:rPr>
          <w:rFonts w:cstheme="minorHAnsi"/>
        </w:rPr>
        <w:t xml:space="preserve"> Scheda Progetto “GECO 9 – Giovani evoluti e consapevoli” – per interventi volti a promuovere la partecipazione inclusiva dei giovani alla vita sociale e politica dei territori, anche al fine di consentire loro di concorrere al processo decisionale e poter orientare le politiche rivolte al target di riferimento, il cui titolo è: “La partecipazione inclusiva dei giovani alla vita sociale e politica dei territori” </w:t>
      </w:r>
    </w:p>
    <w:p w:rsidR="0006692C" w:rsidRDefault="0006692C" w:rsidP="0006692C">
      <w:pPr>
        <w:spacing w:after="0" w:line="20" w:lineRule="atLeast"/>
        <w:jc w:val="both"/>
        <w:rPr>
          <w:rFonts w:cstheme="minorHAnsi"/>
        </w:rPr>
      </w:pPr>
      <w:r w:rsidRPr="00E46EF1">
        <w:rPr>
          <w:rFonts w:cstheme="minorHAnsi"/>
        </w:rPr>
        <w:sym w:font="Symbol" w:char="F0A7"/>
      </w:r>
      <w:r w:rsidRPr="00E46EF1">
        <w:rPr>
          <w:rFonts w:cstheme="minorHAnsi"/>
        </w:rPr>
        <w:t xml:space="preserve"> Scheda Progetto “GECO 9– Giovani evoluti e consapevoli” -per interventi volti a volti a promuovere progetti che vadano incontro alle aspettative di autonomia e realizzazione dei giovani, il cui titolo è: “Progetti per l’autonomia e la realizzazione dei giovani” </w:t>
      </w:r>
    </w:p>
    <w:p w:rsidR="0006692C" w:rsidRDefault="0006692C" w:rsidP="0006692C">
      <w:pPr>
        <w:spacing w:after="0" w:line="20" w:lineRule="atLeast"/>
        <w:jc w:val="both"/>
        <w:rPr>
          <w:rFonts w:cstheme="minorHAnsi"/>
        </w:rPr>
      </w:pPr>
      <w:r w:rsidRPr="00E46EF1">
        <w:rPr>
          <w:rFonts w:cstheme="minorHAnsi"/>
        </w:rPr>
        <w:sym w:font="Symbol" w:char="F0A7"/>
      </w:r>
      <w:r w:rsidRPr="00E46EF1">
        <w:rPr>
          <w:rFonts w:cstheme="minorHAnsi"/>
        </w:rPr>
        <w:t xml:space="preserve"> Scheda Progetto “GECO 9 – Giovani evoluti e consapevoli” - per interventi volti a volti a promuovere attività di orientamento multilivello e disseminazione, anche realizzate nel settore culturale, e/o finalizzate alla </w:t>
      </w:r>
      <w:r w:rsidRPr="00E46EF1">
        <w:rPr>
          <w:rFonts w:cstheme="minorHAnsi"/>
        </w:rPr>
        <w:lastRenderedPageBreak/>
        <w:t xml:space="preserve">prevenzione in vari ambiti, con particolare riferimento alla prevenzione del fenomeno delle nuove dipendenze legate ai giovani, il cui titolo è: “Attività di orientamento multilivello e disseminazione: creatività giovanile e luoghi di aggregazione anche per il contrasto alle nuove dipendenze giovanili” per interventi volti a promuovere la partecipazione inclusiva dei giovani alla vita sociale e politica dei territori, anche al fine di consentire loro di concorrere al processo decisionale e poter orientare le politiche rivolte al target di riferimento </w:t>
      </w:r>
    </w:p>
    <w:p w:rsidR="0006692C" w:rsidRDefault="0006692C" w:rsidP="0006692C">
      <w:pPr>
        <w:spacing w:after="0" w:line="20" w:lineRule="atLeast"/>
        <w:jc w:val="both"/>
        <w:rPr>
          <w:rFonts w:cstheme="minorHAnsi"/>
        </w:rPr>
      </w:pPr>
      <w:r w:rsidRPr="00E46EF1">
        <w:rPr>
          <w:rFonts w:cstheme="minorHAnsi"/>
        </w:rPr>
        <w:t xml:space="preserve">Titolo intervento </w:t>
      </w:r>
    </w:p>
    <w:p w:rsidR="0006692C" w:rsidRDefault="0006692C" w:rsidP="0006692C">
      <w:pPr>
        <w:spacing w:after="0" w:line="20" w:lineRule="atLeast"/>
        <w:jc w:val="both"/>
        <w:rPr>
          <w:rFonts w:cstheme="minorHAnsi"/>
        </w:rPr>
      </w:pPr>
      <w:r w:rsidRPr="00E46EF1">
        <w:rPr>
          <w:rFonts w:cstheme="minorHAnsi"/>
        </w:rPr>
        <w:t xml:space="preserve">La partecipazione inclusiva dei giovani alla vita sociale e politica dei territori </w:t>
      </w:r>
    </w:p>
    <w:p w:rsidR="0006692C" w:rsidRDefault="0006692C" w:rsidP="0006692C">
      <w:pPr>
        <w:spacing w:after="0" w:line="20" w:lineRule="atLeast"/>
        <w:jc w:val="both"/>
        <w:rPr>
          <w:rFonts w:cstheme="minorHAnsi"/>
        </w:rPr>
      </w:pPr>
      <w:r w:rsidRPr="00E46EF1">
        <w:rPr>
          <w:rFonts w:cstheme="minorHAnsi"/>
        </w:rPr>
        <w:t xml:space="preserve">Obiettivi dell'intervento </w:t>
      </w:r>
    </w:p>
    <w:p w:rsidR="0006692C" w:rsidRDefault="0006692C" w:rsidP="0006692C">
      <w:pPr>
        <w:spacing w:after="0" w:line="20" w:lineRule="atLeast"/>
        <w:jc w:val="both"/>
        <w:rPr>
          <w:rFonts w:cstheme="minorHAnsi"/>
        </w:rPr>
      </w:pPr>
      <w:r w:rsidRPr="00E46EF1">
        <w:rPr>
          <w:rFonts w:cstheme="minorHAnsi"/>
        </w:rPr>
        <w:t>Gli obiettivi sono i seguenti:</w:t>
      </w:r>
    </w:p>
    <w:p w:rsidR="0006692C" w:rsidRDefault="0006692C" w:rsidP="0006692C">
      <w:pPr>
        <w:spacing w:after="0" w:line="20" w:lineRule="atLeast"/>
        <w:jc w:val="both"/>
        <w:rPr>
          <w:rFonts w:cstheme="minorHAnsi"/>
        </w:rPr>
      </w:pPr>
      <w:r w:rsidRPr="00E46EF1">
        <w:rPr>
          <w:rFonts w:cstheme="minorHAnsi"/>
        </w:rPr>
        <w:t xml:space="preserve"> − promuovere forme di partecipazione giovanile in grado di valorizzare le possibilità offerte dalle nuove tecnologie, </w:t>
      </w:r>
    </w:p>
    <w:p w:rsidR="0006692C" w:rsidRDefault="0006692C" w:rsidP="0006692C">
      <w:pPr>
        <w:spacing w:after="0" w:line="20" w:lineRule="atLeast"/>
        <w:jc w:val="both"/>
        <w:rPr>
          <w:rFonts w:cstheme="minorHAnsi"/>
        </w:rPr>
      </w:pPr>
      <w:r w:rsidRPr="00E46EF1">
        <w:rPr>
          <w:rFonts w:cstheme="minorHAnsi"/>
        </w:rPr>
        <w:t xml:space="preserve">- favorire la partecipazione alla vita sociale dei giovani in un quadro di collaborazione con gli Enti locali e i soggetti privati e in una logica di sistema regionale; </w:t>
      </w:r>
    </w:p>
    <w:p w:rsidR="0006692C" w:rsidRDefault="0006692C" w:rsidP="0006692C">
      <w:pPr>
        <w:spacing w:after="0" w:line="20" w:lineRule="atLeast"/>
        <w:jc w:val="both"/>
        <w:rPr>
          <w:rFonts w:cstheme="minorHAnsi"/>
        </w:rPr>
      </w:pPr>
      <w:r w:rsidRPr="00E46EF1">
        <w:rPr>
          <w:rFonts w:cstheme="minorHAnsi"/>
        </w:rPr>
        <w:t xml:space="preserve">- promuovere il protagonismo dei giovani, nell’ottica di un loro diretto coinvolgimento, di una loro assunzione di responsabilità anche a partire da nuovi strumenti comunicativi; </w:t>
      </w:r>
    </w:p>
    <w:p w:rsidR="0006692C" w:rsidRDefault="0006692C" w:rsidP="0006692C">
      <w:pPr>
        <w:spacing w:after="0" w:line="20" w:lineRule="atLeast"/>
        <w:jc w:val="both"/>
        <w:rPr>
          <w:rFonts w:cstheme="minorHAnsi"/>
        </w:rPr>
      </w:pPr>
      <w:r w:rsidRPr="00E46EF1">
        <w:rPr>
          <w:rFonts w:cstheme="minorHAnsi"/>
        </w:rPr>
        <w:t>- partecipazione attiva dei giovani, condivisione delle decisioni e forme di corresponsabilità, nella progettazione delle città, partendo dalle loro richieste e dai loro bisogni;</w:t>
      </w:r>
    </w:p>
    <w:p w:rsidR="0006692C" w:rsidRDefault="0006692C" w:rsidP="0006692C">
      <w:pPr>
        <w:spacing w:after="0" w:line="20" w:lineRule="atLeast"/>
        <w:jc w:val="both"/>
        <w:rPr>
          <w:rFonts w:cstheme="minorHAnsi"/>
        </w:rPr>
      </w:pPr>
      <w:r w:rsidRPr="00E46EF1">
        <w:rPr>
          <w:rFonts w:cstheme="minorHAnsi"/>
        </w:rPr>
        <w:t xml:space="preserve"> - favorire all’interno del sistema youngERcard il coordinamento di percorsi di protagonismo giovanile e responsabilità civile in cui vengano valorizzati i talenti dei giovani emiliano-romagnoli; </w:t>
      </w:r>
    </w:p>
    <w:p w:rsidR="0006692C" w:rsidRDefault="0006692C" w:rsidP="0006692C">
      <w:pPr>
        <w:spacing w:after="0" w:line="20" w:lineRule="atLeast"/>
        <w:jc w:val="both"/>
        <w:rPr>
          <w:rFonts w:cstheme="minorHAnsi"/>
        </w:rPr>
      </w:pPr>
      <w:r w:rsidRPr="00E46EF1">
        <w:rPr>
          <w:rFonts w:cstheme="minorHAnsi"/>
        </w:rPr>
        <w:t>-promuovere azioni di monitoraggio del percorso complessivo, che coinvolgano anche i giovani, per rispondere in modo più adeguato alle esigenze del mondo giovanile; Descrizione intervento L’intervento verrà realizzato attraverso:</w:t>
      </w:r>
    </w:p>
    <w:p w:rsidR="0006692C" w:rsidRDefault="0006692C" w:rsidP="0006692C">
      <w:pPr>
        <w:spacing w:after="0" w:line="20" w:lineRule="atLeast"/>
        <w:jc w:val="both"/>
        <w:rPr>
          <w:rFonts w:cstheme="minorHAnsi"/>
        </w:rPr>
      </w:pPr>
      <w:r w:rsidRPr="00E46EF1">
        <w:rPr>
          <w:rFonts w:cstheme="minorHAnsi"/>
        </w:rPr>
        <w:t xml:space="preserve"> - la realizzazione di azioni di partecipazione attiva dei giovani, anche attraverso un loro coinvolgimento diretto, creando le necessarie sinergie con i nuovi sistemi di linguaggi comunicativi; </w:t>
      </w:r>
    </w:p>
    <w:p w:rsidR="0006692C" w:rsidRDefault="0006692C" w:rsidP="0006692C">
      <w:pPr>
        <w:spacing w:after="0" w:line="20" w:lineRule="atLeast"/>
        <w:jc w:val="both"/>
        <w:rPr>
          <w:rFonts w:cstheme="minorHAnsi"/>
        </w:rPr>
      </w:pPr>
      <w:r w:rsidRPr="00E46EF1">
        <w:rPr>
          <w:rFonts w:cstheme="minorHAnsi"/>
        </w:rPr>
        <w:t>- lo sviluppo di progetti innovativi in ambiti di massimo interesse per i giovani e che prevedano un loro diretto coinvolgimento;</w:t>
      </w:r>
    </w:p>
    <w:p w:rsidR="0006692C" w:rsidRDefault="0006692C" w:rsidP="0006692C">
      <w:pPr>
        <w:spacing w:after="0" w:line="20" w:lineRule="atLeast"/>
        <w:jc w:val="both"/>
        <w:rPr>
          <w:rFonts w:cstheme="minorHAnsi"/>
        </w:rPr>
      </w:pPr>
      <w:r w:rsidRPr="00E46EF1">
        <w:rPr>
          <w:rFonts w:cstheme="minorHAnsi"/>
        </w:rPr>
        <w:t xml:space="preserve">- l’attivazione di progetti di partecipazione utilizzando le metodologie della programmazione dal basso, della progettazione partecipata e dell'educazione tra pari; </w:t>
      </w:r>
    </w:p>
    <w:p w:rsidR="0006692C" w:rsidRDefault="0006692C" w:rsidP="0006692C">
      <w:pPr>
        <w:spacing w:after="0" w:line="20" w:lineRule="atLeast"/>
        <w:jc w:val="both"/>
        <w:rPr>
          <w:rFonts w:cstheme="minorHAnsi"/>
        </w:rPr>
      </w:pPr>
      <w:r w:rsidRPr="00E46EF1">
        <w:rPr>
          <w:rFonts w:cstheme="minorHAnsi"/>
        </w:rPr>
        <w:t xml:space="preserve">- la realizzazione di un’azione di mappatura e coordinamento degli interventi territoriali che promuovono percorsi di inclinazione al protagonismo giovanile ed alla responsabilità civile. </w:t>
      </w:r>
    </w:p>
    <w:p w:rsidR="0006692C" w:rsidRDefault="0006692C" w:rsidP="0006692C">
      <w:pPr>
        <w:spacing w:after="0" w:line="20" w:lineRule="atLeast"/>
        <w:jc w:val="both"/>
        <w:rPr>
          <w:rFonts w:cstheme="minorHAnsi"/>
        </w:rPr>
      </w:pPr>
      <w:r w:rsidRPr="00E46EF1">
        <w:rPr>
          <w:rFonts w:cstheme="minorHAnsi"/>
        </w:rPr>
        <w:t xml:space="preserve">- il sostegno a progetti complessi tra più territori, elaborati in via prioritaria dai giovani, per valorizzarne un loro protagonismo diretto e la loro corresponsabilità nella gestione degli spazi di aggregazione; </w:t>
      </w:r>
    </w:p>
    <w:p w:rsidR="0006692C" w:rsidRDefault="0006692C" w:rsidP="0006692C">
      <w:pPr>
        <w:spacing w:after="0" w:line="20" w:lineRule="atLeast"/>
        <w:jc w:val="both"/>
        <w:rPr>
          <w:rFonts w:cstheme="minorHAnsi"/>
        </w:rPr>
      </w:pPr>
      <w:r w:rsidRPr="00E46EF1">
        <w:rPr>
          <w:rFonts w:cstheme="minorHAnsi"/>
        </w:rPr>
        <w:t xml:space="preserve">- la realizzazione di un’attività di governance dell’azione complessiva di riferimento per tutti i soggetti coinvolti. </w:t>
      </w:r>
    </w:p>
    <w:p w:rsidR="005248E2" w:rsidRDefault="005248E2" w:rsidP="0006692C">
      <w:pPr>
        <w:spacing w:after="0" w:line="20" w:lineRule="atLeast"/>
        <w:jc w:val="both"/>
        <w:rPr>
          <w:rFonts w:cstheme="minorHAnsi"/>
        </w:rPr>
      </w:pPr>
    </w:p>
    <w:p w:rsidR="005248E2" w:rsidRPr="005248E2" w:rsidRDefault="005248E2" w:rsidP="005248E2">
      <w:pPr>
        <w:pStyle w:val="metadata"/>
        <w:spacing w:before="0" w:beforeAutospacing="0" w:after="0" w:afterAutospacing="0" w:line="20" w:lineRule="atLeast"/>
        <w:jc w:val="both"/>
        <w:rPr>
          <w:rFonts w:asciiTheme="minorHAnsi" w:hAnsiTheme="minorHAnsi" w:cstheme="minorHAnsi"/>
          <w:sz w:val="22"/>
          <w:szCs w:val="22"/>
        </w:rPr>
      </w:pPr>
      <w:r w:rsidRPr="005248E2">
        <w:rPr>
          <w:rFonts w:asciiTheme="minorHAnsi" w:hAnsiTheme="minorHAnsi" w:cstheme="minorHAnsi"/>
          <w:b/>
          <w:sz w:val="22"/>
          <w:szCs w:val="22"/>
        </w:rPr>
        <w:t>DGR  5 agosto 2019, n. 1396</w:t>
      </w:r>
      <w:r w:rsidRPr="005248E2">
        <w:rPr>
          <w:rFonts w:asciiTheme="minorHAnsi" w:hAnsiTheme="minorHAnsi" w:cstheme="minorHAnsi"/>
          <w:sz w:val="22"/>
          <w:szCs w:val="22"/>
        </w:rPr>
        <w:t>, Accordo GECO 8 - Integrazione e rettifica della deliberazione n. 889/2019, concessione contributi assegnati e contestuale assunzione dell'impegno della spesa, per l'attuazione degli interventi in materia di politiche giovanili per l'anno 2018. (BUR n. 279 del 21.8.19)</w:t>
      </w:r>
    </w:p>
    <w:p w:rsidR="005248E2" w:rsidRPr="005248E2" w:rsidRDefault="005248E2" w:rsidP="005248E2">
      <w:pPr>
        <w:pStyle w:val="NormaleWeb"/>
        <w:shd w:val="clear" w:color="auto" w:fill="EFEFEF"/>
        <w:spacing w:before="0" w:beforeAutospacing="0" w:after="0" w:afterAutospacing="0" w:line="20" w:lineRule="atLeast"/>
        <w:jc w:val="both"/>
        <w:rPr>
          <w:rFonts w:asciiTheme="minorHAnsi" w:hAnsiTheme="minorHAnsi" w:cstheme="minorHAnsi"/>
          <w:b/>
          <w:sz w:val="22"/>
          <w:szCs w:val="22"/>
        </w:rPr>
      </w:pPr>
      <w:r w:rsidRPr="005248E2">
        <w:rPr>
          <w:rFonts w:asciiTheme="minorHAnsi" w:hAnsiTheme="minorHAnsi" w:cstheme="minorHAnsi"/>
          <w:b/>
          <w:sz w:val="22"/>
          <w:szCs w:val="22"/>
        </w:rPr>
        <w:t>Note</w:t>
      </w:r>
    </w:p>
    <w:p w:rsidR="005248E2" w:rsidRPr="005248E2" w:rsidRDefault="005248E2" w:rsidP="005248E2">
      <w:pPr>
        <w:pStyle w:val="NormaleWeb"/>
        <w:shd w:val="clear" w:color="auto" w:fill="EFEFEF"/>
        <w:spacing w:before="0" w:beforeAutospacing="0" w:after="0" w:afterAutospacing="0" w:line="20" w:lineRule="atLeast"/>
        <w:jc w:val="both"/>
        <w:rPr>
          <w:rFonts w:asciiTheme="minorHAnsi" w:hAnsiTheme="minorHAnsi" w:cstheme="minorHAnsi"/>
          <w:sz w:val="22"/>
          <w:szCs w:val="22"/>
        </w:rPr>
      </w:pPr>
      <w:r w:rsidRPr="005248E2">
        <w:rPr>
          <w:rFonts w:asciiTheme="minorHAnsi" w:hAnsiTheme="minorHAnsi" w:cstheme="minorHAnsi"/>
          <w:sz w:val="22"/>
          <w:szCs w:val="22"/>
        </w:rPr>
        <w:t xml:space="preserve">Viene </w:t>
      </w:r>
      <w:proofErr w:type="gramStart"/>
      <w:r w:rsidRPr="005248E2">
        <w:rPr>
          <w:rFonts w:asciiTheme="minorHAnsi" w:hAnsiTheme="minorHAnsi" w:cstheme="minorHAnsi"/>
          <w:sz w:val="22"/>
          <w:szCs w:val="22"/>
        </w:rPr>
        <w:t>disposta  l’integrazione</w:t>
      </w:r>
      <w:proofErr w:type="gramEnd"/>
      <w:r w:rsidRPr="005248E2">
        <w:rPr>
          <w:rFonts w:asciiTheme="minorHAnsi" w:hAnsiTheme="minorHAnsi" w:cstheme="minorHAnsi"/>
          <w:sz w:val="22"/>
          <w:szCs w:val="22"/>
        </w:rPr>
        <w:t xml:space="preserve"> alle convenzioni già stipulate, in attuazione della propria D.G.R. n. 889/2019, precisamente con il Comune di Ravenna,  con il Comune di Piacenza e con il Comune di Modena sottoscritte per l’attuazione degli interventi di cui all'Accordo GECO. </w:t>
      </w:r>
    </w:p>
    <w:p w:rsidR="005248E2" w:rsidRPr="005248E2" w:rsidRDefault="005248E2" w:rsidP="005248E2">
      <w:pPr>
        <w:spacing w:after="0" w:line="20" w:lineRule="atLeast"/>
        <w:jc w:val="both"/>
        <w:rPr>
          <w:rFonts w:cstheme="minorHAnsi"/>
        </w:rPr>
      </w:pPr>
      <w:r w:rsidRPr="005248E2">
        <w:rPr>
          <w:rFonts w:cstheme="minorHAnsi"/>
        </w:rPr>
        <w:t xml:space="preserve">Viene sostituito l’Allegato </w:t>
      </w:r>
      <w:proofErr w:type="gramStart"/>
      <w:r w:rsidRPr="005248E2">
        <w:rPr>
          <w:rFonts w:cstheme="minorHAnsi"/>
        </w:rPr>
        <w:t>2  con</w:t>
      </w:r>
      <w:proofErr w:type="gramEnd"/>
      <w:r w:rsidRPr="005248E2">
        <w:rPr>
          <w:rFonts w:cstheme="minorHAnsi"/>
        </w:rPr>
        <w:t xml:space="preserve"> l’Allegato B “Nuovo schema per le convenzioni non ancora sottoscritte finalizzato all’attuazione degli interventi di cui all'Accordo GECO 8.</w:t>
      </w:r>
    </w:p>
    <w:p w:rsidR="004A63E8" w:rsidRDefault="004A63E8" w:rsidP="0006692C">
      <w:pPr>
        <w:spacing w:after="0" w:line="20" w:lineRule="atLeast"/>
        <w:jc w:val="both"/>
        <w:rPr>
          <w:rFonts w:cstheme="minorHAnsi"/>
        </w:rPr>
      </w:pPr>
    </w:p>
    <w:p w:rsidR="004A63E8" w:rsidRDefault="004A63E8" w:rsidP="004A63E8">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eastAsia="Times New Roman" w:cstheme="minorHAnsi"/>
          <w:b/>
          <w:color w:val="515151"/>
          <w:lang w:eastAsia="it-IT"/>
        </w:rPr>
      </w:pPr>
      <w:r>
        <w:rPr>
          <w:rFonts w:eastAsia="Times New Roman" w:cstheme="minorHAnsi"/>
          <w:b/>
          <w:color w:val="515151"/>
          <w:lang w:eastAsia="it-IT"/>
        </w:rPr>
        <w:t>MINORI</w:t>
      </w:r>
    </w:p>
    <w:p w:rsidR="004A63E8" w:rsidRDefault="004A63E8" w:rsidP="004A63E8">
      <w:pPr>
        <w:spacing w:after="0" w:line="20" w:lineRule="atLeast"/>
        <w:jc w:val="both"/>
        <w:rPr>
          <w:rFonts w:eastAsia="Times New Roman" w:cstheme="minorHAnsi"/>
          <w:b/>
          <w:color w:val="515151"/>
          <w:lang w:eastAsia="it-IT"/>
        </w:rPr>
      </w:pPr>
    </w:p>
    <w:p w:rsidR="004A63E8" w:rsidRPr="00CC74BF" w:rsidRDefault="004A63E8" w:rsidP="004A63E8">
      <w:pPr>
        <w:spacing w:after="0" w:line="20" w:lineRule="atLeast"/>
        <w:jc w:val="both"/>
        <w:rPr>
          <w:rFonts w:eastAsia="Times New Roman" w:cstheme="minorHAnsi"/>
          <w:bCs/>
          <w:color w:val="515151"/>
          <w:kern w:val="36"/>
          <w:lang w:eastAsia="it-IT"/>
        </w:rPr>
      </w:pPr>
      <w:r w:rsidRPr="00CC74BF">
        <w:rPr>
          <w:rFonts w:eastAsia="Times New Roman" w:cstheme="minorHAnsi"/>
          <w:b/>
          <w:color w:val="515151"/>
          <w:lang w:eastAsia="it-IT"/>
        </w:rPr>
        <w:t>DAL  27 luglio 2019, n. 215</w:t>
      </w:r>
      <w:r>
        <w:rPr>
          <w:rFonts w:eastAsia="Times New Roman" w:cstheme="minorHAnsi"/>
          <w:color w:val="515151"/>
          <w:lang w:eastAsia="it-IT"/>
        </w:rPr>
        <w:t xml:space="preserve">, </w:t>
      </w:r>
      <w:r w:rsidRPr="00CC74BF">
        <w:rPr>
          <w:rFonts w:eastAsia="Times New Roman" w:cstheme="minorHAnsi"/>
          <w:bCs/>
          <w:color w:val="515151"/>
          <w:kern w:val="36"/>
          <w:lang w:eastAsia="it-IT"/>
        </w:rPr>
        <w:t>Istituzione, ai sensi dell'art. 60, comma 1, del Regolamento interno dell'Assemblea Legislativa e dell'art. 40, comma 1, dello Statuto della Regione Emilia-Romagna, di una commissione assembleare speciale d'inchiesta circa il sistema di tutela dei minori nella Regione Emilia-</w:t>
      </w:r>
      <w:proofErr w:type="gramStart"/>
      <w:r w:rsidRPr="00CC74BF">
        <w:rPr>
          <w:rFonts w:eastAsia="Times New Roman" w:cstheme="minorHAnsi"/>
          <w:bCs/>
          <w:color w:val="515151"/>
          <w:kern w:val="36"/>
          <w:lang w:eastAsia="it-IT"/>
        </w:rPr>
        <w:t>Romagna.(</w:t>
      </w:r>
      <w:proofErr w:type="gramEnd"/>
      <w:r w:rsidRPr="00CC74BF">
        <w:rPr>
          <w:rFonts w:eastAsia="Times New Roman" w:cstheme="minorHAnsi"/>
          <w:bCs/>
          <w:color w:val="515151"/>
          <w:kern w:val="36"/>
          <w:lang w:eastAsia="it-IT"/>
        </w:rPr>
        <w:t>Richiesta dei Consiglieri: Caliandro, Taruffi, Prodi, Calvano)</w:t>
      </w:r>
      <w:r>
        <w:rPr>
          <w:rFonts w:eastAsia="Times New Roman" w:cstheme="minorHAnsi"/>
          <w:bCs/>
          <w:color w:val="515151"/>
          <w:kern w:val="36"/>
          <w:lang w:eastAsia="it-IT"/>
        </w:rPr>
        <w:t>. (BUR n. 258 del 1.8.19)</w:t>
      </w:r>
    </w:p>
    <w:p w:rsidR="004A63E8" w:rsidRPr="00E46EF1" w:rsidRDefault="004A63E8" w:rsidP="004A63E8">
      <w:pPr>
        <w:shd w:val="clear" w:color="auto" w:fill="EFEFEF"/>
        <w:spacing w:after="0" w:line="20" w:lineRule="atLeast"/>
        <w:jc w:val="both"/>
        <w:rPr>
          <w:rFonts w:eastAsia="Times New Roman" w:cstheme="minorHAnsi"/>
          <w:color w:val="515151"/>
          <w:lang w:eastAsia="it-IT"/>
        </w:rPr>
      </w:pPr>
      <w:r w:rsidRPr="00E46EF1">
        <w:rPr>
          <w:rFonts w:eastAsia="Times New Roman" w:cstheme="minorHAnsi"/>
          <w:color w:val="515151"/>
          <w:lang w:eastAsia="it-IT"/>
        </w:rPr>
        <w:lastRenderedPageBreak/>
        <w:t>L'Assemblea legislativa</w:t>
      </w:r>
    </w:p>
    <w:p w:rsidR="004A63E8" w:rsidRPr="00E46EF1" w:rsidRDefault="004A63E8" w:rsidP="004A63E8">
      <w:pPr>
        <w:shd w:val="clear" w:color="auto" w:fill="EFEFEF"/>
        <w:spacing w:after="0" w:line="20" w:lineRule="atLeast"/>
        <w:jc w:val="both"/>
        <w:rPr>
          <w:rFonts w:eastAsia="Times New Roman" w:cstheme="minorHAnsi"/>
          <w:color w:val="515151"/>
          <w:lang w:eastAsia="it-IT"/>
        </w:rPr>
      </w:pPr>
      <w:r w:rsidRPr="00E46EF1">
        <w:rPr>
          <w:rFonts w:eastAsia="Times New Roman" w:cstheme="minorHAnsi"/>
          <w:color w:val="515151"/>
          <w:lang w:eastAsia="it-IT"/>
        </w:rPr>
        <w:t>Richiamato il comma 1 dell’articolo 40 dello Statuto regionale che stabilisce: “L'Assemblea legislativa può istituire, secondo le modalità stabilite dal Regolamento, Commissioni assembleari speciali con il compito di svolgere inchieste sull'attività amministrativa della Regione, degli enti e aziende da essa dipendenti, oppure su ogni altra questione di interesse regionale”;</w:t>
      </w:r>
    </w:p>
    <w:p w:rsidR="004A63E8" w:rsidRPr="00E46EF1" w:rsidRDefault="004A63E8" w:rsidP="004A63E8">
      <w:pPr>
        <w:shd w:val="clear" w:color="auto" w:fill="EFEFEF"/>
        <w:spacing w:after="0" w:line="20" w:lineRule="atLeast"/>
        <w:jc w:val="both"/>
        <w:rPr>
          <w:rFonts w:eastAsia="Times New Roman" w:cstheme="minorHAnsi"/>
          <w:color w:val="515151"/>
          <w:lang w:eastAsia="it-IT"/>
        </w:rPr>
      </w:pPr>
      <w:r w:rsidRPr="00E46EF1">
        <w:rPr>
          <w:rFonts w:eastAsia="Times New Roman" w:cstheme="minorHAnsi"/>
          <w:color w:val="515151"/>
          <w:lang w:eastAsia="it-IT"/>
        </w:rPr>
        <w:t>Richiamato il comma 1 dell'articolo 60 del Regolamento interno dell'Assemblea Legislativa che stabilisce: “L'Assemblea con deliberazione, a maggioranza assoluta dei suoi componenti, istituisce commissioni d'inchiesta, per lo svolgimento delle funzioni di cui all'articolo 40, comma 1, dello Statuto, determinando la durata e i poteri della commissione in modo da assicurare l'efficacia dei suoi lavori, l'oggetto ed i limiti dell'inchiesta, nonché il numero dei componenti e la partecipazione numerica di ciascun gruppo assembleare”;</w:t>
      </w:r>
    </w:p>
    <w:p w:rsidR="004A63E8" w:rsidRPr="00E46EF1" w:rsidRDefault="004A63E8" w:rsidP="004A63E8">
      <w:pPr>
        <w:shd w:val="clear" w:color="auto" w:fill="EFEFEF"/>
        <w:spacing w:after="0" w:line="20" w:lineRule="atLeast"/>
        <w:jc w:val="both"/>
        <w:rPr>
          <w:rFonts w:eastAsia="Times New Roman" w:cstheme="minorHAnsi"/>
          <w:color w:val="515151"/>
          <w:lang w:eastAsia="it-IT"/>
        </w:rPr>
      </w:pPr>
      <w:r w:rsidRPr="00E46EF1">
        <w:rPr>
          <w:rFonts w:eastAsia="Times New Roman" w:cstheme="minorHAnsi"/>
          <w:color w:val="515151"/>
          <w:lang w:eastAsia="it-IT"/>
        </w:rPr>
        <w:t>Precisando inoltre che:</w:t>
      </w:r>
    </w:p>
    <w:p w:rsidR="004A63E8" w:rsidRPr="00E46EF1" w:rsidRDefault="004A63E8" w:rsidP="004A63E8">
      <w:pPr>
        <w:shd w:val="clear" w:color="auto" w:fill="EFEFEF"/>
        <w:spacing w:after="0" w:line="20" w:lineRule="atLeast"/>
        <w:jc w:val="both"/>
        <w:rPr>
          <w:rFonts w:eastAsia="Times New Roman" w:cstheme="minorHAnsi"/>
          <w:color w:val="515151"/>
          <w:lang w:eastAsia="it-IT"/>
        </w:rPr>
      </w:pPr>
      <w:r w:rsidRPr="00E46EF1">
        <w:rPr>
          <w:rFonts w:eastAsia="Times New Roman" w:cstheme="minorHAnsi"/>
          <w:color w:val="515151"/>
          <w:lang w:eastAsia="it-IT"/>
        </w:rPr>
        <w:t>- per la designazione dei componenti della Commissione di inchiesta e per la determinazione dei voti spettanti a ciascuno si applica l’articolo 7 del Regolamento interno;</w:t>
      </w:r>
    </w:p>
    <w:p w:rsidR="004A63E8" w:rsidRPr="00E46EF1" w:rsidRDefault="004A63E8" w:rsidP="004A63E8">
      <w:pPr>
        <w:shd w:val="clear" w:color="auto" w:fill="EFEFEF"/>
        <w:spacing w:after="0" w:line="20" w:lineRule="atLeast"/>
        <w:jc w:val="both"/>
        <w:rPr>
          <w:rFonts w:eastAsia="Times New Roman" w:cstheme="minorHAnsi"/>
          <w:color w:val="515151"/>
          <w:lang w:eastAsia="it-IT"/>
        </w:rPr>
      </w:pPr>
      <w:r w:rsidRPr="00E46EF1">
        <w:rPr>
          <w:rFonts w:eastAsia="Times New Roman" w:cstheme="minorHAnsi"/>
          <w:color w:val="515151"/>
          <w:lang w:eastAsia="it-IT"/>
        </w:rPr>
        <w:t>- per lo svolgimento delle attività delle commissioni di inchiesta valgono, in quanto applicabili, le norme relative allo svolgimento dell’attività delle commissioni permanenti;</w:t>
      </w:r>
    </w:p>
    <w:p w:rsidR="004A63E8" w:rsidRPr="00E46EF1" w:rsidRDefault="004A63E8" w:rsidP="004A63E8">
      <w:pPr>
        <w:shd w:val="clear" w:color="auto" w:fill="EFEFEF"/>
        <w:spacing w:after="0" w:line="20" w:lineRule="atLeast"/>
        <w:jc w:val="both"/>
        <w:rPr>
          <w:rFonts w:eastAsia="Times New Roman" w:cstheme="minorHAnsi"/>
          <w:color w:val="515151"/>
          <w:lang w:eastAsia="it-IT"/>
        </w:rPr>
      </w:pPr>
      <w:r w:rsidRPr="00E46EF1">
        <w:rPr>
          <w:rFonts w:eastAsia="Times New Roman" w:cstheme="minorHAnsi"/>
          <w:color w:val="515151"/>
          <w:lang w:eastAsia="it-IT"/>
        </w:rPr>
        <w:t>Rilevato che:</w:t>
      </w:r>
    </w:p>
    <w:p w:rsidR="004A63E8" w:rsidRPr="00E46EF1" w:rsidRDefault="004A63E8" w:rsidP="004A63E8">
      <w:pPr>
        <w:shd w:val="clear" w:color="auto" w:fill="EFEFEF"/>
        <w:spacing w:after="0" w:line="20" w:lineRule="atLeast"/>
        <w:jc w:val="both"/>
        <w:rPr>
          <w:rFonts w:eastAsia="Times New Roman" w:cstheme="minorHAnsi"/>
          <w:color w:val="515151"/>
          <w:lang w:eastAsia="it-IT"/>
        </w:rPr>
      </w:pPr>
      <w:proofErr w:type="gramStart"/>
      <w:r w:rsidRPr="00E46EF1">
        <w:rPr>
          <w:rFonts w:eastAsia="Times New Roman" w:cstheme="minorHAnsi"/>
          <w:color w:val="515151"/>
          <w:lang w:eastAsia="it-IT"/>
        </w:rPr>
        <w:t>la</w:t>
      </w:r>
      <w:proofErr w:type="gramEnd"/>
      <w:r w:rsidRPr="00E46EF1">
        <w:rPr>
          <w:rFonts w:eastAsia="Times New Roman" w:cstheme="minorHAnsi"/>
          <w:color w:val="515151"/>
          <w:lang w:eastAsia="it-IT"/>
        </w:rPr>
        <w:t xml:space="preserve"> Regione Emilia-Romagna ha sempre utilizzato molto parcamente lo strumento delle commissioni speciali, anche in considerazione del fatto che i poteri ad esse attribuiti non differiscono in alcuna misura da quelli esercitabili in seno alle Commissioni permanenti, che dunque possono essere idonea sede di approfondimento.</w:t>
      </w:r>
    </w:p>
    <w:p w:rsidR="004A63E8" w:rsidRPr="00E46EF1" w:rsidRDefault="004A63E8" w:rsidP="004A63E8">
      <w:pPr>
        <w:shd w:val="clear" w:color="auto" w:fill="EFEFEF"/>
        <w:spacing w:after="0" w:line="20" w:lineRule="atLeast"/>
        <w:jc w:val="both"/>
        <w:rPr>
          <w:rFonts w:eastAsia="Times New Roman" w:cstheme="minorHAnsi"/>
          <w:color w:val="515151"/>
          <w:lang w:eastAsia="it-IT"/>
        </w:rPr>
      </w:pPr>
      <w:r w:rsidRPr="00E46EF1">
        <w:rPr>
          <w:rFonts w:eastAsia="Times New Roman" w:cstheme="minorHAnsi"/>
          <w:color w:val="515151"/>
          <w:lang w:eastAsia="it-IT"/>
        </w:rPr>
        <w:t>In particolare, solo nel caso della Commissione d’inchiesta del 1987 sulla tragedia Mecnavi del Porto di Ravenna lo strumento è stato utilizzato per approfondire un accadimento specifico con intenti di indagine, mentre in altri due casi, e più specificamente nel 1985-87 e nel 1988-90, le Commissioni speciali deliberate avevano il compito di indagare problematiche di ampio impatto sociale quali la povertà ed il lavoro nero.</w:t>
      </w:r>
    </w:p>
    <w:p w:rsidR="004A63E8" w:rsidRPr="00E46EF1" w:rsidRDefault="004A63E8" w:rsidP="004A63E8">
      <w:pPr>
        <w:shd w:val="clear" w:color="auto" w:fill="EFEFEF"/>
        <w:spacing w:after="0" w:line="20" w:lineRule="atLeast"/>
        <w:jc w:val="both"/>
        <w:rPr>
          <w:rFonts w:eastAsia="Times New Roman" w:cstheme="minorHAnsi"/>
          <w:color w:val="515151"/>
          <w:lang w:eastAsia="it-IT"/>
        </w:rPr>
      </w:pPr>
      <w:r w:rsidRPr="00E46EF1">
        <w:rPr>
          <w:rFonts w:eastAsia="Times New Roman" w:cstheme="minorHAnsi"/>
          <w:color w:val="515151"/>
          <w:lang w:eastAsia="it-IT"/>
        </w:rPr>
        <w:t>Evidenziato che la tutela dei minori è la priorità di questo Ente.</w:t>
      </w:r>
    </w:p>
    <w:p w:rsidR="004A63E8" w:rsidRPr="00E46EF1" w:rsidRDefault="004A63E8" w:rsidP="004A63E8">
      <w:pPr>
        <w:shd w:val="clear" w:color="auto" w:fill="EFEFEF"/>
        <w:spacing w:after="0" w:line="20" w:lineRule="atLeast"/>
        <w:jc w:val="both"/>
        <w:rPr>
          <w:rFonts w:eastAsia="Times New Roman" w:cstheme="minorHAnsi"/>
          <w:color w:val="515151"/>
          <w:lang w:eastAsia="it-IT"/>
        </w:rPr>
      </w:pPr>
      <w:r w:rsidRPr="00E46EF1">
        <w:rPr>
          <w:rFonts w:eastAsia="Times New Roman" w:cstheme="minorHAnsi"/>
          <w:color w:val="515151"/>
          <w:lang w:eastAsia="it-IT"/>
        </w:rPr>
        <w:t>I fatti di Bibbiano, balzati alle cronache per le accuse di manipolazioni psicologiche esercitate su alcuni bambini da operatori che avrebbero dovuto tutelarne il benessere psicologico, materiale e sociale, al fine di agevolare pratiche di affido per finalità che nulla hanno a che fare con la protezione degli stessi, ha destato e desta profondo sconcerto sia per la fragilità dei soggetti coinvolti, sia per la rete di complicità paventata.</w:t>
      </w:r>
    </w:p>
    <w:p w:rsidR="004A63E8" w:rsidRPr="00E46EF1" w:rsidRDefault="004A63E8" w:rsidP="004A63E8">
      <w:pPr>
        <w:shd w:val="clear" w:color="auto" w:fill="EFEFEF"/>
        <w:spacing w:after="0" w:line="20" w:lineRule="atLeast"/>
        <w:jc w:val="both"/>
        <w:rPr>
          <w:rFonts w:eastAsia="Times New Roman" w:cstheme="minorHAnsi"/>
          <w:color w:val="515151"/>
          <w:lang w:eastAsia="it-IT"/>
        </w:rPr>
      </w:pPr>
      <w:r w:rsidRPr="00E46EF1">
        <w:rPr>
          <w:rFonts w:eastAsia="Times New Roman" w:cstheme="minorHAnsi"/>
          <w:color w:val="515151"/>
          <w:lang w:eastAsia="it-IT"/>
        </w:rPr>
        <w:t>Già all’indomani delle prime notizie di cronaca si è concretizzato il rischio che alcune formazioni politiche strumentalizzassero le accuse mosse a fini propagandistici, montando un indegno circo irrispettoso dell’indagine giudiziaria in corso, della dignità dei singoli indagati (non ancora condannati) e delle stesse presunte vittime, e mettendo alla gogna l’intero sistema di organizzazione e gestione dell’affido, da sempre esercitato da operatori di grande correttezza e professionalità nell’interesse esclusivo dei minori.</w:t>
      </w:r>
    </w:p>
    <w:p w:rsidR="004A63E8" w:rsidRPr="00E46EF1" w:rsidRDefault="004A63E8" w:rsidP="004A63E8">
      <w:pPr>
        <w:shd w:val="clear" w:color="auto" w:fill="EFEFEF"/>
        <w:spacing w:after="0" w:line="20" w:lineRule="atLeast"/>
        <w:jc w:val="both"/>
        <w:rPr>
          <w:rFonts w:eastAsia="Times New Roman" w:cstheme="minorHAnsi"/>
          <w:color w:val="515151"/>
          <w:lang w:eastAsia="it-IT"/>
        </w:rPr>
      </w:pPr>
      <w:r w:rsidRPr="00E46EF1">
        <w:rPr>
          <w:rFonts w:eastAsia="Times New Roman" w:cstheme="minorHAnsi"/>
          <w:color w:val="515151"/>
          <w:lang w:eastAsia="it-IT"/>
        </w:rPr>
        <w:t>Reso noto che al fine di garantire che la tutela ed il superiore interesse dei minori non trovi ostacoli in eventuali lacune del sistema, la Giunta regionale, ha istituito l’8 luglio scorso una commissione tecnica per l’individuazione di misure organizzative e procedimentali appropriate nei procedimenti preposti alla tutela e all’eventuale allontanamento dei minori dalle famiglie d’origine, con la prescrizione di inviare alla Giunta una relazione in merito entro il 31.10.2019.</w:t>
      </w:r>
    </w:p>
    <w:p w:rsidR="004A63E8" w:rsidRPr="00E46EF1" w:rsidRDefault="004A63E8" w:rsidP="004A63E8">
      <w:pPr>
        <w:shd w:val="clear" w:color="auto" w:fill="EFEFEF"/>
        <w:spacing w:after="0" w:line="20" w:lineRule="atLeast"/>
        <w:jc w:val="both"/>
        <w:rPr>
          <w:rFonts w:eastAsia="Times New Roman" w:cstheme="minorHAnsi"/>
          <w:color w:val="515151"/>
          <w:lang w:eastAsia="it-IT"/>
        </w:rPr>
      </w:pPr>
      <w:r w:rsidRPr="00E46EF1">
        <w:rPr>
          <w:rFonts w:eastAsia="Times New Roman" w:cstheme="minorHAnsi"/>
          <w:color w:val="515151"/>
          <w:lang w:eastAsia="it-IT"/>
        </w:rPr>
        <w:t>Nel rispetto dell’attività della Magistratura - a cui sola compete l’attività inquirente - e delle distinte competenze di Comuni e Regione – incaricati della tutela diretta dei minori i primi e delle attività di organizzazione e coordinamento la seconda – nonché nella corretta ripartizione fra poteri e funzioni dell’Assemblea e della Giunta, si reputa opportuna una fase di approfondimento del sistema di tutela dei minori in Regione Emilia-Romagna che dovrà restituite all’Assemblea un quadro puntuale della normativa vigente, dei vulnera riscontrati e delle possibili linee di intervento sia del legislatore regionale che da suggerire al legislatore statale.</w:t>
      </w:r>
    </w:p>
    <w:p w:rsidR="004A63E8" w:rsidRPr="00E46EF1" w:rsidRDefault="004A63E8" w:rsidP="004A63E8">
      <w:pPr>
        <w:shd w:val="clear" w:color="auto" w:fill="EFEFEF"/>
        <w:spacing w:after="0" w:line="20" w:lineRule="atLeast"/>
        <w:jc w:val="both"/>
        <w:rPr>
          <w:rFonts w:eastAsia="Times New Roman" w:cstheme="minorHAnsi"/>
          <w:color w:val="515151"/>
          <w:lang w:eastAsia="it-IT"/>
        </w:rPr>
      </w:pPr>
      <w:r w:rsidRPr="00E46EF1">
        <w:rPr>
          <w:rFonts w:eastAsia="Times New Roman" w:cstheme="minorHAnsi"/>
          <w:color w:val="515151"/>
          <w:lang w:eastAsia="it-IT"/>
        </w:rPr>
        <w:t>Per i motivi sopra esposti richiede l’istituzione della Commissione speciale di inchiesta ai sensi dell’articolo 40, comma 1, dello Statuto e dell’articolo 60 del Regolamento interno dell’Assemblea.</w:t>
      </w:r>
    </w:p>
    <w:p w:rsidR="004A63E8" w:rsidRPr="00E46EF1" w:rsidRDefault="004A63E8" w:rsidP="004A63E8">
      <w:pPr>
        <w:shd w:val="clear" w:color="auto" w:fill="EFEFEF"/>
        <w:spacing w:after="0" w:line="20" w:lineRule="atLeast"/>
        <w:jc w:val="both"/>
        <w:rPr>
          <w:rFonts w:eastAsia="Times New Roman" w:cstheme="minorHAnsi"/>
          <w:color w:val="515151"/>
          <w:lang w:eastAsia="it-IT"/>
        </w:rPr>
      </w:pPr>
      <w:r w:rsidRPr="00E46EF1">
        <w:rPr>
          <w:rFonts w:eastAsia="Times New Roman" w:cstheme="minorHAnsi"/>
          <w:color w:val="515151"/>
          <w:lang w:eastAsia="it-IT"/>
        </w:rPr>
        <w:t>La Commissione suddetta dovrà avere ad oggetto il tema della tutela dei minori, in particolare degli affidi in ambito regionale, in particolare:</w:t>
      </w:r>
    </w:p>
    <w:p w:rsidR="004A63E8" w:rsidRPr="00E46EF1" w:rsidRDefault="004A63E8" w:rsidP="004A63E8">
      <w:pPr>
        <w:shd w:val="clear" w:color="auto" w:fill="EFEFEF"/>
        <w:spacing w:after="0" w:line="20" w:lineRule="atLeast"/>
        <w:jc w:val="both"/>
        <w:rPr>
          <w:rFonts w:eastAsia="Times New Roman" w:cstheme="minorHAnsi"/>
          <w:color w:val="515151"/>
          <w:lang w:eastAsia="it-IT"/>
        </w:rPr>
      </w:pPr>
      <w:r w:rsidRPr="00E46EF1">
        <w:rPr>
          <w:rFonts w:eastAsia="Times New Roman" w:cstheme="minorHAnsi"/>
          <w:color w:val="515151"/>
          <w:lang w:eastAsia="it-IT"/>
        </w:rPr>
        <w:t xml:space="preserve">- servizi sociali anche appaltati a soggetti esterni, quali ad esempio le procedure di affidamento dei servizi; la trasparenza e pubblicità delle procedure di affidamento; gli standard qualitativi; i servizi pubblici connessi </w:t>
      </w:r>
      <w:r w:rsidRPr="00E46EF1">
        <w:rPr>
          <w:rFonts w:eastAsia="Times New Roman" w:cstheme="minorHAnsi"/>
          <w:color w:val="515151"/>
          <w:lang w:eastAsia="it-IT"/>
        </w:rPr>
        <w:lastRenderedPageBreak/>
        <w:t>agli affidi e i privati con cui interagiscono; l’esternalizzazione dei servizi; i fondi regionali interessati, la loro ripartizione, assegnazione ai servizi territoriali e le modalità di spesa locale;</w:t>
      </w:r>
    </w:p>
    <w:p w:rsidR="004A63E8" w:rsidRPr="00E46EF1" w:rsidRDefault="004A63E8" w:rsidP="004A63E8">
      <w:pPr>
        <w:shd w:val="clear" w:color="auto" w:fill="EFEFEF"/>
        <w:spacing w:after="0" w:line="20" w:lineRule="atLeast"/>
        <w:jc w:val="both"/>
        <w:rPr>
          <w:rFonts w:eastAsia="Times New Roman" w:cstheme="minorHAnsi"/>
          <w:color w:val="515151"/>
          <w:lang w:eastAsia="it-IT"/>
        </w:rPr>
      </w:pPr>
      <w:r w:rsidRPr="00E46EF1">
        <w:rPr>
          <w:rFonts w:eastAsia="Times New Roman" w:cstheme="minorHAnsi"/>
          <w:color w:val="515151"/>
          <w:lang w:eastAsia="it-IT"/>
        </w:rPr>
        <w:t>- metodi seguiti negli affidi di minori e nella presa in carico delle famiglie, quali ad esempio il sistema dei controlli sulle consulenze tecniche d’ufficio affidate a psicologi e pedagogisti, sull’operatività degli assistenti sociali, la delega a terzi dei servizi; la competenza degli operatori sociali;</w:t>
      </w:r>
    </w:p>
    <w:p w:rsidR="004A63E8" w:rsidRPr="00E46EF1" w:rsidRDefault="004A63E8" w:rsidP="004A63E8">
      <w:pPr>
        <w:shd w:val="clear" w:color="auto" w:fill="EFEFEF"/>
        <w:spacing w:after="0" w:line="20" w:lineRule="atLeast"/>
        <w:jc w:val="both"/>
        <w:rPr>
          <w:rFonts w:eastAsia="Times New Roman" w:cstheme="minorHAnsi"/>
          <w:color w:val="515151"/>
          <w:lang w:eastAsia="it-IT"/>
        </w:rPr>
      </w:pPr>
      <w:r w:rsidRPr="00E46EF1">
        <w:rPr>
          <w:rFonts w:eastAsia="Times New Roman" w:cstheme="minorHAnsi"/>
          <w:color w:val="515151"/>
          <w:lang w:eastAsia="it-IT"/>
        </w:rPr>
        <w:t>- il rapporto tra servizi sociali e servizi dell’amministrazione della Giustizia minorile (protocolli da seguire nel rapporto con i minori; la valutazione dei servizi sociali negli affidi);</w:t>
      </w:r>
    </w:p>
    <w:p w:rsidR="004A63E8" w:rsidRPr="00E46EF1" w:rsidRDefault="004A63E8" w:rsidP="004A63E8">
      <w:pPr>
        <w:shd w:val="clear" w:color="auto" w:fill="EFEFEF"/>
        <w:spacing w:after="0" w:line="20" w:lineRule="atLeast"/>
        <w:jc w:val="both"/>
        <w:rPr>
          <w:rFonts w:eastAsia="Times New Roman" w:cstheme="minorHAnsi"/>
          <w:color w:val="515151"/>
          <w:lang w:eastAsia="it-IT"/>
        </w:rPr>
      </w:pPr>
      <w:r w:rsidRPr="00E46EF1">
        <w:rPr>
          <w:rFonts w:eastAsia="Times New Roman" w:cstheme="minorHAnsi"/>
          <w:color w:val="515151"/>
          <w:lang w:eastAsia="it-IT"/>
        </w:rPr>
        <w:t>- il ruolo del Garante regionale per l’infanzia e l’adolescenza ed i suoi rapporti con i servizi sociali territoriali, con gli organi della Giustizia minorile e con le forze dell’ordine dedite alle indagini.</w:t>
      </w:r>
    </w:p>
    <w:p w:rsidR="004A63E8" w:rsidRPr="00E46EF1" w:rsidRDefault="004A63E8" w:rsidP="004A63E8">
      <w:pPr>
        <w:shd w:val="clear" w:color="auto" w:fill="EFEFEF"/>
        <w:spacing w:after="0" w:line="20" w:lineRule="atLeast"/>
        <w:jc w:val="both"/>
        <w:rPr>
          <w:rFonts w:eastAsia="Times New Roman" w:cstheme="minorHAnsi"/>
          <w:color w:val="515151"/>
          <w:lang w:eastAsia="it-IT"/>
        </w:rPr>
      </w:pPr>
      <w:r w:rsidRPr="00E46EF1">
        <w:rPr>
          <w:rFonts w:eastAsia="Times New Roman" w:cstheme="minorHAnsi"/>
          <w:color w:val="515151"/>
          <w:lang w:eastAsia="it-IT"/>
        </w:rPr>
        <w:t>Al fine di conoscere genesi, diffusione ed articolazione delle criticità in essere nel sistema regionale e di avere indicazioni rispetto agli strumenti da utilizzare, per porre rimedio con la definizione di un regolamento regionale che contenga precise indicazioni in merito alle attività dei servizi, per correggere le distorsioni in essere e per restituire all’Assemblea una relazione puntuale su tali criticità.</w:t>
      </w:r>
    </w:p>
    <w:p w:rsidR="004A63E8" w:rsidRPr="00E46EF1" w:rsidRDefault="004A63E8" w:rsidP="004A63E8">
      <w:pPr>
        <w:shd w:val="clear" w:color="auto" w:fill="EFEFEF"/>
        <w:spacing w:after="0" w:line="20" w:lineRule="atLeast"/>
        <w:jc w:val="both"/>
        <w:rPr>
          <w:rFonts w:eastAsia="Times New Roman" w:cstheme="minorHAnsi"/>
          <w:color w:val="515151"/>
          <w:lang w:eastAsia="it-IT"/>
        </w:rPr>
      </w:pPr>
      <w:r w:rsidRPr="00E46EF1">
        <w:rPr>
          <w:rFonts w:eastAsia="Times New Roman" w:cstheme="minorHAnsi"/>
          <w:color w:val="515151"/>
          <w:lang w:eastAsia="it-IT"/>
        </w:rPr>
        <w:t>Per la designazione dei componenti della Commissione suddetta e per la determinazione dei voti spettanti a ciascuno si applica l’articolo 7 del Regolamento interno dell’Assemblea legislativa.</w:t>
      </w:r>
    </w:p>
    <w:p w:rsidR="004A63E8" w:rsidRPr="00E46EF1" w:rsidRDefault="004A63E8" w:rsidP="004A63E8">
      <w:pPr>
        <w:shd w:val="clear" w:color="auto" w:fill="EFEFEF"/>
        <w:spacing w:after="0" w:line="20" w:lineRule="atLeast"/>
        <w:jc w:val="both"/>
        <w:rPr>
          <w:rFonts w:eastAsia="Times New Roman" w:cstheme="minorHAnsi"/>
          <w:color w:val="515151"/>
          <w:lang w:eastAsia="it-IT"/>
        </w:rPr>
      </w:pPr>
      <w:r w:rsidRPr="00E46EF1">
        <w:rPr>
          <w:rFonts w:eastAsia="Times New Roman" w:cstheme="minorHAnsi"/>
          <w:color w:val="515151"/>
          <w:lang w:eastAsia="it-IT"/>
        </w:rPr>
        <w:t>Per lo svolgimento delle attività della Commissione suddetta, si dovranno applicare in quanto compatibili, le norme relative allo svolgimento dell’attività delle commissioni permanenti dell’Assemblea legislativa.</w:t>
      </w:r>
    </w:p>
    <w:p w:rsidR="004A63E8" w:rsidRPr="00E46EF1" w:rsidRDefault="004A63E8" w:rsidP="004A63E8">
      <w:pPr>
        <w:shd w:val="clear" w:color="auto" w:fill="EFEFEF"/>
        <w:spacing w:after="0" w:line="20" w:lineRule="atLeast"/>
        <w:jc w:val="both"/>
        <w:rPr>
          <w:rFonts w:eastAsia="Times New Roman" w:cstheme="minorHAnsi"/>
          <w:color w:val="515151"/>
          <w:lang w:eastAsia="it-IT"/>
        </w:rPr>
      </w:pPr>
      <w:r w:rsidRPr="00E46EF1">
        <w:rPr>
          <w:rFonts w:eastAsia="Times New Roman" w:cstheme="minorHAnsi"/>
          <w:color w:val="515151"/>
          <w:lang w:eastAsia="it-IT"/>
        </w:rPr>
        <w:t>Il termine massimo ai fini della chiusura dei lavori della Commissione suddetta dovrà essere individuato nella fine della legislatura.</w:t>
      </w:r>
    </w:p>
    <w:p w:rsidR="004A63E8" w:rsidRDefault="004A63E8" w:rsidP="004A63E8">
      <w:pPr>
        <w:shd w:val="clear" w:color="auto" w:fill="EFEFEF"/>
        <w:spacing w:after="0" w:line="20" w:lineRule="atLeast"/>
        <w:jc w:val="both"/>
        <w:rPr>
          <w:rFonts w:eastAsia="Times New Roman" w:cstheme="minorHAnsi"/>
          <w:color w:val="515151"/>
          <w:lang w:eastAsia="it-IT"/>
        </w:rPr>
      </w:pPr>
      <w:r w:rsidRPr="004A63E8">
        <w:rPr>
          <w:rFonts w:eastAsia="Times New Roman" w:cstheme="minorHAnsi"/>
          <w:color w:val="515151"/>
          <w:u w:val="single"/>
          <w:lang w:eastAsia="it-IT"/>
        </w:rPr>
        <w:t>Ai componenti della Commissione non dovranno essere corrisposti gettoni, compensi, rimborsi spese o altri emolumenti comunque denominati</w:t>
      </w:r>
      <w:r w:rsidRPr="00E46EF1">
        <w:rPr>
          <w:rFonts w:eastAsia="Times New Roman" w:cstheme="minorHAnsi"/>
          <w:color w:val="515151"/>
          <w:lang w:eastAsia="it-IT"/>
        </w:rPr>
        <w:t xml:space="preserve">. </w:t>
      </w:r>
    </w:p>
    <w:p w:rsidR="004A63E8" w:rsidRPr="00E46EF1" w:rsidRDefault="004A63E8" w:rsidP="004A63E8">
      <w:pPr>
        <w:shd w:val="clear" w:color="auto" w:fill="EFEFEF"/>
        <w:spacing w:after="0" w:line="20" w:lineRule="atLeast"/>
        <w:jc w:val="both"/>
        <w:rPr>
          <w:rFonts w:eastAsia="Times New Roman" w:cstheme="minorHAnsi"/>
          <w:color w:val="515151"/>
          <w:lang w:eastAsia="it-IT"/>
        </w:rPr>
      </w:pPr>
      <w:r w:rsidRPr="00E46EF1">
        <w:rPr>
          <w:rFonts w:eastAsia="Times New Roman" w:cstheme="minorHAnsi"/>
          <w:color w:val="515151"/>
          <w:lang w:eastAsia="it-IT"/>
        </w:rPr>
        <w:t>La Commissione dovrà, senza oneri ulteriori, avere il supporto degli uffici dell’Assemblea legislativa regionale.</w:t>
      </w:r>
    </w:p>
    <w:p w:rsidR="004A63E8" w:rsidRDefault="004A63E8" w:rsidP="0006692C">
      <w:pPr>
        <w:spacing w:after="0" w:line="20" w:lineRule="atLeast"/>
        <w:jc w:val="both"/>
        <w:rPr>
          <w:rFonts w:cstheme="minorHAnsi"/>
        </w:rPr>
      </w:pPr>
    </w:p>
    <w:p w:rsidR="00D77AA8" w:rsidRPr="00D77AA8" w:rsidRDefault="00D77AA8" w:rsidP="00D77AA8">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EFEFE"/>
        <w:spacing w:after="0" w:line="20" w:lineRule="atLeast"/>
        <w:jc w:val="center"/>
        <w:rPr>
          <w:rFonts w:ascii="Corbel" w:eastAsia="Times New Roman" w:hAnsi="Corbel" w:cs="Times New Roman"/>
          <w:b/>
        </w:rPr>
      </w:pPr>
      <w:r w:rsidRPr="00D77AA8">
        <w:rPr>
          <w:rFonts w:ascii="Corbel" w:eastAsia="Times New Roman" w:hAnsi="Corbel" w:cs="Times New Roman"/>
          <w:b/>
        </w:rPr>
        <w:t>PARI OPPORTUNITÀ</w:t>
      </w:r>
    </w:p>
    <w:p w:rsidR="00D77AA8" w:rsidRPr="00D77AA8" w:rsidRDefault="00D77AA8" w:rsidP="00D77AA8">
      <w:pPr>
        <w:shd w:val="clear" w:color="auto" w:fill="FEFEFE"/>
        <w:spacing w:after="0" w:line="20" w:lineRule="atLeast"/>
        <w:jc w:val="both"/>
        <w:rPr>
          <w:rFonts w:ascii="Corbel" w:eastAsia="Times New Roman" w:hAnsi="Corbel" w:cs="Times New Roman"/>
        </w:rPr>
      </w:pPr>
    </w:p>
    <w:p w:rsidR="00D77AA8" w:rsidRPr="0019373F" w:rsidRDefault="00D77AA8" w:rsidP="00D77AA8">
      <w:pPr>
        <w:shd w:val="clear" w:color="auto" w:fill="FEFEFE"/>
        <w:spacing w:after="0" w:line="20" w:lineRule="atLeast"/>
        <w:jc w:val="both"/>
        <w:rPr>
          <w:rFonts w:eastAsia="Times New Roman" w:cstheme="minorHAnsi"/>
          <w:bCs/>
          <w:kern w:val="36"/>
        </w:rPr>
      </w:pPr>
      <w:r w:rsidRPr="00D77AA8">
        <w:rPr>
          <w:rFonts w:ascii="Corbel" w:eastAsia="Times New Roman" w:hAnsi="Corbel" w:cs="Times New Roman"/>
          <w:b/>
        </w:rPr>
        <w:t>DGR 22 luglio 2019, n. 1242</w:t>
      </w:r>
      <w:r w:rsidRPr="00D77AA8">
        <w:rPr>
          <w:rFonts w:ascii="Corbel" w:eastAsia="Times New Roman" w:hAnsi="Corbel" w:cs="Times New Roman"/>
        </w:rPr>
        <w:t xml:space="preserve">, </w:t>
      </w:r>
      <w:r w:rsidRPr="00D77AA8">
        <w:rPr>
          <w:rFonts w:ascii="Corbel" w:eastAsia="Times New Roman" w:hAnsi="Corbel" w:cs="Times New Roman"/>
          <w:bCs/>
          <w:kern w:val="36"/>
        </w:rPr>
        <w:t xml:space="preserve">Bando per la presentazione di progetti volti a sostenere la presenza paritaria delle donne nella vita economica del territorio, favorendo l'accesso al lavoro, i percorsi di carriera e la promozione di progetti di welfare aziendale finalizzati al work-life balance e al miglioramento della qualità della vita delle persone. </w:t>
      </w:r>
      <w:r w:rsidRPr="0019373F">
        <w:rPr>
          <w:rFonts w:eastAsia="Times New Roman" w:cstheme="minorHAnsi"/>
          <w:bCs/>
          <w:kern w:val="36"/>
        </w:rPr>
        <w:t xml:space="preserve">(BUR n. </w:t>
      </w:r>
      <w:proofErr w:type="gramStart"/>
      <w:r w:rsidRPr="0019373F">
        <w:rPr>
          <w:rFonts w:eastAsia="Times New Roman" w:cstheme="minorHAnsi"/>
          <w:bCs/>
          <w:kern w:val="36"/>
        </w:rPr>
        <w:t>265  del</w:t>
      </w:r>
      <w:proofErr w:type="gramEnd"/>
      <w:r w:rsidRPr="0019373F">
        <w:rPr>
          <w:rFonts w:eastAsia="Times New Roman" w:cstheme="minorHAnsi"/>
          <w:bCs/>
          <w:kern w:val="36"/>
        </w:rPr>
        <w:t xml:space="preserve"> 7.8.19)</w:t>
      </w:r>
    </w:p>
    <w:p w:rsidR="00D77AA8" w:rsidRPr="00D77AA8" w:rsidRDefault="00D77AA8" w:rsidP="00D77AA8">
      <w:pPr>
        <w:shd w:val="clear" w:color="auto" w:fill="EFEFEF"/>
        <w:spacing w:after="0" w:line="20" w:lineRule="atLeast"/>
        <w:jc w:val="both"/>
        <w:rPr>
          <w:rFonts w:ascii="Corbel" w:eastAsia="Times New Roman" w:hAnsi="Corbel" w:cs="Times New Roman"/>
        </w:rPr>
      </w:pPr>
      <w:r w:rsidRPr="00D77AA8">
        <w:rPr>
          <w:rFonts w:ascii="Corbel" w:eastAsia="Times New Roman" w:hAnsi="Corbel" w:cs="Times New Roman"/>
        </w:rPr>
        <w:t>RIFERIMEN TI NORMATIVI</w:t>
      </w:r>
    </w:p>
    <w:p w:rsidR="00D77AA8" w:rsidRPr="00D77AA8" w:rsidRDefault="00D77AA8" w:rsidP="00D77AA8">
      <w:pPr>
        <w:shd w:val="clear" w:color="auto" w:fill="EFEFEF"/>
        <w:spacing w:after="0" w:line="20" w:lineRule="atLeast"/>
        <w:jc w:val="both"/>
        <w:rPr>
          <w:rFonts w:ascii="Corbel" w:eastAsia="Times New Roman" w:hAnsi="Corbel" w:cs="Times New Roman"/>
        </w:rPr>
      </w:pPr>
      <w:r w:rsidRPr="00D77AA8">
        <w:rPr>
          <w:rFonts w:ascii="Corbel" w:eastAsia="Times New Roman" w:hAnsi="Corbel" w:cs="Times New Roman"/>
        </w:rPr>
        <w:t xml:space="preserve">- la L.R. 27 giugno 2014 n. 6 “Legge quadro per la parità e contro le discriminazioni di genere” e </w:t>
      </w:r>
      <w:proofErr w:type="gramStart"/>
      <w:r w:rsidRPr="00D77AA8">
        <w:rPr>
          <w:rFonts w:ascii="Corbel" w:eastAsia="Times New Roman" w:hAnsi="Corbel" w:cs="Times New Roman"/>
        </w:rPr>
        <w:t>ss.mm.ii.,</w:t>
      </w:r>
      <w:proofErr w:type="gramEnd"/>
      <w:r w:rsidRPr="00D77AA8">
        <w:rPr>
          <w:rFonts w:ascii="Corbel" w:eastAsia="Times New Roman" w:hAnsi="Corbel" w:cs="Times New Roman"/>
        </w:rPr>
        <w:t xml:space="preserve"> ed in particolare: </w:t>
      </w:r>
    </w:p>
    <w:p w:rsidR="00D77AA8" w:rsidRPr="00D77AA8" w:rsidRDefault="00D77AA8" w:rsidP="00D77AA8">
      <w:pPr>
        <w:numPr>
          <w:ilvl w:val="0"/>
          <w:numId w:val="2"/>
        </w:numPr>
        <w:shd w:val="clear" w:color="auto" w:fill="EFEFEF"/>
        <w:spacing w:after="0" w:line="20" w:lineRule="atLeast"/>
        <w:ind w:left="0"/>
        <w:jc w:val="both"/>
        <w:rPr>
          <w:rFonts w:ascii="Corbel" w:eastAsia="Times New Roman" w:hAnsi="Corbel" w:cs="Times New Roman"/>
        </w:rPr>
      </w:pPr>
      <w:r w:rsidRPr="00D77AA8">
        <w:rPr>
          <w:rFonts w:ascii="Corbel" w:eastAsia="Times New Roman" w:hAnsi="Corbel" w:cs="Times New Roman"/>
        </w:rPr>
        <w:t>l’art. 2 “Finalità” che, al comma 1, recita: “1. La presente legge ha come oggetto la rimozione di ogni forma di disuguaglianza pregiudizievole, nonché di ogni discriminazione diretta o indiretta nei confronti delle persone, in particolare delle bambine, delle ragazze e delle donne, che di fatto ne limiti la libertà, impedisca il pieno sviluppo della personalità e l'effettiva partecipazione all'organizzazione politica, economica e sociale della Regione; </w:t>
      </w:r>
    </w:p>
    <w:p w:rsidR="00D77AA8" w:rsidRPr="00D77AA8" w:rsidRDefault="00D77AA8" w:rsidP="00D77AA8">
      <w:pPr>
        <w:numPr>
          <w:ilvl w:val="0"/>
          <w:numId w:val="2"/>
        </w:numPr>
        <w:shd w:val="clear" w:color="auto" w:fill="EFEFEF"/>
        <w:spacing w:after="0" w:line="20" w:lineRule="atLeast"/>
        <w:ind w:left="0"/>
        <w:jc w:val="both"/>
        <w:rPr>
          <w:rFonts w:ascii="Corbel" w:eastAsia="Times New Roman" w:hAnsi="Corbel" w:cs="Times New Roman"/>
        </w:rPr>
      </w:pPr>
      <w:r w:rsidRPr="00D77AA8">
        <w:rPr>
          <w:rFonts w:ascii="Corbel" w:eastAsia="Times New Roman" w:hAnsi="Corbel" w:cs="Times New Roman"/>
        </w:rPr>
        <w:t xml:space="preserve">l’art. 27 “Misure per la crescita equa e inclusiva” che al comma 2 recita: 2. La Regione in particolare promuove l'autonomia economica delle donne che hanno subito violenza e si impegna a contrastare il fenomeno delle donne con fragilità sociale, economica ed occupazionale, assumendo, nei limiti della propria competenza, l'incentivazione dell'occupazione femminile, la qualità del lavoro delle donne, la parità salariale, l'orientamento formativo e l'inserimento delle ragazze nel mondo del lavoro, come elementi qualificanti il sistema regionale e le politiche del lavoro; </w:t>
      </w:r>
    </w:p>
    <w:p w:rsidR="00D77AA8" w:rsidRPr="00D77AA8" w:rsidRDefault="00D77AA8" w:rsidP="00D77AA8">
      <w:pPr>
        <w:numPr>
          <w:ilvl w:val="0"/>
          <w:numId w:val="2"/>
        </w:numPr>
        <w:shd w:val="clear" w:color="auto" w:fill="EFEFEF"/>
        <w:spacing w:after="0" w:line="20" w:lineRule="atLeast"/>
        <w:ind w:left="0"/>
        <w:jc w:val="both"/>
        <w:rPr>
          <w:rFonts w:ascii="Corbel" w:eastAsia="Times New Roman" w:hAnsi="Corbel" w:cs="Times New Roman"/>
        </w:rPr>
      </w:pPr>
      <w:r w:rsidRPr="00D77AA8">
        <w:rPr>
          <w:rFonts w:ascii="Corbel" w:eastAsia="Times New Roman" w:hAnsi="Corbel" w:cs="Times New Roman"/>
        </w:rPr>
        <w:t>l’art. 31 “Imprenditoria femminile e professioni” che, al comma 1, recita: 1. La Regione favorisce il consolidamento, lo sviluppo e l'avvio di attività imprenditoriali a conduzione femminile o con maggioranza dei soci donne secondo quanto previsto dall'articolo 53 del decreto legislativo n.198 del 2006, e promuove la presenza delle donne nelle professioni; in particolare la Regione sostiene esperienze lavorative di condivisione di un ambiente di lavoro, di beni strumentali e servizi anche tecnologici, di integrazione professionale di cooperazione fra le imprese nell'ottica di rafforzare il protagonismo sociale delle donne; </w:t>
      </w:r>
    </w:p>
    <w:p w:rsidR="00D77AA8" w:rsidRPr="00D77AA8" w:rsidRDefault="00D77AA8" w:rsidP="00D77AA8">
      <w:pPr>
        <w:numPr>
          <w:ilvl w:val="0"/>
          <w:numId w:val="2"/>
        </w:numPr>
        <w:shd w:val="clear" w:color="auto" w:fill="EFEFEF"/>
        <w:spacing w:after="0" w:line="20" w:lineRule="atLeast"/>
        <w:ind w:left="0"/>
        <w:jc w:val="both"/>
        <w:rPr>
          <w:rFonts w:ascii="Corbel" w:eastAsia="Times New Roman" w:hAnsi="Corbel" w:cs="Times New Roman"/>
        </w:rPr>
      </w:pPr>
      <w:r w:rsidRPr="00D77AA8">
        <w:rPr>
          <w:rFonts w:ascii="Corbel" w:eastAsia="Times New Roman" w:hAnsi="Corbel" w:cs="Times New Roman"/>
        </w:rPr>
        <w:t xml:space="preserve">l’art. 33 “Strategia per la conciliazione e l'armonizzazione” che al comma 2 recita: 2. Al fine di condividere azioni strategiche mirate al superamento di una organizzazione socio-economica discriminatoria che ostacola la piena attuazione dell'articolo 37, primo comma, della Costituzione, la Regione promuove </w:t>
      </w:r>
      <w:r w:rsidRPr="00D77AA8">
        <w:rPr>
          <w:rFonts w:ascii="Corbel" w:eastAsia="Times New Roman" w:hAnsi="Corbel" w:cs="Times New Roman"/>
        </w:rPr>
        <w:lastRenderedPageBreak/>
        <w:t>iniziative dirette a favorire la conciliazione dei tempi di vita, di lavoro e di cura delle donne, l'armonizzazione dell'organizzazione delle città, delle imprese e dei servizi di interesse pubblico nonché volte al riequilibrio dei carichi di cura all'interno della coppia, l'innovazione dei modelli sociali, economici e culturali per rendere compatibili sfera lavorativa e sfera familiare in una logica di realizzazione piena della persona; </w:t>
      </w:r>
    </w:p>
    <w:p w:rsidR="00D77AA8" w:rsidRPr="00D77AA8" w:rsidRDefault="00D77AA8" w:rsidP="00D77AA8">
      <w:pPr>
        <w:shd w:val="clear" w:color="auto" w:fill="EFEFEF"/>
        <w:spacing w:after="0" w:line="20" w:lineRule="atLeast"/>
        <w:jc w:val="both"/>
        <w:rPr>
          <w:rFonts w:ascii="Corbel" w:eastAsia="Times New Roman" w:hAnsi="Corbel" w:cs="Times New Roman"/>
        </w:rPr>
      </w:pPr>
      <w:r w:rsidRPr="00D77AA8">
        <w:rPr>
          <w:rFonts w:ascii="Corbel" w:eastAsia="Times New Roman" w:hAnsi="Corbel" w:cs="Times New Roman"/>
        </w:rPr>
        <w:t xml:space="preserve">- l’art. 8 bis della sopracitata L.R. 27 giugno 2014 n. 6 e </w:t>
      </w:r>
      <w:proofErr w:type="gramStart"/>
      <w:r w:rsidRPr="00D77AA8">
        <w:rPr>
          <w:rFonts w:ascii="Corbel" w:eastAsia="Times New Roman" w:hAnsi="Corbel" w:cs="Times New Roman"/>
        </w:rPr>
        <w:t>ss.mm.ii.:</w:t>
      </w:r>
      <w:proofErr w:type="gramEnd"/>
      <w:r w:rsidRPr="00D77AA8">
        <w:rPr>
          <w:rFonts w:ascii="Corbel" w:eastAsia="Times New Roman" w:hAnsi="Corbel" w:cs="Times New Roman"/>
        </w:rPr>
        <w:t xml:space="preserve"> “Interventi regionali e a sostegno delle iniziative di enti locali, associazioni di promozione sociale, organizzazioni di volontariato e Onlus”, che prevede la concessione di contributi a sostegno di iniziative, progetti e manifestazioni proposte da: </w:t>
      </w:r>
    </w:p>
    <w:p w:rsidR="00D77AA8" w:rsidRPr="00D77AA8" w:rsidRDefault="00D77AA8" w:rsidP="00D77AA8">
      <w:pPr>
        <w:shd w:val="clear" w:color="auto" w:fill="EFEFEF"/>
        <w:spacing w:after="0" w:line="20" w:lineRule="atLeast"/>
        <w:jc w:val="both"/>
        <w:rPr>
          <w:rFonts w:ascii="Corbel" w:eastAsia="Times New Roman" w:hAnsi="Corbel" w:cs="Times New Roman"/>
        </w:rPr>
      </w:pPr>
      <w:r w:rsidRPr="00D77AA8">
        <w:rPr>
          <w:rFonts w:ascii="Corbel" w:eastAsia="Times New Roman" w:hAnsi="Corbel" w:cs="Times New Roman"/>
        </w:rPr>
        <w:t>- Enti locali, in forma singola o associata, per la promozione ed il conseguimento delle pari opportunità e per il contrasto alle discriminazioni e alla violenza di genere;</w:t>
      </w:r>
    </w:p>
    <w:p w:rsidR="00D77AA8" w:rsidRPr="00D77AA8" w:rsidRDefault="00D77AA8" w:rsidP="00D77AA8">
      <w:pPr>
        <w:shd w:val="clear" w:color="auto" w:fill="EFEFEF"/>
        <w:spacing w:after="0" w:line="20" w:lineRule="atLeast"/>
        <w:jc w:val="both"/>
        <w:rPr>
          <w:rFonts w:ascii="Corbel" w:eastAsia="Times New Roman" w:hAnsi="Corbel" w:cs="Times New Roman"/>
        </w:rPr>
      </w:pPr>
      <w:r w:rsidRPr="00D77AA8">
        <w:rPr>
          <w:rFonts w:ascii="Corbel" w:eastAsia="Times New Roman" w:hAnsi="Corbel" w:cs="Times New Roman"/>
        </w:rPr>
        <w:t>- Associazioni di promozione sociale iscritte nel registro regionale di cui alla L.R. n. 34/2002, Organizzazioni di volontariato iscritte nel registro regionale di cui alla L.R. n. 12/2005, Onlus iscritte all’anagrafe unica di cui all’art. 11 del D.Lgs. n. 460/1997, il cui statuto o atto costitutivo prevede, anche alternativamente: </w:t>
      </w:r>
    </w:p>
    <w:p w:rsidR="00D77AA8" w:rsidRPr="00D77AA8" w:rsidRDefault="00D77AA8" w:rsidP="00D77AA8">
      <w:pPr>
        <w:shd w:val="clear" w:color="auto" w:fill="EFEFEF"/>
        <w:spacing w:after="0" w:line="20" w:lineRule="atLeast"/>
        <w:jc w:val="both"/>
        <w:rPr>
          <w:rFonts w:ascii="Corbel" w:eastAsia="Times New Roman" w:hAnsi="Corbel" w:cs="Times New Roman"/>
        </w:rPr>
      </w:pPr>
      <w:r w:rsidRPr="00D77AA8">
        <w:rPr>
          <w:rFonts w:ascii="Corbel" w:eastAsia="Times New Roman" w:hAnsi="Corbel" w:cs="Times New Roman"/>
        </w:rPr>
        <w:t>a) la diffusione e l’attuazione del principio di pari opportunità fra donna e uomo;</w:t>
      </w:r>
    </w:p>
    <w:p w:rsidR="00D77AA8" w:rsidRPr="00D77AA8" w:rsidRDefault="00D77AA8" w:rsidP="00D77AA8">
      <w:pPr>
        <w:shd w:val="clear" w:color="auto" w:fill="EFEFEF"/>
        <w:spacing w:after="0" w:line="20" w:lineRule="atLeast"/>
        <w:jc w:val="both"/>
        <w:rPr>
          <w:rFonts w:ascii="Corbel" w:eastAsia="Times New Roman" w:hAnsi="Corbel" w:cs="Times New Roman"/>
        </w:rPr>
      </w:pPr>
      <w:r w:rsidRPr="00D77AA8">
        <w:rPr>
          <w:rFonts w:ascii="Corbel" w:eastAsia="Times New Roman" w:hAnsi="Corbel" w:cs="Times New Roman"/>
        </w:rPr>
        <w:t>b) la promozione e la valorizzazione della condizione femminile;</w:t>
      </w:r>
    </w:p>
    <w:p w:rsidR="00D77AA8" w:rsidRPr="00D77AA8" w:rsidRDefault="00D77AA8" w:rsidP="00D77AA8">
      <w:pPr>
        <w:shd w:val="clear" w:color="auto" w:fill="EFEFEF"/>
        <w:spacing w:after="0" w:line="20" w:lineRule="atLeast"/>
        <w:jc w:val="both"/>
        <w:rPr>
          <w:rFonts w:ascii="Corbel" w:eastAsia="Times New Roman" w:hAnsi="Corbel" w:cs="Times New Roman"/>
        </w:rPr>
      </w:pPr>
      <w:r w:rsidRPr="00D77AA8">
        <w:rPr>
          <w:rFonts w:ascii="Corbel" w:eastAsia="Times New Roman" w:hAnsi="Corbel" w:cs="Times New Roman"/>
        </w:rPr>
        <w:t>c) la prevenzione ed il contrasto di ogni violenza e discriminazione sessista.</w:t>
      </w:r>
    </w:p>
    <w:p w:rsidR="00D77AA8" w:rsidRPr="00D77AA8" w:rsidRDefault="00D77AA8" w:rsidP="00D77AA8">
      <w:pPr>
        <w:pStyle w:val="NormaleWeb"/>
        <w:shd w:val="clear" w:color="auto" w:fill="EFEFEF"/>
        <w:spacing w:before="0" w:beforeAutospacing="0" w:after="0" w:afterAutospacing="0" w:line="20" w:lineRule="atLeast"/>
        <w:jc w:val="both"/>
        <w:rPr>
          <w:rFonts w:ascii="Corbel" w:hAnsi="Corbel"/>
          <w:b/>
          <w:sz w:val="22"/>
          <w:szCs w:val="22"/>
        </w:rPr>
      </w:pPr>
      <w:r w:rsidRPr="00D77AA8">
        <w:rPr>
          <w:rFonts w:ascii="Corbel" w:hAnsi="Corbel"/>
          <w:b/>
          <w:sz w:val="22"/>
          <w:szCs w:val="22"/>
        </w:rPr>
        <w:t>LA DISPOSIZIONE</w:t>
      </w:r>
    </w:p>
    <w:p w:rsidR="00D77AA8" w:rsidRPr="00D77AA8" w:rsidRDefault="00D77AA8" w:rsidP="00D77AA8">
      <w:pPr>
        <w:pStyle w:val="NormaleWeb"/>
        <w:shd w:val="clear" w:color="auto" w:fill="EFEFEF"/>
        <w:spacing w:before="0" w:beforeAutospacing="0" w:after="0" w:afterAutospacing="0" w:line="20" w:lineRule="atLeast"/>
        <w:jc w:val="both"/>
        <w:rPr>
          <w:rFonts w:ascii="Corbel" w:hAnsi="Corbel"/>
          <w:sz w:val="22"/>
          <w:szCs w:val="22"/>
        </w:rPr>
      </w:pPr>
      <w:r w:rsidRPr="00D77AA8">
        <w:rPr>
          <w:rFonts w:ascii="Corbel" w:hAnsi="Corbel"/>
          <w:sz w:val="22"/>
          <w:szCs w:val="22"/>
        </w:rPr>
        <w:t>Viene approvato il “Bando per la presentazione di progetti volti a sostenere la presenza paritaria delle donne nella vita economica del territorio, favorendo l’accesso al lavoro, i percorsi di carriera e la promozione di progetti di welfare aziendale finalizzati al work-life balance e al miglioramento della qualità della vita delle persone”, nel rispetto della legge regionale n. 6/2014 e ss.mm.ii., i cui contenuti sono indicati nell’allegato A, parte integrante e sostanziale del presente atto, corredato della necessaria modulistica per la presentazione delle domande di contributo.</w:t>
      </w:r>
    </w:p>
    <w:p w:rsidR="00D77AA8" w:rsidRDefault="00D77AA8" w:rsidP="0006692C">
      <w:pPr>
        <w:spacing w:after="0" w:line="20" w:lineRule="atLeast"/>
        <w:jc w:val="both"/>
        <w:rPr>
          <w:rFonts w:cstheme="minorHAnsi"/>
        </w:rPr>
      </w:pPr>
    </w:p>
    <w:p w:rsidR="00842858" w:rsidRPr="00B73FD1" w:rsidRDefault="00842858" w:rsidP="00842858">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EFEFE"/>
        <w:spacing w:after="0" w:line="20" w:lineRule="atLeast"/>
        <w:jc w:val="center"/>
        <w:rPr>
          <w:rFonts w:eastAsia="Times New Roman" w:cstheme="minorHAnsi"/>
          <w:b/>
          <w:bCs/>
          <w:kern w:val="36"/>
        </w:rPr>
      </w:pPr>
      <w:r w:rsidRPr="00B73FD1">
        <w:rPr>
          <w:rFonts w:eastAsia="Times New Roman" w:cstheme="minorHAnsi"/>
          <w:b/>
          <w:bCs/>
          <w:kern w:val="36"/>
        </w:rPr>
        <w:t>PERSONE CON DISABILITÀ</w:t>
      </w:r>
    </w:p>
    <w:p w:rsidR="00842858" w:rsidRPr="00B73FD1" w:rsidRDefault="00842858" w:rsidP="00842858">
      <w:pPr>
        <w:shd w:val="clear" w:color="auto" w:fill="FEFEFE"/>
        <w:spacing w:after="0" w:line="20" w:lineRule="atLeast"/>
        <w:jc w:val="both"/>
        <w:rPr>
          <w:rFonts w:eastAsia="Times New Roman" w:cstheme="minorHAnsi"/>
        </w:rPr>
      </w:pPr>
    </w:p>
    <w:p w:rsidR="00842858" w:rsidRPr="00B73FD1" w:rsidRDefault="00842858" w:rsidP="00842858">
      <w:pPr>
        <w:shd w:val="clear" w:color="auto" w:fill="FEFEFE"/>
        <w:spacing w:after="0" w:line="20" w:lineRule="atLeast"/>
        <w:jc w:val="both"/>
        <w:rPr>
          <w:rFonts w:eastAsia="Times New Roman" w:cstheme="minorHAnsi"/>
          <w:b/>
          <w:bCs/>
          <w:kern w:val="36"/>
        </w:rPr>
      </w:pPr>
      <w:r w:rsidRPr="00B73FD1">
        <w:rPr>
          <w:rFonts w:eastAsia="Times New Roman" w:cstheme="minorHAnsi"/>
          <w:b/>
        </w:rPr>
        <w:t>DGR  22 luglio 2019, n. 1219</w:t>
      </w:r>
      <w:r w:rsidRPr="00B73FD1">
        <w:rPr>
          <w:rFonts w:eastAsia="Times New Roman" w:cstheme="minorHAnsi"/>
        </w:rPr>
        <w:t xml:space="preserve">, </w:t>
      </w:r>
      <w:r w:rsidRPr="00B73FD1">
        <w:rPr>
          <w:rFonts w:eastAsia="Times New Roman" w:cstheme="minorHAnsi"/>
          <w:bCs/>
          <w:kern w:val="36"/>
        </w:rPr>
        <w:t>Formazione per il conseguimento dell'attestato di abilitazione di centralinista telefonico non vedente attraverso assegni formativi anno 2019: quantificazione spesa. (BUR n. 265 del 7.8.19)</w:t>
      </w:r>
    </w:p>
    <w:p w:rsidR="00842858" w:rsidRPr="00B73FD1" w:rsidRDefault="00842858" w:rsidP="00842858">
      <w:pPr>
        <w:shd w:val="clear" w:color="auto" w:fill="EFEFEF"/>
        <w:spacing w:after="0" w:line="20" w:lineRule="atLeast"/>
        <w:jc w:val="both"/>
        <w:rPr>
          <w:rFonts w:eastAsia="Times New Roman" w:cstheme="minorHAnsi"/>
          <w:b/>
        </w:rPr>
      </w:pPr>
      <w:r w:rsidRPr="00B73FD1">
        <w:rPr>
          <w:rFonts w:eastAsia="Times New Roman" w:cstheme="minorHAnsi"/>
          <w:b/>
        </w:rPr>
        <w:t>Note</w:t>
      </w:r>
    </w:p>
    <w:p w:rsidR="00842858" w:rsidRPr="00B73FD1" w:rsidRDefault="00842858" w:rsidP="00842858">
      <w:pPr>
        <w:shd w:val="clear" w:color="auto" w:fill="EFEFEF"/>
        <w:spacing w:after="0" w:line="20" w:lineRule="atLeast"/>
        <w:jc w:val="both"/>
        <w:rPr>
          <w:rFonts w:cstheme="minorHAnsi"/>
        </w:rPr>
      </w:pPr>
      <w:proofErr w:type="gramStart"/>
      <w:r w:rsidRPr="00B73FD1">
        <w:rPr>
          <w:rFonts w:eastAsia="Times New Roman" w:cstheme="minorHAnsi"/>
        </w:rPr>
        <w:t>Viene  quantificato</w:t>
      </w:r>
      <w:proofErr w:type="gramEnd"/>
      <w:r w:rsidRPr="00B73FD1">
        <w:rPr>
          <w:rFonts w:eastAsia="Times New Roman" w:cstheme="minorHAnsi"/>
        </w:rPr>
        <w:t xml:space="preserve">  in Euro 484.000,00 l’importo totale da assegnare all’“Istituto dei Ciechi Francesco Cavazza Onlus” di Bologna (Cod.org. 294), in nome e per conto dei partecipanti all’attività contraddistinta dal Rif.PA 2012-10908/RER "Centralinista - Operatore dell’informazione nella comunicazione", finalizzata al conseguimento dell’Attestato di Abilitazione per Centralinista telefonico non vedente, di cui Euro 392.000,00 per il finanziamento di n. 28 assegni formativi dell’importo unitario di euro 14.000,00 a copertura dei costi di iscrizione e Euro 92.000,00 a copertura delle spese di residenzialità dei singoli partecipanti aventi diritto. </w:t>
      </w:r>
    </w:p>
    <w:p w:rsidR="004C61BF" w:rsidRDefault="004C61BF" w:rsidP="0006692C">
      <w:pPr>
        <w:spacing w:after="0" w:line="20" w:lineRule="atLeast"/>
        <w:jc w:val="both"/>
        <w:rPr>
          <w:rFonts w:cstheme="minorHAnsi"/>
        </w:rPr>
      </w:pPr>
    </w:p>
    <w:p w:rsidR="00D77AA8" w:rsidRPr="00AC41E9" w:rsidRDefault="00D77AA8" w:rsidP="00D77AA8">
      <w:pPr>
        <w:pStyle w:val="metadata"/>
        <w:pBdr>
          <w:top w:val="single" w:sz="4" w:space="1" w:color="auto"/>
          <w:left w:val="single" w:sz="4" w:space="4" w:color="auto"/>
          <w:bottom w:val="single" w:sz="4" w:space="1" w:color="auto"/>
          <w:right w:val="single" w:sz="4" w:space="4" w:color="auto"/>
          <w:between w:val="single" w:sz="4" w:space="1" w:color="auto"/>
          <w:bar w:val="single" w:sz="4" w:color="auto"/>
        </w:pBdr>
        <w:spacing w:before="0" w:beforeAutospacing="0" w:after="0" w:afterAutospacing="0" w:line="20" w:lineRule="atLeast"/>
        <w:jc w:val="center"/>
        <w:rPr>
          <w:rFonts w:asciiTheme="minorHAnsi" w:hAnsiTheme="minorHAnsi" w:cstheme="minorHAnsi"/>
          <w:b/>
          <w:color w:val="515151"/>
          <w:sz w:val="22"/>
          <w:szCs w:val="22"/>
        </w:rPr>
      </w:pPr>
      <w:r w:rsidRPr="00AC41E9">
        <w:rPr>
          <w:rFonts w:asciiTheme="minorHAnsi" w:hAnsiTheme="minorHAnsi" w:cstheme="minorHAnsi"/>
          <w:b/>
          <w:color w:val="515151"/>
          <w:sz w:val="22"/>
          <w:szCs w:val="22"/>
        </w:rPr>
        <w:t>POVERTÀ INCLUSIONE SOCIALE</w:t>
      </w:r>
    </w:p>
    <w:p w:rsidR="00D77AA8" w:rsidRPr="00D77AA8" w:rsidRDefault="00D77AA8" w:rsidP="00D77AA8">
      <w:pPr>
        <w:shd w:val="clear" w:color="auto" w:fill="FEFEFE"/>
        <w:spacing w:after="0" w:line="20" w:lineRule="atLeast"/>
        <w:jc w:val="both"/>
        <w:rPr>
          <w:rFonts w:ascii="Corbel" w:eastAsia="Times New Roman" w:hAnsi="Corbel" w:cs="Times New Roman"/>
          <w:b/>
        </w:rPr>
      </w:pPr>
    </w:p>
    <w:p w:rsidR="00D77AA8" w:rsidRPr="0019373F" w:rsidRDefault="00D77AA8" w:rsidP="00D77AA8">
      <w:pPr>
        <w:shd w:val="clear" w:color="auto" w:fill="FEFEFE"/>
        <w:spacing w:after="0" w:line="20" w:lineRule="atLeast"/>
        <w:jc w:val="both"/>
        <w:rPr>
          <w:rFonts w:eastAsia="Times New Roman" w:cstheme="minorHAnsi"/>
          <w:bCs/>
          <w:kern w:val="36"/>
        </w:rPr>
      </w:pPr>
      <w:r w:rsidRPr="00D77AA8">
        <w:rPr>
          <w:rFonts w:ascii="Corbel" w:eastAsia="Times New Roman" w:hAnsi="Corbel" w:cs="Times New Roman"/>
          <w:b/>
        </w:rPr>
        <w:t>DGR  15 luglio 2019, n. 1193</w:t>
      </w:r>
      <w:r w:rsidRPr="00D77AA8">
        <w:rPr>
          <w:rFonts w:ascii="Corbel" w:eastAsia="Times New Roman" w:hAnsi="Corbel" w:cs="Times New Roman"/>
        </w:rPr>
        <w:t xml:space="preserve">, </w:t>
      </w:r>
      <w:r w:rsidRPr="00D77AA8">
        <w:rPr>
          <w:rFonts w:ascii="Corbel" w:eastAsia="Times New Roman" w:hAnsi="Corbel" w:cs="Times New Roman"/>
          <w:bCs/>
          <w:kern w:val="36"/>
        </w:rPr>
        <w:t xml:space="preserve">Approvazione schema di convenzione tra la Regione Emilia-Romagna ed ANPAL Servizi S.p.A., ex art. 12, comma 3, del decreto legge n. 4/2019, convertito nella legge n. 26/2019. </w:t>
      </w:r>
      <w:r w:rsidRPr="0019373F">
        <w:rPr>
          <w:rFonts w:eastAsia="Times New Roman" w:cstheme="minorHAnsi"/>
          <w:bCs/>
          <w:kern w:val="36"/>
        </w:rPr>
        <w:t>(BUR n. 265 del 7.8.19)</w:t>
      </w:r>
    </w:p>
    <w:p w:rsidR="00D77AA8" w:rsidRPr="00D77AA8" w:rsidRDefault="00D77AA8" w:rsidP="00D77AA8">
      <w:pPr>
        <w:shd w:val="clear" w:color="auto" w:fill="EFEFEF"/>
        <w:spacing w:after="0" w:line="20" w:lineRule="atLeast"/>
        <w:jc w:val="both"/>
        <w:rPr>
          <w:rFonts w:ascii="Corbel" w:eastAsia="Times New Roman" w:hAnsi="Corbel" w:cs="Times New Roman"/>
          <w:b/>
        </w:rPr>
      </w:pPr>
      <w:r w:rsidRPr="00D77AA8">
        <w:rPr>
          <w:rFonts w:ascii="Corbel" w:eastAsia="Times New Roman" w:hAnsi="Corbel" w:cs="Times New Roman"/>
          <w:b/>
        </w:rPr>
        <w:t xml:space="preserve">RIFERIMENTI NORMATIVI </w:t>
      </w:r>
    </w:p>
    <w:p w:rsidR="00D77AA8" w:rsidRPr="00D77AA8" w:rsidRDefault="00D77AA8" w:rsidP="00D77AA8">
      <w:pPr>
        <w:shd w:val="clear" w:color="auto" w:fill="EFEFEF"/>
        <w:spacing w:after="0" w:line="20" w:lineRule="atLeast"/>
        <w:jc w:val="both"/>
        <w:rPr>
          <w:rFonts w:ascii="Corbel" w:eastAsia="Times New Roman" w:hAnsi="Corbel" w:cs="Times New Roman"/>
        </w:rPr>
      </w:pPr>
      <w:r w:rsidRPr="00D77AA8">
        <w:rPr>
          <w:rFonts w:ascii="Corbel" w:eastAsia="Times New Roman" w:hAnsi="Corbel" w:cs="Times New Roman"/>
        </w:rPr>
        <w:t>- il Titolo V della Costituzione Italiana e, in particolare, gli articoli 117, 118 e 119 relativi alla ripartizione delle competenze tra Stato e Regioni in materia di mercato del lavoro;</w:t>
      </w:r>
    </w:p>
    <w:p w:rsidR="00D77AA8" w:rsidRPr="00D77AA8" w:rsidRDefault="00D77AA8" w:rsidP="00D77AA8">
      <w:pPr>
        <w:shd w:val="clear" w:color="auto" w:fill="EFEFEF"/>
        <w:spacing w:after="0" w:line="20" w:lineRule="atLeast"/>
        <w:jc w:val="both"/>
        <w:rPr>
          <w:rFonts w:ascii="Corbel" w:eastAsia="Times New Roman" w:hAnsi="Corbel" w:cs="Times New Roman"/>
        </w:rPr>
      </w:pPr>
      <w:r w:rsidRPr="00D77AA8">
        <w:rPr>
          <w:rFonts w:ascii="Corbel" w:eastAsia="Times New Roman" w:hAnsi="Corbel" w:cs="Times New Roman"/>
        </w:rPr>
        <w:t>- la sentenza della Corte Costituzionale n. 363 del 19 dicembre 2003 che stabilisce che le Regioni possano avvalersi di Anpal Servizi S.p.A. (già Italia Lavoro S.p.A.) per azioni nel mercato del lavoro sulla base di specifici accordi;</w:t>
      </w:r>
    </w:p>
    <w:p w:rsidR="00D77AA8" w:rsidRPr="00D77AA8" w:rsidRDefault="00D77AA8" w:rsidP="00D77AA8">
      <w:pPr>
        <w:shd w:val="clear" w:color="auto" w:fill="EFEFEF"/>
        <w:spacing w:after="0" w:line="20" w:lineRule="atLeast"/>
        <w:jc w:val="both"/>
        <w:rPr>
          <w:rFonts w:ascii="Corbel" w:eastAsia="Times New Roman" w:hAnsi="Corbel" w:cs="Times New Roman"/>
        </w:rPr>
      </w:pPr>
      <w:r w:rsidRPr="00D77AA8">
        <w:rPr>
          <w:rFonts w:ascii="Corbel" w:eastAsia="Times New Roman" w:hAnsi="Corbel" w:cs="Times New Roman"/>
        </w:rPr>
        <w:t>- il Decreto Legislativo 14 settembre 2015 n. 150 “Disposizioni per il riordino della normativa in materia di servizi per il lavoro e di politiche attive, ai sensi dell'articolo 1, comma 3, della legge 10 dicembre 2014, n. 183”, con particolare riferimento all’art. 13 “Sistema informativo unitario delle politiche del lavoro” ed all’art. 4, c. 13, in base al quale l’ANPAL possiede l’intero capitale sociale di Anpal Servizi e il Presidente dell’Agenzia è Amministratore Unico della Società, così da assicurarne la funzione di struttura in house;</w:t>
      </w:r>
    </w:p>
    <w:p w:rsidR="00D77AA8" w:rsidRPr="00D77AA8" w:rsidRDefault="00D77AA8" w:rsidP="00D77AA8">
      <w:pPr>
        <w:shd w:val="clear" w:color="auto" w:fill="EFEFEF"/>
        <w:spacing w:after="0" w:line="20" w:lineRule="atLeast"/>
        <w:jc w:val="both"/>
        <w:rPr>
          <w:rFonts w:ascii="Corbel" w:eastAsia="Times New Roman" w:hAnsi="Corbel" w:cs="Times New Roman"/>
        </w:rPr>
      </w:pPr>
      <w:r w:rsidRPr="00D77AA8">
        <w:rPr>
          <w:rFonts w:ascii="Corbel" w:eastAsia="Times New Roman" w:hAnsi="Corbel" w:cs="Times New Roman"/>
        </w:rPr>
        <w:lastRenderedPageBreak/>
        <w:t>- il Decreto del Ministro del Lavoro e delle Politiche sociali n. 4/2018 recante linee di indirizzo triennali in materia di politiche attive, che definisce i livelli essenziali delle prestazioni dei servizi per il lavoro;</w:t>
      </w:r>
    </w:p>
    <w:p w:rsidR="00D77AA8" w:rsidRPr="00D77AA8" w:rsidRDefault="00D77AA8" w:rsidP="00D77AA8">
      <w:pPr>
        <w:shd w:val="clear" w:color="auto" w:fill="EFEFEF"/>
        <w:spacing w:after="0" w:line="20" w:lineRule="atLeast"/>
        <w:jc w:val="both"/>
        <w:rPr>
          <w:rFonts w:ascii="Corbel" w:eastAsia="Times New Roman" w:hAnsi="Corbel" w:cs="Times New Roman"/>
        </w:rPr>
      </w:pPr>
      <w:r w:rsidRPr="00D77AA8">
        <w:rPr>
          <w:rFonts w:ascii="Corbel" w:eastAsia="Times New Roman" w:hAnsi="Corbel" w:cs="Times New Roman"/>
        </w:rPr>
        <w:t>- la Legge 27 dicembre 2017, n. 205 “Bilancio di previsione dello Stato per l'anno finanziario 2018 e bilancio pluriennale per il triennio 2018-2020”, art. 1, commi 793 – 799, che stanzia risorse per il rafforzamento dei centri per l’impiego, per la stabilizzazione degli operatori in essi occupati e il reclutamento di ulteriore personale;</w:t>
      </w:r>
    </w:p>
    <w:p w:rsidR="00D77AA8" w:rsidRPr="00D77AA8" w:rsidRDefault="00D77AA8" w:rsidP="00D77AA8">
      <w:pPr>
        <w:shd w:val="clear" w:color="auto" w:fill="EFEFEF"/>
        <w:spacing w:after="0" w:line="20" w:lineRule="atLeast"/>
        <w:jc w:val="both"/>
        <w:rPr>
          <w:rFonts w:ascii="Corbel" w:eastAsia="Times New Roman" w:hAnsi="Corbel" w:cs="Times New Roman"/>
        </w:rPr>
      </w:pPr>
      <w:r w:rsidRPr="00D77AA8">
        <w:rPr>
          <w:rFonts w:ascii="Corbel" w:eastAsia="Times New Roman" w:hAnsi="Corbel" w:cs="Times New Roman"/>
        </w:rPr>
        <w:t>- il “Piano di rafforzamento dei servizi e delle misure di politica attiva del lavoro”, approvato con l’intesa della Conferenza Unificata del 21 dicembre 2017;</w:t>
      </w:r>
    </w:p>
    <w:p w:rsidR="00D77AA8" w:rsidRPr="00D77AA8" w:rsidRDefault="00D77AA8" w:rsidP="00D77AA8">
      <w:pPr>
        <w:shd w:val="clear" w:color="auto" w:fill="EFEFEF"/>
        <w:spacing w:after="0" w:line="20" w:lineRule="atLeast"/>
        <w:jc w:val="both"/>
        <w:rPr>
          <w:rFonts w:ascii="Corbel" w:eastAsia="Times New Roman" w:hAnsi="Corbel" w:cs="Times New Roman"/>
        </w:rPr>
      </w:pPr>
      <w:r w:rsidRPr="00D77AA8">
        <w:rPr>
          <w:rFonts w:ascii="Corbel" w:eastAsia="Times New Roman" w:hAnsi="Corbel" w:cs="Times New Roman"/>
        </w:rPr>
        <w:t>- la Legge 30 dicembre 2018, n. 145 “Bilancio di previsione dello Stato per l'anno finanziario 2019 e bilancio pluriennale per il triennio 2019-2021”, art. 1, comma 258 che stanzia ulteriori risorse finanziarie per il rafforzamento dei Centri per l’Impiego e per il reclutamento di ulteriori quattromila operatori;</w:t>
      </w:r>
    </w:p>
    <w:p w:rsidR="00D77AA8" w:rsidRPr="00D77AA8" w:rsidRDefault="00D77AA8" w:rsidP="00D77AA8">
      <w:pPr>
        <w:shd w:val="clear" w:color="auto" w:fill="EFEFEF"/>
        <w:spacing w:after="0" w:line="20" w:lineRule="atLeast"/>
        <w:jc w:val="both"/>
        <w:rPr>
          <w:rFonts w:ascii="Corbel" w:eastAsia="Times New Roman" w:hAnsi="Corbel" w:cs="Times New Roman"/>
        </w:rPr>
      </w:pPr>
      <w:r w:rsidRPr="00D77AA8">
        <w:rPr>
          <w:rFonts w:ascii="Corbel" w:eastAsia="Times New Roman" w:hAnsi="Corbel" w:cs="Times New Roman"/>
        </w:rPr>
        <w:t>- la Legge 28 marzo 2019 n. 26 “Conversione in legge, con modificazioni, del decreto-legge 28 gennaio 2019, n. 4, recante disposizioni urgenti in materia di reddito di cittadinanza e di pensioni”, con particolare riferimento a: art. 4 “Patto per il lavoro e Patto per l'inclusione sociale”, art. 6 “Piattaforme digitali per l'attivazione e la gestione dei Patti e disposizioni sui centri di assistenza fiscale”, art. 9 “Assegno di ricollocazione”, art. 12 “Disposizioni finanziarie per l'attuazione del programma del Rdc”;</w:t>
      </w:r>
    </w:p>
    <w:p w:rsidR="00D77AA8" w:rsidRPr="00D77AA8" w:rsidRDefault="00D77AA8" w:rsidP="00D77AA8">
      <w:pPr>
        <w:shd w:val="clear" w:color="auto" w:fill="EFEFEF"/>
        <w:spacing w:after="0" w:line="20" w:lineRule="atLeast"/>
        <w:jc w:val="both"/>
        <w:rPr>
          <w:rFonts w:ascii="Corbel" w:eastAsia="Times New Roman" w:hAnsi="Corbel" w:cs="Times New Roman"/>
        </w:rPr>
      </w:pPr>
      <w:r w:rsidRPr="00D77AA8">
        <w:rPr>
          <w:rFonts w:ascii="Corbel" w:eastAsia="Times New Roman" w:hAnsi="Corbel" w:cs="Times New Roman"/>
        </w:rPr>
        <w:t>- l’Intesa, ai sensi dell’art. 8, comma 6, della legge 5 giugno 2003, n. 131 sul “Piano straordinario di potenziamento dei centri per l’impiego e delle politiche attive del lavoro” in attuazione dell’art. 12, comma 3, del decreto legge 29 gennaio 2019 n. 4, convertito in legge 28 marzo 2019 n. 26, sottoscritta in data 17 aprile 2019 in sede di Conferenza permanente per i rapporti tra Stato e Regioni;</w:t>
      </w:r>
    </w:p>
    <w:p w:rsidR="00D77AA8" w:rsidRPr="00D77AA8" w:rsidRDefault="00D77AA8" w:rsidP="00D77AA8">
      <w:pPr>
        <w:shd w:val="clear" w:color="auto" w:fill="EFEFEF"/>
        <w:spacing w:after="0" w:line="20" w:lineRule="atLeast"/>
        <w:jc w:val="both"/>
        <w:rPr>
          <w:rFonts w:ascii="Corbel" w:eastAsia="Times New Roman" w:hAnsi="Corbel" w:cs="Times New Roman"/>
        </w:rPr>
      </w:pPr>
      <w:r w:rsidRPr="00D77AA8">
        <w:rPr>
          <w:rFonts w:ascii="Corbel" w:eastAsia="Times New Roman" w:hAnsi="Corbel" w:cs="Times New Roman"/>
        </w:rPr>
        <w:t>- la Delibera del Consiglio di Amministrazione dell’ANPAL n. 9 del 12 giugno 2019 “Approvazione modello organizzativo ANPAL Servizi Spa”;</w:t>
      </w:r>
    </w:p>
    <w:p w:rsidR="00D77AA8" w:rsidRPr="00D77AA8" w:rsidRDefault="00D77AA8" w:rsidP="00D77AA8">
      <w:pPr>
        <w:shd w:val="clear" w:color="auto" w:fill="EFEFEF"/>
        <w:spacing w:after="0" w:line="20" w:lineRule="atLeast"/>
        <w:jc w:val="both"/>
        <w:rPr>
          <w:rFonts w:ascii="Corbel" w:eastAsia="Times New Roman" w:hAnsi="Corbel" w:cs="Times New Roman"/>
        </w:rPr>
      </w:pPr>
      <w:r w:rsidRPr="00D77AA8">
        <w:rPr>
          <w:rFonts w:ascii="Corbel" w:eastAsia="Times New Roman" w:hAnsi="Corbel" w:cs="Times New Roman"/>
        </w:rPr>
        <w:t>- la Legge Regionale n. 12 del 30 giugno 2003 “Norme per l’uguaglianza delle opportunità di accesso al sapere, per ognuno e per tutto l’arco della vita, attraverso il rafforzamento dell’istruzione e della formazione professionale anche in integrazione tra loro” e ss.mm.ii;</w:t>
      </w:r>
    </w:p>
    <w:p w:rsidR="00D77AA8" w:rsidRPr="00D77AA8" w:rsidRDefault="00D77AA8" w:rsidP="00D77AA8">
      <w:pPr>
        <w:shd w:val="clear" w:color="auto" w:fill="EFEFEF"/>
        <w:spacing w:after="0" w:line="20" w:lineRule="atLeast"/>
        <w:jc w:val="both"/>
        <w:rPr>
          <w:rFonts w:ascii="Corbel" w:eastAsia="Times New Roman" w:hAnsi="Corbel" w:cs="Times New Roman"/>
        </w:rPr>
      </w:pPr>
      <w:r w:rsidRPr="00D77AA8">
        <w:rPr>
          <w:rFonts w:ascii="Corbel" w:eastAsia="Times New Roman" w:hAnsi="Corbel" w:cs="Times New Roman"/>
        </w:rPr>
        <w:t xml:space="preserve">- la Legge Regionale n. 17 del 1 agosto 2005 “Norme per la promozione dell’occupazione, della qualità, sicurezza e regolarità del lavoro” e in particolare il capo III “Politiche attive per il lavoro” e </w:t>
      </w:r>
      <w:proofErr w:type="gramStart"/>
      <w:r w:rsidRPr="00D77AA8">
        <w:rPr>
          <w:rFonts w:ascii="Corbel" w:eastAsia="Times New Roman" w:hAnsi="Corbel" w:cs="Times New Roman"/>
        </w:rPr>
        <w:t>ss.mm.ii.;</w:t>
      </w:r>
      <w:proofErr w:type="gramEnd"/>
    </w:p>
    <w:p w:rsidR="00D77AA8" w:rsidRPr="00D77AA8" w:rsidRDefault="00D77AA8" w:rsidP="00D77AA8">
      <w:pPr>
        <w:shd w:val="clear" w:color="auto" w:fill="EFEFEF"/>
        <w:spacing w:after="0" w:line="20" w:lineRule="atLeast"/>
        <w:jc w:val="both"/>
        <w:rPr>
          <w:rFonts w:ascii="Corbel" w:eastAsia="Times New Roman" w:hAnsi="Corbel" w:cs="Times New Roman"/>
        </w:rPr>
      </w:pPr>
      <w:r w:rsidRPr="00D77AA8">
        <w:rPr>
          <w:rFonts w:ascii="Corbel" w:eastAsia="Times New Roman" w:hAnsi="Corbel" w:cs="Times New Roman"/>
        </w:rPr>
        <w:t xml:space="preserve">- la Legge Regionale n. 13 del 30 luglio 2015, “Riforma del Sistema di governo regionale e locale e disposizioni su Città Metropolitana di Bologna, Province, Comuni e loro Unioni” e </w:t>
      </w:r>
      <w:proofErr w:type="gramStart"/>
      <w:r w:rsidRPr="00D77AA8">
        <w:rPr>
          <w:rFonts w:ascii="Corbel" w:eastAsia="Times New Roman" w:hAnsi="Corbel" w:cs="Times New Roman"/>
        </w:rPr>
        <w:t>ss.mm.ii.,</w:t>
      </w:r>
      <w:proofErr w:type="gramEnd"/>
      <w:r w:rsidRPr="00D77AA8">
        <w:rPr>
          <w:rFonts w:ascii="Corbel" w:eastAsia="Times New Roman" w:hAnsi="Corbel" w:cs="Times New Roman"/>
        </w:rPr>
        <w:t xml:space="preserve"> che istituisce l’Agenzia Regionale per il Lavoro;</w:t>
      </w:r>
    </w:p>
    <w:p w:rsidR="00D77AA8" w:rsidRPr="00D77AA8" w:rsidRDefault="00D77AA8" w:rsidP="00D77AA8">
      <w:pPr>
        <w:shd w:val="clear" w:color="auto" w:fill="EFEFEF"/>
        <w:spacing w:after="0" w:line="20" w:lineRule="atLeast"/>
        <w:jc w:val="both"/>
        <w:rPr>
          <w:rFonts w:ascii="Corbel" w:eastAsia="Times New Roman" w:hAnsi="Corbel" w:cs="Times New Roman"/>
        </w:rPr>
      </w:pPr>
      <w:r w:rsidRPr="00D77AA8">
        <w:rPr>
          <w:rFonts w:ascii="Corbel" w:eastAsia="Times New Roman" w:hAnsi="Corbel" w:cs="Times New Roman"/>
        </w:rPr>
        <w:t>- la Legge Regionale n. 14 del 30 luglio 2015: “Disciplina a sostegno dell’inserimento lavorativo e dell’inclusione sociale delle persone in condizione di fragilità e vulnerabilità, attraverso l’integrazione tra i servizi pubblici del lavoro, sociali e sanitari”;</w:t>
      </w:r>
    </w:p>
    <w:p w:rsidR="00D77AA8" w:rsidRPr="00D77AA8" w:rsidRDefault="00D77AA8" w:rsidP="00D77AA8">
      <w:pPr>
        <w:shd w:val="clear" w:color="auto" w:fill="EFEFEF"/>
        <w:spacing w:after="0" w:line="20" w:lineRule="atLeast"/>
        <w:jc w:val="both"/>
        <w:rPr>
          <w:rFonts w:ascii="Corbel" w:eastAsia="Times New Roman" w:hAnsi="Corbel" w:cs="Times New Roman"/>
        </w:rPr>
      </w:pPr>
      <w:r w:rsidRPr="00D77AA8">
        <w:rPr>
          <w:rFonts w:ascii="Corbel" w:eastAsia="Times New Roman" w:hAnsi="Corbel" w:cs="Times New Roman"/>
        </w:rPr>
        <w:t>- la propria deliberazione n. 1230 del 1/8/2016: “Definizione ai sensi dell’art. 7 della L.R. 14/2015 “Disciplina a sostegno dell’inserimento lavorativo e dell’inclusione sociale delle persone in condizione di fragilità e vulnerabilità, attraverso l’integrazione tra i servizi pubblici del lavoro, sociali e sanitari” del nuovo ambito territoriale dei centri per l’impiego in coincidenza con il perimetro di competenza degli ambiti distrettuali”;</w:t>
      </w:r>
    </w:p>
    <w:p w:rsidR="00D77AA8" w:rsidRPr="00D77AA8" w:rsidRDefault="00D77AA8" w:rsidP="00D77AA8">
      <w:pPr>
        <w:shd w:val="clear" w:color="auto" w:fill="EFEFEF"/>
        <w:spacing w:after="0" w:line="20" w:lineRule="atLeast"/>
        <w:jc w:val="both"/>
        <w:rPr>
          <w:rFonts w:ascii="Corbel" w:eastAsia="Times New Roman" w:hAnsi="Corbel" w:cs="Times New Roman"/>
        </w:rPr>
      </w:pPr>
      <w:r w:rsidRPr="00D77AA8">
        <w:rPr>
          <w:rFonts w:ascii="Corbel" w:eastAsia="Times New Roman" w:hAnsi="Corbel" w:cs="Times New Roman"/>
        </w:rPr>
        <w:t>- la propria deliberazione n. 1959 del 21/11/2016 “Approvazione della disciplina in materia di Accreditamento dei Servizi per il Lavoro e definizione dell'elenco delle prestazioni dei Servizi per il Lavoro Pubblici e Privati Accreditati ai sensi degli artt. 34 e 35 della L.R. 1 agosto 2005, n. 17 e ss.mm.ii.”;</w:t>
      </w:r>
    </w:p>
    <w:p w:rsidR="00D77AA8" w:rsidRPr="00D77AA8" w:rsidRDefault="00D77AA8" w:rsidP="00D77AA8">
      <w:pPr>
        <w:shd w:val="clear" w:color="auto" w:fill="EFEFEF"/>
        <w:spacing w:after="0" w:line="20" w:lineRule="atLeast"/>
        <w:jc w:val="both"/>
        <w:rPr>
          <w:rFonts w:ascii="Corbel" w:eastAsia="Times New Roman" w:hAnsi="Corbel" w:cs="Times New Roman"/>
        </w:rPr>
      </w:pPr>
      <w:r w:rsidRPr="00D77AA8">
        <w:rPr>
          <w:rFonts w:ascii="Corbel" w:eastAsia="Times New Roman" w:hAnsi="Corbel" w:cs="Times New Roman"/>
        </w:rPr>
        <w:t xml:space="preserve">- la propria deliberazione n. 2189 del 28/12/2017 “Approvazione schema di convenzione tra Regione Emilia-Romagna, Direzione Generale economia della conoscenza, del lavoro e dell'impresa e Anpal Servizi S.p.A., a supporto delle politiche del lavoro </w:t>
      </w:r>
      <w:proofErr w:type="gramStart"/>
      <w:r w:rsidRPr="00D77AA8">
        <w:rPr>
          <w:rFonts w:ascii="Corbel" w:eastAsia="Times New Roman" w:hAnsi="Corbel" w:cs="Times New Roman"/>
        </w:rPr>
        <w:t>territoriali”-</w:t>
      </w:r>
      <w:proofErr w:type="gramEnd"/>
    </w:p>
    <w:p w:rsidR="00D77AA8" w:rsidRPr="00D77AA8" w:rsidRDefault="00D77AA8" w:rsidP="00D77AA8">
      <w:pPr>
        <w:shd w:val="clear" w:color="auto" w:fill="EFEFEF"/>
        <w:spacing w:after="0" w:line="20" w:lineRule="atLeast"/>
        <w:jc w:val="both"/>
        <w:rPr>
          <w:rFonts w:ascii="Corbel" w:eastAsia="Times New Roman" w:hAnsi="Corbel" w:cs="Times New Roman"/>
          <w:b/>
        </w:rPr>
      </w:pPr>
      <w:r w:rsidRPr="00D77AA8">
        <w:rPr>
          <w:rFonts w:ascii="Corbel" w:eastAsia="Times New Roman" w:hAnsi="Corbel" w:cs="Times New Roman"/>
          <w:b/>
        </w:rPr>
        <w:t xml:space="preserve">IL </w:t>
      </w:r>
      <w:r>
        <w:rPr>
          <w:rFonts w:ascii="Corbel" w:eastAsia="Times New Roman" w:hAnsi="Corbel" w:cs="Times New Roman"/>
          <w:b/>
        </w:rPr>
        <w:t>R</w:t>
      </w:r>
      <w:r w:rsidRPr="00D77AA8">
        <w:rPr>
          <w:rFonts w:ascii="Corbel" w:eastAsia="Times New Roman" w:hAnsi="Corbel" w:cs="Times New Roman"/>
          <w:b/>
        </w:rPr>
        <w:t>UOLO DELL’AGENZIA REGIONALE PER IL LAVORO</w:t>
      </w:r>
    </w:p>
    <w:p w:rsidR="00D77AA8" w:rsidRPr="00D77AA8" w:rsidRDefault="00D77AA8" w:rsidP="00D77AA8">
      <w:pPr>
        <w:shd w:val="clear" w:color="auto" w:fill="EFEFEF"/>
        <w:spacing w:after="0" w:line="20" w:lineRule="atLeast"/>
        <w:jc w:val="both"/>
        <w:rPr>
          <w:rFonts w:ascii="Corbel" w:eastAsia="Times New Roman" w:hAnsi="Corbel" w:cs="Times New Roman"/>
        </w:rPr>
      </w:pPr>
      <w:r w:rsidRPr="00D77AA8">
        <w:rPr>
          <w:rFonts w:ascii="Corbel" w:eastAsia="Times New Roman" w:hAnsi="Corbel" w:cs="Times New Roman"/>
        </w:rPr>
        <w:t xml:space="preserve">L’Agenzia Regionale per il Lavoro ai sensi di quanto previsto dalla Legge regionale n. 17/2005 e ss.mm.ii. </w:t>
      </w:r>
      <w:proofErr w:type="gramStart"/>
      <w:r w:rsidRPr="00D77AA8">
        <w:rPr>
          <w:rFonts w:ascii="Corbel" w:eastAsia="Times New Roman" w:hAnsi="Corbel" w:cs="Times New Roman"/>
        </w:rPr>
        <w:t>ha</w:t>
      </w:r>
      <w:proofErr w:type="gramEnd"/>
      <w:r w:rsidRPr="00D77AA8">
        <w:rPr>
          <w:rFonts w:ascii="Corbel" w:eastAsia="Times New Roman" w:hAnsi="Corbel" w:cs="Times New Roman"/>
        </w:rPr>
        <w:t xml:space="preserve"> il compito di eseguire gli indirizzi politici della Giunta regionale, condivisi con le istituzioni locali e le parti sociali, al fine di coordinare e rafforzare la rete dei servizi per il lavoro e offrire ai cittadini politiche attive di elevata qualità.</w:t>
      </w:r>
    </w:p>
    <w:p w:rsidR="00D77AA8" w:rsidRPr="00D77AA8" w:rsidRDefault="00D77AA8" w:rsidP="00D77AA8">
      <w:pPr>
        <w:shd w:val="clear" w:color="auto" w:fill="EFEFEF"/>
        <w:spacing w:after="0" w:line="20" w:lineRule="atLeast"/>
        <w:jc w:val="both"/>
        <w:rPr>
          <w:rFonts w:ascii="Corbel" w:eastAsia="Times New Roman" w:hAnsi="Corbel" w:cs="Times New Roman"/>
        </w:rPr>
      </w:pPr>
      <w:r w:rsidRPr="00D77AA8">
        <w:rPr>
          <w:rFonts w:ascii="Corbel" w:eastAsia="Times New Roman" w:hAnsi="Corbel" w:cs="Times New Roman"/>
        </w:rPr>
        <w:t xml:space="preserve">Anpal Servizi S.p.A. opera sotto il controllo dell’Agenzia nazionale delle politiche attive </w:t>
      </w:r>
      <w:proofErr w:type="gramStart"/>
      <w:r w:rsidRPr="00D77AA8">
        <w:rPr>
          <w:rFonts w:ascii="Corbel" w:eastAsia="Times New Roman" w:hAnsi="Corbel" w:cs="Times New Roman"/>
        </w:rPr>
        <w:t>( ANPAL</w:t>
      </w:r>
      <w:proofErr w:type="gramEnd"/>
      <w:r w:rsidRPr="00D77AA8">
        <w:rPr>
          <w:rFonts w:ascii="Corbel" w:eastAsia="Times New Roman" w:hAnsi="Corbel" w:cs="Times New Roman"/>
        </w:rPr>
        <w:t>), che ne determina indirizzi e obiettivi, per la promozione dell’occupazione in Italia e all’estero ed in particolare supporta l’Anpal:</w:t>
      </w:r>
    </w:p>
    <w:p w:rsidR="00D77AA8" w:rsidRPr="00D77AA8" w:rsidRDefault="00D77AA8" w:rsidP="00D77AA8">
      <w:pPr>
        <w:shd w:val="clear" w:color="auto" w:fill="EFEFEF"/>
        <w:spacing w:after="0" w:line="20" w:lineRule="atLeast"/>
        <w:jc w:val="both"/>
        <w:rPr>
          <w:rFonts w:ascii="Corbel" w:eastAsia="Times New Roman" w:hAnsi="Corbel" w:cs="Times New Roman"/>
        </w:rPr>
      </w:pPr>
      <w:r w:rsidRPr="00D77AA8">
        <w:rPr>
          <w:rFonts w:ascii="Corbel" w:eastAsia="Times New Roman" w:hAnsi="Corbel" w:cs="Times New Roman"/>
        </w:rPr>
        <w:t>- nella realizzazione delle politiche attive del lavoro a favore di persone in cerca di occupazione;</w:t>
      </w:r>
    </w:p>
    <w:p w:rsidR="00D77AA8" w:rsidRPr="00D77AA8" w:rsidRDefault="00D77AA8" w:rsidP="00D77AA8">
      <w:pPr>
        <w:shd w:val="clear" w:color="auto" w:fill="EFEFEF"/>
        <w:spacing w:after="0" w:line="20" w:lineRule="atLeast"/>
        <w:jc w:val="both"/>
        <w:rPr>
          <w:rFonts w:ascii="Corbel" w:eastAsia="Times New Roman" w:hAnsi="Corbel" w:cs="Times New Roman"/>
        </w:rPr>
      </w:pPr>
      <w:r w:rsidRPr="00D77AA8">
        <w:rPr>
          <w:rFonts w:ascii="Corbel" w:eastAsia="Times New Roman" w:hAnsi="Corbel" w:cs="Times New Roman"/>
        </w:rPr>
        <w:lastRenderedPageBreak/>
        <w:t>- nel rafforzamento dei servizi per l’impiego a favore delle fasce particolarmente svantaggiate (migranti, vittime di tratta e sfruttamento lavorativo, persone svantaggiate ai sensi della legge n. 381/1991 e del D.lgs. n. 276/2003 e beneficiari del reddito di inclusione);</w:t>
      </w:r>
    </w:p>
    <w:p w:rsidR="00D77AA8" w:rsidRPr="00D77AA8" w:rsidRDefault="00D77AA8" w:rsidP="00D77AA8">
      <w:pPr>
        <w:shd w:val="clear" w:color="auto" w:fill="EFEFEF"/>
        <w:spacing w:after="0" w:line="20" w:lineRule="atLeast"/>
        <w:jc w:val="both"/>
        <w:rPr>
          <w:rFonts w:ascii="Corbel" w:eastAsia="Times New Roman" w:hAnsi="Corbel" w:cs="Times New Roman"/>
        </w:rPr>
      </w:pPr>
      <w:r w:rsidRPr="00D77AA8">
        <w:rPr>
          <w:rFonts w:ascii="Corbel" w:eastAsia="Times New Roman" w:hAnsi="Corbel" w:cs="Times New Roman"/>
        </w:rPr>
        <w:t>- nella ricollocazione dei disoccupati in Naspi (Nuova assicurazione sociale per l’impiego), in Dis-Coll per collaboratori e precari o in Asdi (assegno di disoccupazione);</w:t>
      </w:r>
    </w:p>
    <w:p w:rsidR="00D77AA8" w:rsidRPr="00D77AA8" w:rsidRDefault="00D77AA8" w:rsidP="00D77AA8">
      <w:pPr>
        <w:shd w:val="clear" w:color="auto" w:fill="EFEFEF"/>
        <w:spacing w:after="0" w:line="20" w:lineRule="atLeast"/>
        <w:jc w:val="both"/>
        <w:rPr>
          <w:rFonts w:ascii="Corbel" w:eastAsia="Times New Roman" w:hAnsi="Corbel" w:cs="Times New Roman"/>
        </w:rPr>
      </w:pPr>
      <w:r w:rsidRPr="00D77AA8">
        <w:rPr>
          <w:rFonts w:ascii="Corbel" w:eastAsia="Times New Roman" w:hAnsi="Corbel" w:cs="Times New Roman"/>
        </w:rPr>
        <w:t>- nel rafforzamento del ruolo delle scuole, delle università e degli enti di formazione professionale nello sviluppo di percorsi di alternanza scuola-lavoro e di transizione istruzione-formazione-lavoro, anche attraverso i contratti di apprendistato di primo e terzo livello, e nella costruzione di relazioni stabili con le imprese.</w:t>
      </w:r>
    </w:p>
    <w:p w:rsidR="00D77AA8" w:rsidRPr="00D77AA8" w:rsidRDefault="00D77AA8" w:rsidP="00D77AA8">
      <w:pPr>
        <w:shd w:val="clear" w:color="auto" w:fill="EFEFEF"/>
        <w:spacing w:after="0" w:line="20" w:lineRule="atLeast"/>
        <w:jc w:val="both"/>
        <w:rPr>
          <w:rFonts w:ascii="Corbel" w:eastAsia="Times New Roman" w:hAnsi="Corbel" w:cs="Times New Roman"/>
        </w:rPr>
      </w:pPr>
      <w:r w:rsidRPr="00D77AA8">
        <w:rPr>
          <w:rFonts w:ascii="Corbel" w:eastAsia="Times New Roman" w:hAnsi="Corbel" w:cs="Times New Roman"/>
        </w:rPr>
        <w:t>In conformità a quanto previsto dall’art. 12, comma 3 del D.L. 4/2019, convertito in legge 28 marzo 2019 n. 26 il Piano sancito dalla Conferenza Stato Regioni nel mese di aprile 2019 stabilisce ruolo e ripartizione territoriale dei collaboratori contrattualizzati da Anpal Servizi S.p.A. per supportare i centri per l’impiego regionali nella prima fase di attuazione del Reddito di Cittadinanza.</w:t>
      </w:r>
    </w:p>
    <w:p w:rsidR="00D77AA8" w:rsidRPr="00D77AA8" w:rsidRDefault="00D77AA8" w:rsidP="00D77AA8">
      <w:pPr>
        <w:shd w:val="clear" w:color="auto" w:fill="EFEFEF"/>
        <w:spacing w:after="0" w:line="20" w:lineRule="atLeast"/>
        <w:jc w:val="both"/>
        <w:rPr>
          <w:rFonts w:ascii="Corbel" w:eastAsia="Times New Roman" w:hAnsi="Corbel" w:cs="Times New Roman"/>
        </w:rPr>
      </w:pPr>
      <w:r w:rsidRPr="00D77AA8">
        <w:rPr>
          <w:rFonts w:ascii="Corbel" w:eastAsia="Times New Roman" w:hAnsi="Corbel" w:cs="Times New Roman"/>
        </w:rPr>
        <w:t>La soprarichiamata norma demanda a successive convenzioni tra Anpal Servizi S.p.A. e le singole Amministrazioni regionali, da stipulare entro trenta giorni dalla data di adozione del Piano, “la definizione delle modalità di intervento con cui opera il personale dell'assistenza tecnica”, stabilendo che “nelle more della stipulazione delle convenzioni, sulla base delle indicazioni del Piano, i contingenti di risorse umane individuati nel Piano medesimo possono svolgere la propria attività presso le sedi territoriali delle Regioni”-</w:t>
      </w:r>
    </w:p>
    <w:p w:rsidR="00D77AA8" w:rsidRPr="00D77AA8" w:rsidRDefault="00D77AA8" w:rsidP="00D77AA8">
      <w:pPr>
        <w:shd w:val="clear" w:color="auto" w:fill="EFEFEF"/>
        <w:spacing w:after="0" w:line="20" w:lineRule="atLeast"/>
        <w:jc w:val="both"/>
        <w:rPr>
          <w:rFonts w:ascii="Corbel" w:eastAsia="Times New Roman" w:hAnsi="Corbel" w:cs="Times New Roman"/>
          <w:b/>
        </w:rPr>
      </w:pPr>
      <w:r w:rsidRPr="00D77AA8">
        <w:rPr>
          <w:rFonts w:ascii="Corbel" w:eastAsia="Times New Roman" w:hAnsi="Corbel" w:cs="Times New Roman"/>
          <w:b/>
        </w:rPr>
        <w:t xml:space="preserve">LA DISPOSIZIONE </w:t>
      </w:r>
    </w:p>
    <w:p w:rsidR="00D77AA8" w:rsidRPr="00D77AA8" w:rsidRDefault="00D77AA8" w:rsidP="00D77AA8">
      <w:pPr>
        <w:shd w:val="clear" w:color="auto" w:fill="EFEFEF"/>
        <w:spacing w:after="0" w:line="20" w:lineRule="atLeast"/>
        <w:jc w:val="both"/>
        <w:rPr>
          <w:rFonts w:ascii="Corbel" w:eastAsia="Times New Roman" w:hAnsi="Corbel" w:cs="Times New Roman"/>
        </w:rPr>
      </w:pPr>
      <w:r w:rsidRPr="00D77AA8">
        <w:rPr>
          <w:rFonts w:ascii="Corbel" w:eastAsia="Times New Roman" w:hAnsi="Corbel" w:cs="Times New Roman"/>
        </w:rPr>
        <w:t xml:space="preserve">Viene </w:t>
      </w:r>
      <w:proofErr w:type="gramStart"/>
      <w:r w:rsidRPr="00D77AA8">
        <w:rPr>
          <w:rFonts w:ascii="Corbel" w:eastAsia="Times New Roman" w:hAnsi="Corbel" w:cs="Times New Roman"/>
        </w:rPr>
        <w:t>approvato  lo</w:t>
      </w:r>
      <w:proofErr w:type="gramEnd"/>
      <w:r w:rsidRPr="00D77AA8">
        <w:rPr>
          <w:rFonts w:ascii="Corbel" w:eastAsia="Times New Roman" w:hAnsi="Corbel" w:cs="Times New Roman"/>
        </w:rPr>
        <w:t xml:space="preserve"> “Schema di Convenzione tra Regione Emilia-Romagna e Anpal Servizi S.p.A.”, quale allegato A</w:t>
      </w:r>
    </w:p>
    <w:p w:rsidR="00D77AA8" w:rsidRPr="00D77AA8" w:rsidRDefault="00D77AA8" w:rsidP="00D77AA8">
      <w:pPr>
        <w:shd w:val="clear" w:color="auto" w:fill="EFEFEF"/>
        <w:spacing w:after="0" w:line="20" w:lineRule="atLeast"/>
        <w:jc w:val="both"/>
        <w:rPr>
          <w:rFonts w:ascii="Corbel" w:hAnsi="Corbel" w:cs="CIDFont+F2"/>
          <w:color w:val="000000"/>
        </w:rPr>
      </w:pP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t>SCHEMA DI</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t>CONVENZIONE EX ART. 12, COMMA 3 DEL DECRETO LEGGE N.4/2019, CONVERTITO NELLA LEGGE N.26/2019</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t>TRA</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2"/>
          <w:color w:val="000000"/>
        </w:rPr>
        <w:t>Regione Emilia-Romagna</w:t>
      </w:r>
      <w:r w:rsidRPr="00D77AA8">
        <w:rPr>
          <w:rFonts w:ascii="Corbel" w:hAnsi="Corbel" w:cs="CIDFont+F1"/>
          <w:color w:val="000000"/>
        </w:rPr>
        <w:t>, con sede in Bologna, Viale Aldo Moro 52, rappresentata dal prof. Patrizio Bianchi - Assessore al coordinamento delle politiche europee allo sviluppo, scuola, formazione professionale, università, ricerca e lavoro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proofErr w:type="gramStart"/>
      <w:r w:rsidRPr="00D77AA8">
        <w:rPr>
          <w:rFonts w:ascii="Corbel" w:hAnsi="Corbel" w:cs="CIDFont+F1"/>
          <w:color w:val="000000"/>
        </w:rPr>
        <w:t>e</w:t>
      </w:r>
      <w:proofErr w:type="gramEnd"/>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2"/>
          <w:color w:val="000000"/>
        </w:rPr>
        <w:t>Anpal Servizi S.p.A.</w:t>
      </w:r>
      <w:r w:rsidRPr="00D77AA8">
        <w:rPr>
          <w:rFonts w:ascii="Corbel" w:hAnsi="Corbel" w:cs="CIDFont+F1"/>
          <w:color w:val="000000"/>
        </w:rPr>
        <w:t>, con sede in Roma, Via Guidubaldo del Monte 60, nella persona dell’Amministratore Unico, prof. Domenico Parisi</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t>VISTI:</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eastAsia="Arial Unicode MS" w:hAnsi="Corbel" w:cs="Arial Unicode MS"/>
          <w:color w:val="000000"/>
        </w:rPr>
        <w:t></w:t>
      </w:r>
      <w:r w:rsidRPr="00D77AA8">
        <w:rPr>
          <w:rFonts w:ascii="Corbel" w:eastAsia="CIDFont+F3" w:hAnsi="Corbel" w:cs="CIDFont+F3"/>
          <w:color w:val="000000"/>
        </w:rPr>
        <w:t xml:space="preserve"> </w:t>
      </w:r>
      <w:proofErr w:type="gramStart"/>
      <w:r w:rsidRPr="00D77AA8">
        <w:rPr>
          <w:rFonts w:ascii="Corbel" w:hAnsi="Corbel" w:cs="CIDFont+F1"/>
          <w:color w:val="000000"/>
        </w:rPr>
        <w:t>il</w:t>
      </w:r>
      <w:proofErr w:type="gramEnd"/>
      <w:r w:rsidRPr="00D77AA8">
        <w:rPr>
          <w:rFonts w:ascii="Corbel" w:hAnsi="Corbel" w:cs="CIDFont+F1"/>
          <w:color w:val="000000"/>
        </w:rPr>
        <w:t xml:space="preserve"> Titolo V della Costituzione Italiana e, in particolare, gli articoli 117, 118 e 119 relativi alla ripartizione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proofErr w:type="gramStart"/>
      <w:r w:rsidRPr="00D77AA8">
        <w:rPr>
          <w:rFonts w:ascii="Corbel" w:hAnsi="Corbel" w:cs="CIDFont+F1"/>
          <w:color w:val="000000"/>
        </w:rPr>
        <w:t>delle</w:t>
      </w:r>
      <w:proofErr w:type="gramEnd"/>
      <w:r w:rsidRPr="00D77AA8">
        <w:rPr>
          <w:rFonts w:ascii="Corbel" w:hAnsi="Corbel" w:cs="CIDFont+F1"/>
          <w:color w:val="000000"/>
        </w:rPr>
        <w:t xml:space="preserve"> competenze tra Stato e Regioni in materia di mercato del lavoro;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eastAsia="Arial Unicode MS" w:hAnsi="Corbel" w:cs="Arial Unicode MS"/>
          <w:color w:val="000000"/>
        </w:rPr>
        <w:t></w:t>
      </w:r>
      <w:r w:rsidRPr="00D77AA8">
        <w:rPr>
          <w:rFonts w:ascii="Corbel" w:eastAsia="CIDFont+F3" w:hAnsi="Corbel" w:cs="CIDFont+F3"/>
          <w:color w:val="000000"/>
        </w:rPr>
        <w:t xml:space="preserve"> </w:t>
      </w:r>
      <w:proofErr w:type="gramStart"/>
      <w:r w:rsidRPr="00D77AA8">
        <w:rPr>
          <w:rFonts w:ascii="Corbel" w:hAnsi="Corbel" w:cs="CIDFont+F1"/>
          <w:color w:val="000000"/>
        </w:rPr>
        <w:t>la</w:t>
      </w:r>
      <w:proofErr w:type="gramEnd"/>
      <w:r w:rsidRPr="00D77AA8">
        <w:rPr>
          <w:rFonts w:ascii="Corbel" w:hAnsi="Corbel" w:cs="CIDFont+F1"/>
          <w:color w:val="000000"/>
        </w:rPr>
        <w:t xml:space="preserve"> sentenza della Corte Costituzionale n. 363 del 19 dicembre 2003 che stabilisce che le Regioni possano avvalersi di Anpal Servizi S.p.A. (già Italia Lavoro S.p.A.) per azioni nel mercato del lavoro sulla base di specifici accordi;</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eastAsia="Arial Unicode MS" w:hAnsi="Corbel" w:cs="Arial Unicode MS"/>
          <w:color w:val="000000"/>
        </w:rPr>
        <w:t></w:t>
      </w:r>
      <w:r w:rsidRPr="00D77AA8">
        <w:rPr>
          <w:rFonts w:ascii="Corbel" w:eastAsia="CIDFont+F3" w:hAnsi="Corbel" w:cs="CIDFont+F3"/>
          <w:color w:val="000000"/>
        </w:rPr>
        <w:t xml:space="preserve"> </w:t>
      </w:r>
      <w:proofErr w:type="gramStart"/>
      <w:r w:rsidRPr="00D77AA8">
        <w:rPr>
          <w:rFonts w:ascii="Corbel" w:hAnsi="Corbel" w:cs="CIDFont+F1"/>
          <w:color w:val="000000"/>
        </w:rPr>
        <w:t>il</w:t>
      </w:r>
      <w:proofErr w:type="gramEnd"/>
      <w:r w:rsidRPr="00D77AA8">
        <w:rPr>
          <w:rFonts w:ascii="Corbel" w:hAnsi="Corbel" w:cs="CIDFont+F1"/>
          <w:color w:val="000000"/>
        </w:rPr>
        <w:t xml:space="preserve"> Decreto Legislativo 14 settembre 2015 n. 150 “Disposizioni per il riordino della normativa in materia di servizi per il lavoro e di politiche attive, ai sensi dell'articolo 1, comma 3, della legge 10 dicembre 2014, n. 183”, con particolare riferimento all’art. 13 “Sistema informativo unitario delle politiche del lavoro”;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eastAsia="Arial Unicode MS" w:hAnsi="Corbel" w:cs="Arial Unicode MS"/>
          <w:color w:val="000000"/>
        </w:rPr>
        <w:t></w:t>
      </w:r>
      <w:r w:rsidRPr="00D77AA8">
        <w:rPr>
          <w:rFonts w:ascii="Corbel" w:eastAsia="CIDFont+F3" w:hAnsi="Corbel" w:cs="CIDFont+F3"/>
          <w:color w:val="000000"/>
        </w:rPr>
        <w:t xml:space="preserve"> </w:t>
      </w:r>
      <w:proofErr w:type="gramStart"/>
      <w:r w:rsidRPr="00D77AA8">
        <w:rPr>
          <w:rFonts w:ascii="Corbel" w:hAnsi="Corbel" w:cs="CIDFont+F1"/>
          <w:color w:val="000000"/>
        </w:rPr>
        <w:t>il</w:t>
      </w:r>
      <w:proofErr w:type="gramEnd"/>
      <w:r w:rsidRPr="00D77AA8">
        <w:rPr>
          <w:rFonts w:ascii="Corbel" w:hAnsi="Corbel" w:cs="CIDFont+F1"/>
          <w:color w:val="000000"/>
        </w:rPr>
        <w:t xml:space="preserve"> Decreto del Ministro del Lavoro e delle Politiche sociali n. 4/2018 recante linee di indirizzo triennali in materia di politiche attive, che definisce i livelli essenziali delle prestazioni dei servizi per il lavoro;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eastAsia="Arial Unicode MS" w:hAnsi="Corbel" w:cs="Arial Unicode MS"/>
          <w:color w:val="000000"/>
        </w:rPr>
        <w:t></w:t>
      </w:r>
      <w:r w:rsidRPr="00D77AA8">
        <w:rPr>
          <w:rFonts w:ascii="Corbel" w:eastAsia="CIDFont+F3" w:hAnsi="Corbel" w:cs="CIDFont+F3"/>
          <w:color w:val="000000"/>
        </w:rPr>
        <w:t xml:space="preserve"> </w:t>
      </w:r>
      <w:proofErr w:type="gramStart"/>
      <w:r w:rsidRPr="00D77AA8">
        <w:rPr>
          <w:rFonts w:ascii="Corbel" w:hAnsi="Corbel" w:cs="CIDFont+F1"/>
          <w:color w:val="000000"/>
        </w:rPr>
        <w:t>la</w:t>
      </w:r>
      <w:proofErr w:type="gramEnd"/>
      <w:r w:rsidRPr="00D77AA8">
        <w:rPr>
          <w:rFonts w:ascii="Corbel" w:hAnsi="Corbel" w:cs="CIDFont+F1"/>
          <w:color w:val="000000"/>
        </w:rPr>
        <w:t xml:space="preserve"> legge 27 dicembre 2017, n. 205 “Bilancio di previsione dello Stato per l'anno finanziario 2018 e bilancio pluriennale per il triennio 2018-2020”, art. 1, commi 793 – 799, che stanzia risorse per il rafforzamento dei centri per l’impiego, per la stabilizzazione degli operatori in essi occupati e il reclutamento di ulteriore personale;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eastAsia="Arial Unicode MS" w:hAnsi="Corbel" w:cs="Arial Unicode MS"/>
          <w:color w:val="000000"/>
        </w:rPr>
        <w:t></w:t>
      </w:r>
      <w:r w:rsidRPr="00D77AA8">
        <w:rPr>
          <w:rFonts w:ascii="Corbel" w:eastAsia="CIDFont+F3" w:hAnsi="Corbel" w:cs="CIDFont+F3"/>
          <w:color w:val="000000"/>
        </w:rPr>
        <w:t xml:space="preserve"> </w:t>
      </w:r>
      <w:proofErr w:type="gramStart"/>
      <w:r w:rsidRPr="00D77AA8">
        <w:rPr>
          <w:rFonts w:ascii="Corbel" w:hAnsi="Corbel" w:cs="CIDFont+F1"/>
          <w:color w:val="000000"/>
        </w:rPr>
        <w:t>il</w:t>
      </w:r>
      <w:proofErr w:type="gramEnd"/>
      <w:r w:rsidRPr="00D77AA8">
        <w:rPr>
          <w:rFonts w:ascii="Corbel" w:hAnsi="Corbel" w:cs="CIDFont+F1"/>
          <w:color w:val="000000"/>
        </w:rPr>
        <w:t xml:space="preserve"> “Piano di rafforzamento dei servizi e delle misure di politica attiva del lavoro”, approvato con l’intesa della Conferenza Unificata del 21 dicembre 2017;</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eastAsia="Arial Unicode MS" w:hAnsi="Corbel" w:cs="Arial Unicode MS"/>
          <w:color w:val="000000"/>
        </w:rPr>
        <w:t></w:t>
      </w:r>
      <w:r w:rsidRPr="00D77AA8">
        <w:rPr>
          <w:rFonts w:ascii="Corbel" w:eastAsia="CIDFont+F3" w:hAnsi="Corbel" w:cs="CIDFont+F3"/>
          <w:color w:val="000000"/>
        </w:rPr>
        <w:t xml:space="preserve"> </w:t>
      </w:r>
      <w:proofErr w:type="gramStart"/>
      <w:r w:rsidRPr="00D77AA8">
        <w:rPr>
          <w:rFonts w:ascii="Corbel" w:hAnsi="Corbel" w:cs="CIDFont+F1"/>
          <w:color w:val="000000"/>
        </w:rPr>
        <w:t>la</w:t>
      </w:r>
      <w:proofErr w:type="gramEnd"/>
      <w:r w:rsidRPr="00D77AA8">
        <w:rPr>
          <w:rFonts w:ascii="Corbel" w:hAnsi="Corbel" w:cs="CIDFont+F1"/>
          <w:color w:val="000000"/>
        </w:rPr>
        <w:t xml:space="preserve"> legge 30 dicembre 2018, n. 145 “Bilancio di previsione dello Stato per l'anno finanziario 2019 e bilancio pluriennale per il triennio 2019-2021”, art. 1, comma 258 che stanzia ulteriori risorse finanziarie per il rafforzamento dei Centri per l’Impiego e per il reclutamento di ulteriori quattromila operatori;</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eastAsia="Arial Unicode MS" w:hAnsi="Corbel" w:cs="Arial Unicode MS"/>
          <w:color w:val="000000"/>
        </w:rPr>
        <w:lastRenderedPageBreak/>
        <w:t></w:t>
      </w:r>
      <w:r w:rsidRPr="00D77AA8">
        <w:rPr>
          <w:rFonts w:ascii="Corbel" w:eastAsia="CIDFont+F3" w:hAnsi="Corbel" w:cs="CIDFont+F3"/>
          <w:color w:val="000000"/>
        </w:rPr>
        <w:t xml:space="preserve"> </w:t>
      </w:r>
      <w:r w:rsidRPr="00D77AA8">
        <w:rPr>
          <w:rFonts w:ascii="Corbel" w:hAnsi="Corbel" w:cs="CIDFont+F1"/>
          <w:color w:val="000000"/>
        </w:rPr>
        <w:t>la legge 28 marzo 2019 n. 26 “Conversione in legge, con modificazioni, del decreto-legge 28 gennaio 2019, n. 4, recante disposizioni urgenti in materia di reddito di cittadinanza e di pensioni”, con particolare riferimento a: art. 4 “Patto per il lavoro e Patto per l'inclusione sociale”, art. 6 “Piattaforme digitali per l'attivazione e la gestione dei Patti e disposizioni sui centri di assistenza fiscale”, art. 9 “Assegno di ricollocazione”, art. 12 “Disposizioni finanziarie per l'attuazione del programma del Rdc”;</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eastAsia="Arial Unicode MS" w:hAnsi="Corbel" w:cs="Arial Unicode MS"/>
          <w:color w:val="000000"/>
        </w:rPr>
        <w:t></w:t>
      </w:r>
      <w:r w:rsidRPr="00D77AA8">
        <w:rPr>
          <w:rFonts w:ascii="Corbel" w:eastAsia="CIDFont+F3" w:hAnsi="Corbel" w:cs="CIDFont+F3"/>
          <w:color w:val="000000"/>
        </w:rPr>
        <w:t xml:space="preserve"> </w:t>
      </w:r>
      <w:r w:rsidRPr="00D77AA8">
        <w:rPr>
          <w:rFonts w:ascii="Corbel" w:hAnsi="Corbel" w:cs="CIDFont+F1"/>
          <w:color w:val="000000"/>
        </w:rPr>
        <w:t>l’Intesa, ai sensi dell’art. 8, comma 6, della legge 5 giugno 2003, n. 131 sul “Piano straordinario di potenziamento dei centri per l’impiego e delle politiche attive del lavoro” in attuazione dell’art. 12, comma 3, del decreto legge 29 gennaio 2019 n. 4, convertito in legge 28 marzo 2019 n. 26, sottoscritta in data 17 aprile 2019 in sede di Conferenza permanente per i rapporti tra Stato e Regioni (di seguito, anche “il Piano”);</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t>VISTI ALTRESÌ:</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eastAsia="Arial Unicode MS" w:hAnsi="Corbel" w:cs="Arial Unicode MS"/>
          <w:color w:val="000000"/>
        </w:rPr>
        <w:t></w:t>
      </w:r>
      <w:r w:rsidRPr="00D77AA8">
        <w:rPr>
          <w:rFonts w:ascii="Corbel" w:eastAsia="CIDFont+F3" w:hAnsi="Corbel" w:cs="CIDFont+F3"/>
          <w:color w:val="000000"/>
        </w:rPr>
        <w:t xml:space="preserve"> </w:t>
      </w:r>
      <w:r w:rsidRPr="00D77AA8">
        <w:rPr>
          <w:rFonts w:ascii="Corbel" w:hAnsi="Corbel" w:cs="CIDFont+F1"/>
          <w:color w:val="000000"/>
        </w:rPr>
        <w:t>Legge Regionale n. 12 del 30 giugno 2003 “Norme per l’uguaglianza delle opportunità di accesso al sapere, per ognuno e per tutto l’arco della vita, attraverso il rafforzamento dell’istruzione e della formazione professionale anche in integrazione tra loro” e ss.mm.ii;</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eastAsia="Arial Unicode MS" w:hAnsi="Corbel" w:cs="Arial Unicode MS"/>
          <w:color w:val="000000"/>
        </w:rPr>
        <w:t></w:t>
      </w:r>
      <w:r w:rsidRPr="00D77AA8">
        <w:rPr>
          <w:rFonts w:ascii="Corbel" w:eastAsia="CIDFont+F3" w:hAnsi="Corbel" w:cs="CIDFont+F3"/>
          <w:color w:val="000000"/>
        </w:rPr>
        <w:t xml:space="preserve"> </w:t>
      </w:r>
      <w:r w:rsidRPr="00D77AA8">
        <w:rPr>
          <w:rFonts w:ascii="Corbel" w:hAnsi="Corbel" w:cs="CIDFont+F1"/>
          <w:color w:val="000000"/>
        </w:rPr>
        <w:t xml:space="preserve">Legge Regionale n. 17 del 1 agosto 2005 “Norme per la promozione dell’occupazione, della qualità, sicurezza e regolarità del lavoro” e in particolare il capo III “Politiche attive per il lavoro” e </w:t>
      </w:r>
      <w:proofErr w:type="gramStart"/>
      <w:r w:rsidRPr="00D77AA8">
        <w:rPr>
          <w:rFonts w:ascii="Corbel" w:hAnsi="Corbel" w:cs="CIDFont+F1"/>
          <w:color w:val="000000"/>
        </w:rPr>
        <w:t>ss.mm.ii.;</w:t>
      </w:r>
      <w:proofErr w:type="gramEnd"/>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eastAsia="Arial Unicode MS" w:hAnsi="Corbel" w:cs="Arial Unicode MS"/>
          <w:color w:val="000000"/>
        </w:rPr>
        <w:t></w:t>
      </w:r>
      <w:r w:rsidRPr="00D77AA8">
        <w:rPr>
          <w:rFonts w:ascii="Corbel" w:eastAsia="CIDFont+F3" w:hAnsi="Corbel" w:cs="CIDFont+F3"/>
          <w:color w:val="000000"/>
        </w:rPr>
        <w:t xml:space="preserve"> </w:t>
      </w:r>
      <w:r w:rsidRPr="00D77AA8">
        <w:rPr>
          <w:rFonts w:ascii="Corbel" w:hAnsi="Corbel" w:cs="CIDFont+F1"/>
          <w:color w:val="000000"/>
        </w:rPr>
        <w:t xml:space="preserve">Legge Regionale n. 13 del 30 luglio 2015, “Riforma del Sistema di governo regionale e locale e disposizioni su Città Metropolitana di Bologna, Province, Comuni e loro Unioni” e </w:t>
      </w:r>
      <w:proofErr w:type="gramStart"/>
      <w:r w:rsidRPr="00D77AA8">
        <w:rPr>
          <w:rFonts w:ascii="Corbel" w:hAnsi="Corbel" w:cs="CIDFont+F1"/>
          <w:color w:val="000000"/>
        </w:rPr>
        <w:t>ss.mm.ii.,</w:t>
      </w:r>
      <w:proofErr w:type="gramEnd"/>
      <w:r w:rsidRPr="00D77AA8">
        <w:rPr>
          <w:rFonts w:ascii="Corbel" w:hAnsi="Corbel" w:cs="CIDFont+F1"/>
          <w:color w:val="000000"/>
        </w:rPr>
        <w:t xml:space="preserve"> che istituisce l’Agenzia Regionale per il Lavoro dell’Emilia-Romagna;</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eastAsia="Arial Unicode MS" w:hAnsi="Corbel" w:cs="Arial Unicode MS"/>
          <w:color w:val="000000"/>
        </w:rPr>
        <w:t></w:t>
      </w:r>
      <w:r w:rsidRPr="00D77AA8">
        <w:rPr>
          <w:rFonts w:ascii="Corbel" w:eastAsia="CIDFont+F3" w:hAnsi="Corbel" w:cs="CIDFont+F3"/>
          <w:color w:val="000000"/>
        </w:rPr>
        <w:t xml:space="preserve"> </w:t>
      </w:r>
      <w:r w:rsidRPr="00D77AA8">
        <w:rPr>
          <w:rFonts w:ascii="Corbel" w:hAnsi="Corbel" w:cs="CIDFont+F1"/>
          <w:color w:val="000000"/>
        </w:rPr>
        <w:t>Legge Regionale n. 14 del 30 luglio 2015: “Disciplina a sostegno dell’inserimento lavorativo e dell’inclusione sociale delle persone in condizione di fragilità e vulnerabilità, attraverso l’integrazione tra i servizi pubblici del lavoro, sociali e sanitari”;</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eastAsia="Arial Unicode MS" w:hAnsi="Corbel" w:cs="Arial Unicode MS"/>
          <w:color w:val="000000"/>
        </w:rPr>
        <w:t></w:t>
      </w:r>
      <w:r w:rsidRPr="00D77AA8">
        <w:rPr>
          <w:rFonts w:ascii="Corbel" w:eastAsia="CIDFont+F3" w:hAnsi="Corbel" w:cs="CIDFont+F3"/>
          <w:color w:val="000000"/>
        </w:rPr>
        <w:t xml:space="preserve"> </w:t>
      </w:r>
      <w:proofErr w:type="gramStart"/>
      <w:r w:rsidRPr="00D77AA8">
        <w:rPr>
          <w:rFonts w:ascii="Corbel" w:hAnsi="Corbel" w:cs="CIDFont+F1"/>
          <w:color w:val="000000"/>
        </w:rPr>
        <w:t>la</w:t>
      </w:r>
      <w:proofErr w:type="gramEnd"/>
      <w:r w:rsidRPr="00D77AA8">
        <w:rPr>
          <w:rFonts w:ascii="Corbel" w:hAnsi="Corbel" w:cs="CIDFont+F1"/>
          <w:color w:val="000000"/>
        </w:rPr>
        <w:t xml:space="preserve"> Deliberazione di Giunta Regionale n. 1230 del 01/08/2016: “Definizione ai sensi dell’art. 7 della L.R. 14/2015 “Disciplina a sostegno dell’inserimento lavorativo e dell’inclusione sociale delle persone in condizione di fragilità e vulnerabilità, attraverso l’integrazione tra i servizi pubblici del lavoro, sociali e sanitari del nuovo ambito territoriale dei centri per l’impiego in coincidenza con il perimetro di competenza degli ambiti distrettuali”;</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eastAsia="Arial Unicode MS" w:hAnsi="Corbel" w:cs="Arial Unicode MS"/>
          <w:color w:val="000000"/>
        </w:rPr>
        <w:t></w:t>
      </w:r>
      <w:r w:rsidRPr="00D77AA8">
        <w:rPr>
          <w:rFonts w:ascii="Corbel" w:eastAsia="CIDFont+F3" w:hAnsi="Corbel" w:cs="CIDFont+F3"/>
          <w:color w:val="000000"/>
        </w:rPr>
        <w:t xml:space="preserve"> </w:t>
      </w:r>
      <w:proofErr w:type="gramStart"/>
      <w:r w:rsidRPr="00D77AA8">
        <w:rPr>
          <w:rFonts w:ascii="Corbel" w:hAnsi="Corbel" w:cs="CIDFont+F1"/>
          <w:color w:val="000000"/>
        </w:rPr>
        <w:t>la</w:t>
      </w:r>
      <w:proofErr w:type="gramEnd"/>
      <w:r w:rsidRPr="00D77AA8">
        <w:rPr>
          <w:rFonts w:ascii="Corbel" w:hAnsi="Corbel" w:cs="CIDFont+F1"/>
          <w:color w:val="000000"/>
        </w:rPr>
        <w:t xml:space="preserve"> Deliberazione di Giunta Regionale n. 1959 del 21/11/2016 “Approvazione della disciplina in materia di Accreditamento dei Servizi per il Lavoro e definizione dell'elenco delle prestazioni dei Servizi per il Lavoro Pubblici e Privati Accreditati ai sensi degli Artt. 34 e 35 della L.R. 1° Agosto 2005, n. 17 e ss.mm.ii.”;</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eastAsia="Arial Unicode MS" w:hAnsi="Corbel" w:cs="Arial Unicode MS"/>
          <w:color w:val="000000"/>
        </w:rPr>
        <w:t></w:t>
      </w:r>
      <w:r w:rsidRPr="00D77AA8">
        <w:rPr>
          <w:rFonts w:ascii="Corbel" w:eastAsia="CIDFont+F3" w:hAnsi="Corbel" w:cs="CIDFont+F3"/>
          <w:color w:val="000000"/>
        </w:rPr>
        <w:t xml:space="preserve"> </w:t>
      </w:r>
      <w:proofErr w:type="gramStart"/>
      <w:r w:rsidRPr="00D77AA8">
        <w:rPr>
          <w:rFonts w:ascii="Corbel" w:hAnsi="Corbel" w:cs="CIDFont+F1"/>
          <w:color w:val="000000"/>
        </w:rPr>
        <w:t>la</w:t>
      </w:r>
      <w:proofErr w:type="gramEnd"/>
      <w:r w:rsidRPr="00D77AA8">
        <w:rPr>
          <w:rFonts w:ascii="Corbel" w:hAnsi="Corbel" w:cs="CIDFont+F1"/>
          <w:color w:val="000000"/>
        </w:rPr>
        <w:t xml:space="preserve"> Deliberazione di Giunta Regionale n. 2189 del 28/12/2017 “Approvazione schema di convenzione tra Regione Emilia-Romagna, direzione generale economia della conoscenza, del lavoro e dell'impresa e Anpal Servizi spa, a supporto delle politiche del lavoro territoriali”;</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t>CONSIDERATO CHE: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eastAsia="Arial Unicode MS" w:hAnsi="Corbel" w:cs="Arial Unicode MS"/>
          <w:color w:val="000000"/>
        </w:rPr>
        <w:t></w:t>
      </w:r>
      <w:r w:rsidRPr="00D77AA8">
        <w:rPr>
          <w:rFonts w:ascii="Corbel" w:eastAsia="CIDFont+F3" w:hAnsi="Corbel" w:cs="CIDFont+F3"/>
          <w:color w:val="000000"/>
        </w:rPr>
        <w:t xml:space="preserve"> </w:t>
      </w:r>
      <w:proofErr w:type="gramStart"/>
      <w:r w:rsidRPr="00D77AA8">
        <w:rPr>
          <w:rFonts w:ascii="Corbel" w:hAnsi="Corbel" w:cs="CIDFont+F1"/>
          <w:color w:val="000000"/>
        </w:rPr>
        <w:t>in</w:t>
      </w:r>
      <w:proofErr w:type="gramEnd"/>
      <w:r w:rsidRPr="00D77AA8">
        <w:rPr>
          <w:rFonts w:ascii="Corbel" w:hAnsi="Corbel" w:cs="CIDFont+F1"/>
          <w:color w:val="000000"/>
        </w:rPr>
        <w:t xml:space="preserve"> conformità a quanto previsto dall’art. 12, comma 3 del D.L. 4/2019, convertito in legge 28 marzo 2019 n. 26, il Piano sancito dalla Conferenza Stato Regioni nel mese di aprile 2019 stabilisce ruolo e ripartizione territoriale dei collaboratori contrattualizzati da Anpal Servizi S.p.A. per supportare i centri per l’impiego regionali nella prima fase di attuazione del Reddito di Cittadinanza;</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eastAsia="Arial Unicode MS" w:hAnsi="Corbel" w:cs="Arial Unicode MS"/>
          <w:color w:val="000000"/>
        </w:rPr>
        <w:t></w:t>
      </w:r>
      <w:r w:rsidRPr="00D77AA8">
        <w:rPr>
          <w:rFonts w:ascii="Corbel" w:eastAsia="CIDFont+F3" w:hAnsi="Corbel" w:cs="CIDFont+F3"/>
          <w:color w:val="000000"/>
        </w:rPr>
        <w:t xml:space="preserve"> </w:t>
      </w:r>
      <w:r w:rsidRPr="00D77AA8">
        <w:rPr>
          <w:rFonts w:ascii="Corbel" w:hAnsi="Corbel" w:cs="CIDFont+F1"/>
          <w:color w:val="000000"/>
        </w:rPr>
        <w:t>la richiamata norma demanda a successive convenzioni tra Anpal Servizi S.p.A. e le singole Amministrazioni regionali, da stipulare entro trenta giorni dalla data di adozione del Piano, “</w:t>
      </w:r>
      <w:r w:rsidRPr="00D77AA8">
        <w:rPr>
          <w:rFonts w:ascii="Corbel" w:hAnsi="Corbel" w:cs="CIDFont+F5"/>
          <w:color w:val="000000"/>
        </w:rPr>
        <w:t>la definizione delle modalità di intervento con cui opera il personale dell'assistenza tecnica</w:t>
      </w:r>
      <w:r w:rsidRPr="00D77AA8">
        <w:rPr>
          <w:rFonts w:ascii="Corbel" w:hAnsi="Corbel" w:cs="CIDFont+F1"/>
          <w:color w:val="000000"/>
        </w:rPr>
        <w:t>”, stabilendo che “</w:t>
      </w:r>
      <w:r w:rsidRPr="00D77AA8">
        <w:rPr>
          <w:rFonts w:ascii="Corbel" w:hAnsi="Corbel" w:cs="CIDFont+F5"/>
          <w:color w:val="000000"/>
        </w:rPr>
        <w:t>nelle more della stipulazione delle convenzioni, sulla base delle indicazioni del Piano, i contingenti di risorse umane individuati nel Piano medesimo possono svolgere la propria attività presso le sedi territoriali delle Regioni</w:t>
      </w:r>
      <w:r w:rsidRPr="00D77AA8">
        <w:rPr>
          <w:rFonts w:ascii="Corbel" w:hAnsi="Corbel" w:cs="CIDFont+F1"/>
          <w:color w:val="000000"/>
        </w:rPr>
        <w:t>”;</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t>Tutto quanto sopra visto e considerato da considerarsi parte integrante e sostanziale del presente atto, le Parti convengono quanto segue</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t>Articolo 1</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t>Finalità</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In conformità con quanto previsto dal Piano straordinario di potenziamento dei centri per l’impiego e delle politiche attive del lavoro, Anpal Servizi S.p.A. collabora con la Regione Emilia-Romagna e l’Agenzia Regionale per il Lavoro dell’Emilia-Romagna, per realizzare le politiche attive del lavoro collegate al Reddito di Cittadinanza, erogando le attività di assistenza tecnica per l’attuazione del Piano Regionale che, allegato al presente atto (All. 1), ne costituisce parte integrante e sostanziale.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Il Piano Regionale stabilisce le modalità di intervento con le quali sono svolte le attività di assistenza tecnica e quant’altro utile ad agevolare e rendere efficace l’attuazione del piano.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lastRenderedPageBreak/>
        <w:t>Le Parti si impegnano ad attuare le attività del Piano Regionale con spirito di leale collaborazione istituzionale.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La misura rappresenta l’attuazione di quanto previsto dalle disposizioni normative richiamate in premessa. Pertanto, Anpal Servizi S.p.A. si assume tutti gli oneri e le obbligazioni giuridiche derivanti dall’essere datore di lavoro. Spetta ad Anpal Servizi S.p.A. assicurare che il proprio personale operi secondo le modalità e finalità richiamate nelle norme, nel Piano e nel presente atto, con idoneo equipaggiamento (strumentazione informatica). Spetta alla Regione, attraverso la propria Agenzia Regionale per il Lavoro, coordinare tutte le attività previste dal Piano Regionale, comprese quelle di assistenza tecnica.</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L’Agenzia Regionale per il Lavoro dell’Emilia-Romagna recepirà con proprio atto, le disposizioni contenute nella presente convenzione e definirà le modalità operative per il trattamento dei dati personali.</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t>Articolo 2</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t>Modalità di collaborazione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I collaboratori di Anpal Servizi S.p.A. dovranno svolgere le attività di supporto e assistenza tecnica, affiancando gli operatori dei Centri per l’Impiego regionali, anche in attività dirette rivolte agli utenti nell’ambito di tutte le sedi di relativa competenza regionale, secondo le indicazioni dell’Agenzia Regionale per il Lavoro dell’Emilia-Romagna.</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I collaboratori di Anpal Servizi S.p.A. potranno accedere alle sedi dei Centri per l’Impiego dell’Agenzia Regionale per il Lavoro dell’Emilia-Romagna, utilizzando gli spazi disponibili di volta in volta, che verranno indicati loro dai referenti dei singoli uffici.</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Ogni collaboratore presterà assistenza tecnica al Centro per l’Impiego di riferimento che gli sarà indicato da Anpal Servizi S.p.A. sulla base della tabella al punto 6 del Piano Regionale allegato al presente atto (All. 1), che ne costituisce parte integrante e sostanziale.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Su richiesta dell’Agenzia Regionale per il Lavoro dell’Emilia-Romagna, in base ad esigenze logistiche dovute alla disponibilità di spazi e attrezzature o ad una diversa distribuzione del numero di beneficiari di Reddito di Cittadinanza da seguire, ogni collaboratore potrà anche prestare assistenza ad altri Centri per l’Impiego – diversi da quello di assegnazione - o a sedi distaccate dello stesso Centro per l’Impiego e comunque all’interno dello stesso ambito provinciale.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Le attività dei collaboratori di Anpal Servizi S.p.A. riguardano le: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eastAsia="Arial Unicode MS" w:hAnsi="Corbel" w:cs="Arial Unicode MS"/>
          <w:color w:val="000000"/>
        </w:rPr>
        <w:t></w:t>
      </w:r>
      <w:r w:rsidRPr="00D77AA8">
        <w:rPr>
          <w:rFonts w:ascii="Corbel" w:eastAsia="CIDFont+F3" w:hAnsi="Corbel" w:cs="CIDFont+F3"/>
          <w:color w:val="000000"/>
        </w:rPr>
        <w:t xml:space="preserve"> </w:t>
      </w:r>
      <w:proofErr w:type="gramStart"/>
      <w:r w:rsidRPr="00D77AA8">
        <w:rPr>
          <w:rFonts w:ascii="Corbel" w:hAnsi="Corbel" w:cs="CIDFont+F1"/>
          <w:color w:val="000000"/>
        </w:rPr>
        <w:t>azioni</w:t>
      </w:r>
      <w:proofErr w:type="gramEnd"/>
      <w:r w:rsidRPr="00D77AA8">
        <w:rPr>
          <w:rFonts w:ascii="Corbel" w:hAnsi="Corbel" w:cs="CIDFont+F1"/>
          <w:color w:val="000000"/>
        </w:rPr>
        <w:t xml:space="preserve"> di affiancamento e di supporto ai Centri Per l’Impiego nelle diverse fasi previste dal Reddito di cittadinanza, al fine di garantire uniformità del servizio;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eastAsia="Arial Unicode MS" w:hAnsi="Corbel" w:cs="Arial Unicode MS"/>
          <w:color w:val="000000"/>
        </w:rPr>
        <w:t></w:t>
      </w:r>
      <w:r w:rsidRPr="00D77AA8">
        <w:rPr>
          <w:rFonts w:ascii="Corbel" w:eastAsia="CIDFont+F3" w:hAnsi="Corbel" w:cs="CIDFont+F3"/>
          <w:color w:val="000000"/>
        </w:rPr>
        <w:t xml:space="preserve"> </w:t>
      </w:r>
      <w:proofErr w:type="gramStart"/>
      <w:r w:rsidRPr="00D77AA8">
        <w:rPr>
          <w:rFonts w:ascii="Corbel" w:hAnsi="Corbel" w:cs="CIDFont+F1"/>
          <w:color w:val="000000"/>
        </w:rPr>
        <w:t>attività</w:t>
      </w:r>
      <w:proofErr w:type="gramEnd"/>
      <w:r w:rsidRPr="00D77AA8">
        <w:rPr>
          <w:rFonts w:ascii="Corbel" w:hAnsi="Corbel" w:cs="CIDFont+F1"/>
          <w:color w:val="000000"/>
        </w:rPr>
        <w:t xml:space="preserve"> di affiancamento e di assistenza tecnica ai Centri Per l’Impiego per il supporto personalizzato ed individualizzato ai beneficiari del Reddito di cittadinanza garantendo il processo previsto dalla norma;</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eastAsia="Arial Unicode MS" w:hAnsi="Corbel" w:cs="Arial Unicode MS"/>
          <w:color w:val="000000"/>
        </w:rPr>
        <w:t></w:t>
      </w:r>
      <w:r w:rsidRPr="00D77AA8">
        <w:rPr>
          <w:rFonts w:ascii="Corbel" w:eastAsia="CIDFont+F3" w:hAnsi="Corbel" w:cs="CIDFont+F3"/>
          <w:color w:val="000000"/>
        </w:rPr>
        <w:t xml:space="preserve"> </w:t>
      </w:r>
      <w:proofErr w:type="gramStart"/>
      <w:r w:rsidRPr="00D77AA8">
        <w:rPr>
          <w:rFonts w:ascii="Corbel" w:hAnsi="Corbel" w:cs="CIDFont+F1"/>
          <w:color w:val="000000"/>
        </w:rPr>
        <w:t>attività</w:t>
      </w:r>
      <w:proofErr w:type="gramEnd"/>
      <w:r w:rsidRPr="00D77AA8">
        <w:rPr>
          <w:rFonts w:ascii="Corbel" w:hAnsi="Corbel" w:cs="CIDFont+F1"/>
          <w:color w:val="000000"/>
        </w:rPr>
        <w:t xml:space="preserve"> a supporto ed affiancamento ai Centri Per l’Impiego per il raccordo con il sistema delle imprese;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eastAsia="Arial Unicode MS" w:hAnsi="Corbel" w:cs="Arial Unicode MS"/>
          <w:color w:val="000000"/>
        </w:rPr>
        <w:t></w:t>
      </w:r>
      <w:r w:rsidRPr="00D77AA8">
        <w:rPr>
          <w:rFonts w:ascii="Corbel" w:eastAsia="CIDFont+F3" w:hAnsi="Corbel" w:cs="CIDFont+F3"/>
          <w:color w:val="000000"/>
        </w:rPr>
        <w:t xml:space="preserve"> </w:t>
      </w:r>
      <w:proofErr w:type="gramStart"/>
      <w:r w:rsidRPr="00D77AA8">
        <w:rPr>
          <w:rFonts w:ascii="Corbel" w:hAnsi="Corbel" w:cs="CIDFont+F1"/>
          <w:color w:val="000000"/>
        </w:rPr>
        <w:t>attività</w:t>
      </w:r>
      <w:proofErr w:type="gramEnd"/>
      <w:r w:rsidRPr="00D77AA8">
        <w:rPr>
          <w:rFonts w:ascii="Corbel" w:hAnsi="Corbel" w:cs="CIDFont+F1"/>
          <w:color w:val="000000"/>
        </w:rPr>
        <w:t xml:space="preserve"> di affiancamento e di supporto ai Centri Per l’Impiego finalizzate al raccordo con le strutture di istruzione e formazione per il Patto di formazione;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eastAsia="Arial Unicode MS" w:hAnsi="Corbel" w:cs="Arial Unicode MS"/>
          <w:color w:val="000000"/>
        </w:rPr>
        <w:t></w:t>
      </w:r>
      <w:r w:rsidRPr="00D77AA8">
        <w:rPr>
          <w:rFonts w:ascii="Corbel" w:eastAsia="CIDFont+F3" w:hAnsi="Corbel" w:cs="CIDFont+F3"/>
          <w:color w:val="000000"/>
        </w:rPr>
        <w:t xml:space="preserve"> </w:t>
      </w:r>
      <w:proofErr w:type="gramStart"/>
      <w:r w:rsidRPr="00D77AA8">
        <w:rPr>
          <w:rFonts w:ascii="Corbel" w:hAnsi="Corbel" w:cs="CIDFont+F1"/>
          <w:color w:val="000000"/>
        </w:rPr>
        <w:t>attività</w:t>
      </w:r>
      <w:proofErr w:type="gramEnd"/>
      <w:r w:rsidRPr="00D77AA8">
        <w:rPr>
          <w:rFonts w:ascii="Corbel" w:hAnsi="Corbel" w:cs="CIDFont+F1"/>
          <w:color w:val="000000"/>
        </w:rPr>
        <w:t xml:space="preserve"> di affiancamento e di supporto ai Centri Per l’Impiego nel rapporto con i Comuni per il Patto di inclusione;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eastAsia="Arial Unicode MS" w:hAnsi="Corbel" w:cs="Arial Unicode MS"/>
          <w:color w:val="000000"/>
        </w:rPr>
        <w:t></w:t>
      </w:r>
      <w:r w:rsidRPr="00D77AA8">
        <w:rPr>
          <w:rFonts w:ascii="Corbel" w:eastAsia="CIDFont+F3" w:hAnsi="Corbel" w:cs="CIDFont+F3"/>
          <w:color w:val="000000"/>
        </w:rPr>
        <w:t xml:space="preserve"> </w:t>
      </w:r>
      <w:proofErr w:type="gramStart"/>
      <w:r w:rsidRPr="00D77AA8">
        <w:rPr>
          <w:rFonts w:ascii="Corbel" w:hAnsi="Corbel" w:cs="CIDFont+F1"/>
          <w:color w:val="000000"/>
        </w:rPr>
        <w:t>attività</w:t>
      </w:r>
      <w:proofErr w:type="gramEnd"/>
      <w:r w:rsidRPr="00D77AA8">
        <w:rPr>
          <w:rFonts w:ascii="Corbel" w:hAnsi="Corbel" w:cs="CIDFont+F1"/>
          <w:color w:val="000000"/>
        </w:rPr>
        <w:t xml:space="preserve"> di affiancamento e di supporto ai Centri Per l’Impiego per il rispetto dei Livelli Essenziali delle Prestazioni.</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In particolare, il collaboratore di Anpal Servizi S.p.A., d’intesa con il responsabile del Centro Per l’Impiego: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eastAsia="Arial Unicode MS" w:hAnsi="Corbel" w:cs="Arial Unicode MS"/>
          <w:color w:val="000000"/>
        </w:rPr>
        <w:t></w:t>
      </w:r>
      <w:r w:rsidRPr="00D77AA8">
        <w:rPr>
          <w:rFonts w:ascii="Corbel" w:eastAsia="CIDFont+F3" w:hAnsi="Corbel" w:cs="CIDFont+F3"/>
          <w:color w:val="000000"/>
        </w:rPr>
        <w:t xml:space="preserve"> </w:t>
      </w:r>
      <w:proofErr w:type="gramStart"/>
      <w:r w:rsidRPr="00D77AA8">
        <w:rPr>
          <w:rFonts w:ascii="Corbel" w:hAnsi="Corbel" w:cs="CIDFont+F1"/>
          <w:color w:val="000000"/>
        </w:rPr>
        <w:t>affianca</w:t>
      </w:r>
      <w:proofErr w:type="gramEnd"/>
      <w:r w:rsidRPr="00D77AA8">
        <w:rPr>
          <w:rFonts w:ascii="Corbel" w:hAnsi="Corbel" w:cs="CIDFont+F1"/>
          <w:color w:val="000000"/>
        </w:rPr>
        <w:t xml:space="preserve"> e supporta gli operatori dei Centri Per l’Impiego nella definizione e qualificazione del piano personalizzato previsto dalla norma;</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eastAsia="Arial Unicode MS" w:hAnsi="Corbel" w:cs="Arial Unicode MS"/>
          <w:color w:val="000000"/>
        </w:rPr>
        <w:t></w:t>
      </w:r>
      <w:r w:rsidRPr="00D77AA8">
        <w:rPr>
          <w:rFonts w:ascii="Corbel" w:eastAsia="CIDFont+F3" w:hAnsi="Corbel" w:cs="CIDFont+F3"/>
          <w:color w:val="000000"/>
        </w:rPr>
        <w:t xml:space="preserve"> </w:t>
      </w:r>
      <w:proofErr w:type="gramStart"/>
      <w:r w:rsidRPr="00D77AA8">
        <w:rPr>
          <w:rFonts w:ascii="Corbel" w:hAnsi="Corbel" w:cs="CIDFont+F1"/>
          <w:color w:val="000000"/>
        </w:rPr>
        <w:t>svolge</w:t>
      </w:r>
      <w:proofErr w:type="gramEnd"/>
      <w:r w:rsidRPr="00D77AA8">
        <w:rPr>
          <w:rFonts w:ascii="Corbel" w:hAnsi="Corbel" w:cs="CIDFont+F1"/>
          <w:color w:val="000000"/>
        </w:rPr>
        <w:t xml:space="preserve"> una funzione di affiancamento e assistenza tecnica agli operatori dei Centri Per l’Impiego per il supporto dei beneficiari del Reddito di cittadinanza, sostenendo il percorso di inclusione socio lavorativa improntato alla reciproca responsabilità per garantire che il beneficiario porti a termine con successo il programma e raggiunga la propria autonomia;</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eastAsia="Arial Unicode MS" w:hAnsi="Corbel" w:cs="Arial Unicode MS"/>
          <w:color w:val="000000"/>
        </w:rPr>
        <w:t></w:t>
      </w:r>
      <w:r w:rsidRPr="00D77AA8">
        <w:rPr>
          <w:rFonts w:ascii="Corbel" w:eastAsia="CIDFont+F3" w:hAnsi="Corbel" w:cs="CIDFont+F3"/>
          <w:color w:val="000000"/>
        </w:rPr>
        <w:t xml:space="preserve"> </w:t>
      </w:r>
      <w:r w:rsidRPr="00D77AA8">
        <w:rPr>
          <w:rFonts w:ascii="Corbel" w:hAnsi="Corbel" w:cs="CIDFont+F1"/>
          <w:color w:val="000000"/>
        </w:rPr>
        <w:t>supporta ed affianca gli operatori dei Centri per l’Impiego nel raccordo con i servizi erogati dai diversi attori del mercato del lavoro a livello locale o regionale in relazione alle esigenze dei beneficiari, valorizzando tutte le opportunità offerte dai servizi nel territorio – a partire dalle esigenze espresse dalle imprese e dalle opportunità offerte dal sistema di istruzione e formazione professionale – per permettere ai beneficiari di individuare e superare gli ostacoli che incontrano nel percorso verso la realizzazione professionale, l’autonomia economica e la piena integrazione sociale nella propria comunità;</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eastAsia="Arial Unicode MS" w:hAnsi="Corbel" w:cs="Arial Unicode MS"/>
          <w:color w:val="000000"/>
        </w:rPr>
        <w:lastRenderedPageBreak/>
        <w:t></w:t>
      </w:r>
      <w:r w:rsidRPr="00D77AA8">
        <w:rPr>
          <w:rFonts w:ascii="Corbel" w:eastAsia="CIDFont+F3" w:hAnsi="Corbel" w:cs="CIDFont+F3"/>
          <w:color w:val="000000"/>
        </w:rPr>
        <w:t xml:space="preserve"> </w:t>
      </w:r>
      <w:proofErr w:type="gramStart"/>
      <w:r w:rsidRPr="00D77AA8">
        <w:rPr>
          <w:rFonts w:ascii="Corbel" w:hAnsi="Corbel" w:cs="CIDFont+F1"/>
          <w:color w:val="000000"/>
        </w:rPr>
        <w:t>collabora</w:t>
      </w:r>
      <w:proofErr w:type="gramEnd"/>
      <w:r w:rsidRPr="00D77AA8">
        <w:rPr>
          <w:rFonts w:ascii="Corbel" w:hAnsi="Corbel" w:cs="CIDFont+F1"/>
          <w:color w:val="000000"/>
        </w:rPr>
        <w:t xml:space="preserve"> con gli operatori dei Centri Per l’Impiego al fine di garantire la realizzazione delle diverse fasi del processo di servizio previsto dalla norma e assicurare i diritti e i doveri dei beneficiari.</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Anpal Servizi S.p.A. produce semestralmente alla Regione Emilia-Romagna, una relazione sulle attività svolte e sui risultati conseguiti. Dopo la prima relazione, le Parti potranno procedere a ridefinire le attività sulla base dei dati rilevati e dei risultati ottenuti.</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In ogni caso, le modalità d’intervento si intendono automaticamente adeguate all’evoluzione normativa e ai relativi atti e provvedimenti amministrativi di attuazione.</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t>Articolo 3</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t>Cabina di Regia</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Al fine di verificare e monitorare le attività previste dal Piano Regionale è costituita una Cabina di Regia composta, per la Regione Emilia-Romagna dal Direttore generale Economia della Conoscenza, del lavoro e dell’impresa e per l’Agenzia Regionale Per il Lavoro dell’Emilia-Romagna, dal suo Direttore, entrambi anche avvalendosi di dirigenti responsabili di specifici servizi e per Anpal Servizi S.p.A dal</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_____________________________</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La Cabina di Regia è il luogo nel quale le Parti condividono ogni informazione inerente la collaborazione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proofErr w:type="gramStart"/>
      <w:r w:rsidRPr="00D77AA8">
        <w:rPr>
          <w:rFonts w:ascii="Corbel" w:hAnsi="Corbel" w:cs="CIDFont+F1"/>
          <w:color w:val="000000"/>
        </w:rPr>
        <w:t>prevista</w:t>
      </w:r>
      <w:proofErr w:type="gramEnd"/>
      <w:r w:rsidRPr="00D77AA8">
        <w:rPr>
          <w:rFonts w:ascii="Corbel" w:hAnsi="Corbel" w:cs="CIDFont+F1"/>
          <w:color w:val="000000"/>
        </w:rPr>
        <w:t xml:space="preserve"> dal Piano Regionale.</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t>Articolo 4</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t>Sistemi Informativi</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La gestione delle attività verrà svolta attraverso i sistemi informativi regionali e nazionali disponibili al momento della sottoscrizione del presente atto, nonché dei successivi sviluppi, anche connessi all’attuazione dell’art. 6 del D.L. 4/2019 convertito in L.26/2019.</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Qualsiasi futura implementazione dei sistemi nazionali e delle applicazioni tecniche dovrà essere coerente con le regole di cooperazione applicativa e con i sistemi regionali.</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L’accesso dell’assistenza tecnica di Anpal Servizi S.p.A. ai sistemi informativi regionali avverrà secondo le modalità di riconoscimento in uso presso la Regione Emilia-Romagna e secondo profili e livelli di accesso ai dati definiti dall’Agenzia Regionale Per il Lavoro dell’Emilia-Romagna o dalla Regione stessa, limitatamente alle attività connesse all’attuazione delle politiche connesse al Reddito di cittadinanza.</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t>Articolo 5</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t>Formazione del personale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Anpal Servizi S.p.A. assicura che il personale sia stato adeguatamente formato rispetto alla materia oggetto del Piano Regionale, al tema della salute e sicurezza sui luoghi di lavoro, all’organizzazione del mercato del lavoro regionale, alle misure di politica attiva regionale e ai sistemi informativi in uso presso i Centri Per l’Impiego.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La Società assicura al proprio personale la dotazione di dispositivi funzionali alle attività da espletare.</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t>Articolo 6</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t>Trattamento dei dati personali</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Titolari dei dati personali sono la Regione Emilia-Romagna, e per le parti di competenza, l’Agenzia Regionale per il Lavoro dell’Emilia-Romagna, soggetti a cui unicamente spetta la definizione delle finalità e delle modalità del trattamento.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Anpal Servizi S.p.A. opera attraverso il suo personale, quale Responsabile del trattamento e, per gli effetti, non opera alcun trattamento ulteriore o differente rispetto a quelli definiti dalla Regione e dall’ l’Agenzia Regionale per il Lavoro dell’Emilia-Romagna.</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Il personale di Anpal Servizi S.p.A. è autorizzato a trattare i dati dell’utenza unicamente per le attività indicate all’articolo 2, con esclusione della possibilità di acquisire i dati e di copiare gli stessi su supporti o applicativi non indicati dalla Regione e dall’Agenzia Regionale per il Lavoro dell’Emilia-Romagna.</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Anpal Servizi S.p.A. assicura alla Regione e all’Agenzia Regionale per il Lavoro dell’Emilia-Romagna, la gestione di tutti gli adempimenti previsti dal Regolamento comunitario 2016/679, tra cui la tenuta del registro dei trattamenti e la formazione specifica dei propri collaboratori. Anpal Servizi S.p.A. comunica al Titolare ogni eventuale sub responsabile coinvolto nelle operazioni di cui alla presente convenzione.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Ulteriori atti individueranno i soggetti del trattamento della presente convenzione, ai sensi del Regolamento (UE) 2016/679.</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t>Articolo 7</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t>Durata della Convenzione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lastRenderedPageBreak/>
        <w:t>La presente Convenzione ha effetto dalla data della stipula fino al 31 dicembre 2022.</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t>Articolo 8</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t>Disposizioni finali</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Anpal Servizi S.p.A. si impegna a valutare le eventuali segnalazioni della Regione Emilia-Romagna o dell’Agenzia Regionale per il Lavoro dell’Emilia-Romagna, in ordine a comportamenti dei collaboratori di Anpal Servizi S.p.A. non in linea con il codice comportamentale della Regione, dell’Agenzia Regionale per il Lavoro dell’Emilia-Romagna e, in generale, con il codice di comportamento dei dipendenti pubblici e si impegna ad adottare tutte le misure necessarie alla risoluzione delle problematiche segnalate.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Per tutto quanto non disciplinato dalla presente Convenzione, si fa riferimento a quanto disposto nella normativa comunitaria, nazionale e regionale.</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t>Piano straordinario di potenziamento dei Centri Per l’Impiego e delle Politiche Attive del Lavoro</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t>REGIONE EMILIA ROMAGNA</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t>PIANO REGIONALE DI ASSISTENZA TECNICA DI ANPAL SERVIZI</w:t>
      </w:r>
    </w:p>
    <w:p w:rsidR="00D77AA8" w:rsidRPr="00D77AA8" w:rsidRDefault="00D77AA8" w:rsidP="00D77AA8">
      <w:pPr>
        <w:autoSpaceDE w:val="0"/>
        <w:autoSpaceDN w:val="0"/>
        <w:adjustRightInd w:val="0"/>
        <w:spacing w:after="0" w:line="20" w:lineRule="atLeast"/>
        <w:jc w:val="both"/>
        <w:rPr>
          <w:rFonts w:ascii="Corbel" w:eastAsia="CIDFont+F3" w:hAnsi="Corbel" w:cs="CIDFont+F3"/>
          <w:color w:val="2E74B6"/>
        </w:rPr>
      </w:pPr>
      <w:r w:rsidRPr="00D77AA8">
        <w:rPr>
          <w:rFonts w:ascii="Corbel" w:eastAsia="CIDFont+F3" w:hAnsi="Corbel" w:cs="CIDFont+F3"/>
          <w:color w:val="2E74B6"/>
        </w:rPr>
        <w:t>1 Premessa</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Il presente Piano costituisce parte integrante della Convenzione che la Regione Emilia-Romagna stipula con Anpal Servizi S.p.A. per lo sviluppo e l’implementazione del Reddito di cittadinanza.</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Nello specifico, così come previsto nell’Intesa sottoscritta tra Stato e Regioni il 17 aprile 2019, sono descritte le modalità di intervento con cui l’assistenza tecnica, rivolta al potenziamento dei Centri Per l’Impiego e delle politiche attive del lavoro alla luce dell’introduzione del Reddito di cittadinanza e alla realizzazione di eventuali azioni di sistema, si esplica sul territorio regionale.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Il Piano si integra con le azioni previste nell’ambito del Piano operativo di Anpal Servizi 2017-2020, finanziato dal PON SPAO e oggetto di Convenzione stipulata tra Regione Emilia-Romagna e Anpal Servizi S.p.A. in data 17/01/2018 , al fine di garantire la piena sinergia tra le nuove azioni relative all’implementazione del Reddito di cittadinanza, in questa sede descritte, e le attività di assistenza tecnica realizzate da Anpal Servizi S.p.A. nei confronti, in particolare, dei Servizi Per il Lavoro, degli Istituti di Istruzione e Formazione e delle imprese.</w:t>
      </w:r>
    </w:p>
    <w:p w:rsidR="00D77AA8" w:rsidRPr="00D77AA8" w:rsidRDefault="00D77AA8" w:rsidP="00D77AA8">
      <w:pPr>
        <w:autoSpaceDE w:val="0"/>
        <w:autoSpaceDN w:val="0"/>
        <w:adjustRightInd w:val="0"/>
        <w:spacing w:after="0" w:line="20" w:lineRule="atLeast"/>
        <w:jc w:val="both"/>
        <w:rPr>
          <w:rFonts w:ascii="Corbel" w:eastAsia="CIDFont+F3" w:hAnsi="Corbel" w:cs="CIDFont+F3"/>
          <w:color w:val="2E74B6"/>
        </w:rPr>
      </w:pPr>
      <w:r w:rsidRPr="00D77AA8">
        <w:rPr>
          <w:rFonts w:ascii="Corbel" w:eastAsia="CIDFont+F3" w:hAnsi="Corbel" w:cs="CIDFont+F3"/>
          <w:color w:val="2E74B6"/>
        </w:rPr>
        <w:t>2 Il sistema informativo a supporto della misura del Reddito di cittadinanza</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Il sistema informativo supporta le fasi del percorso relative al Reddito di cittadinanza come illustrato sinteticamente nella Figura 1.</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La piattaforma digitale per l’attivazione e la gestione dei Patti per il lavoro istituita presso ANPAL, così come previsto all’articolo 6, comma 1, del decreto-legge 28 gennaio 2019, n. 4, convertito con modificazioni in L. 26/2019, si compone di tutti gli strumenti utili per l’attivazione e gestione del Patto per il lavoro a favore dei Centri Per l’Impiego. La piattaforma digitale si avvale del sistema di cooperazione applicativa con i sistemi informativi regionali del lavoro per lo scambio e la condivisione delle informazioni, così come previsto all’articolo 13 del decreto -legislativo 14 settembre 2015, n. 150, e si compone di due sezioni, una per ciascuna delle finalità di cui all’articolo 3, comma 5:</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5"/>
          <w:color w:val="000000"/>
        </w:rPr>
        <w:t xml:space="preserve">- </w:t>
      </w:r>
      <w:r w:rsidRPr="00D77AA8">
        <w:rPr>
          <w:rFonts w:ascii="Corbel" w:hAnsi="Corbel" w:cs="CIDFont+F1"/>
          <w:color w:val="000000"/>
        </w:rPr>
        <w:t>il Sistema per la gestione dei flussi dati amministrativi e della condizionalità;</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5"/>
          <w:color w:val="000000"/>
        </w:rPr>
        <w:t xml:space="preserve">- </w:t>
      </w:r>
      <w:r w:rsidRPr="00D77AA8">
        <w:rPr>
          <w:rFonts w:ascii="Corbel" w:hAnsi="Corbel" w:cs="CIDFont+F1"/>
          <w:color w:val="000000"/>
        </w:rPr>
        <w:t>il Sistema per la fruizione continua dei servizi di accompagnamento che prevede la registrazione dei beneficiari per l’assolvimento dell’obbligo di cui al decreto legge 28 gennaio 2019, n. 4, convertito, con modificazioni, dalla legge 28 marzo 2019, n. 26, art 4, comma 8 per la ricerca attiva del lavoro.</w:t>
      </w:r>
    </w:p>
    <w:p w:rsidR="00D77AA8" w:rsidRPr="00D77AA8" w:rsidRDefault="00D77AA8" w:rsidP="00D77AA8">
      <w:pPr>
        <w:autoSpaceDE w:val="0"/>
        <w:autoSpaceDN w:val="0"/>
        <w:adjustRightInd w:val="0"/>
        <w:spacing w:after="0" w:line="20" w:lineRule="atLeast"/>
        <w:jc w:val="both"/>
        <w:rPr>
          <w:rFonts w:ascii="Corbel" w:hAnsi="Corbel" w:cs="CIDFont+F7"/>
          <w:color w:val="44546A"/>
        </w:rPr>
      </w:pPr>
      <w:r w:rsidRPr="00D77AA8">
        <w:rPr>
          <w:rFonts w:ascii="Corbel" w:hAnsi="Corbel" w:cs="CIDFont+F2"/>
          <w:color w:val="000000"/>
        </w:rPr>
        <w:t xml:space="preserve">Allegato 1 </w:t>
      </w:r>
      <w:r w:rsidRPr="00D77AA8">
        <w:rPr>
          <w:rFonts w:ascii="Corbel" w:hAnsi="Corbel" w:cs="CIDFont+F1"/>
          <w:color w:val="000000"/>
        </w:rPr>
        <w:t xml:space="preserve">– Piano Regionale di Assistenza Tecnica di Anpal Servizi </w:t>
      </w:r>
      <w:r w:rsidRPr="00D77AA8">
        <w:rPr>
          <w:rFonts w:ascii="Corbel" w:hAnsi="Corbel" w:cs="CIDFont+F7"/>
          <w:color w:val="44546A"/>
        </w:rPr>
        <w:t>Figura 1 - Sistema informativo RdC</w:t>
      </w:r>
    </w:p>
    <w:p w:rsidR="00D77AA8" w:rsidRPr="00D77AA8" w:rsidRDefault="00D77AA8" w:rsidP="00D77AA8">
      <w:pPr>
        <w:autoSpaceDE w:val="0"/>
        <w:autoSpaceDN w:val="0"/>
        <w:adjustRightInd w:val="0"/>
        <w:spacing w:after="0" w:line="20" w:lineRule="atLeast"/>
        <w:jc w:val="both"/>
        <w:rPr>
          <w:rFonts w:ascii="Corbel" w:eastAsia="CIDFont+F3" w:hAnsi="Corbel" w:cs="CIDFont+F3"/>
          <w:color w:val="2E74B6"/>
        </w:rPr>
      </w:pPr>
      <w:r w:rsidRPr="00D77AA8">
        <w:rPr>
          <w:rFonts w:ascii="Corbel" w:eastAsia="CIDFont+F3" w:hAnsi="Corbel" w:cs="CIDFont+F3"/>
          <w:color w:val="2E74B6"/>
        </w:rPr>
        <w:t>3 Il percorso del Reddito di cittadinanza</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Le azioni necessarie per la gestione delle attività rivolte ai beneficiari del Reddito di cittadinanza possono essere ricomprese nelle seguenti fasi principali, in attuazione della normativa vigente: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 Fase 1: Registrazione nel sistema nazionale online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 Fase2: Convocazione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 Fase 3: Primo appuntamento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 Fase 4: Percorso per la sottoscrizione del Patto per il Lavoro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 Fase 5: Elaborazione e sottoscrizione del Patto per il lavoro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 Fase 6: Attuazione del Patto per il Lavoro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 Fase 7: Realizzazione delle attività relative alla fruizione dell’Assegno Di Ricollocazione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 Fase 8: Verifica della consultazione del sistema nazionale online per l’incontro domanda offerta</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 Fase 9: Offerta congrua di lavoro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lastRenderedPageBreak/>
        <w:t>Di seguito si riportano: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5"/>
          <w:color w:val="000000"/>
        </w:rPr>
        <w:t xml:space="preserve">- </w:t>
      </w:r>
      <w:r w:rsidRPr="00D77AA8">
        <w:rPr>
          <w:rFonts w:ascii="Corbel" w:hAnsi="Corbel" w:cs="CIDFont+F1"/>
          <w:color w:val="000000"/>
        </w:rPr>
        <w:t>le azioni relative ad ogni singola fase con il relativo schema logico per l’adempimento degli obblighi e la verifica del mantenimento del Reddito di cittadinanza</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5"/>
          <w:color w:val="000000"/>
        </w:rPr>
        <w:t xml:space="preserve">- </w:t>
      </w:r>
      <w:r w:rsidRPr="00D77AA8">
        <w:rPr>
          <w:rFonts w:ascii="Corbel" w:hAnsi="Corbel" w:cs="CIDFont+F1"/>
          <w:color w:val="000000"/>
        </w:rPr>
        <w:t>le professionalità necessarie e le modalità di assistenza tecnica ai Centri Per l’Impiego.</w:t>
      </w:r>
    </w:p>
    <w:p w:rsidR="00D77AA8" w:rsidRPr="00D77AA8" w:rsidRDefault="00D77AA8" w:rsidP="00D77AA8">
      <w:pPr>
        <w:autoSpaceDE w:val="0"/>
        <w:autoSpaceDN w:val="0"/>
        <w:adjustRightInd w:val="0"/>
        <w:spacing w:after="0" w:line="20" w:lineRule="atLeast"/>
        <w:jc w:val="both"/>
        <w:rPr>
          <w:rFonts w:ascii="Corbel" w:eastAsia="CIDFont+F3" w:hAnsi="Corbel" w:cs="CIDFont+F3"/>
          <w:color w:val="2E74B6"/>
        </w:rPr>
      </w:pPr>
      <w:r w:rsidRPr="00D77AA8">
        <w:rPr>
          <w:rFonts w:ascii="Corbel" w:eastAsia="CIDFont+F3" w:hAnsi="Corbel" w:cs="CIDFont+F3"/>
          <w:color w:val="2E74B6"/>
        </w:rPr>
        <w:t>3.1 Le fasi del percorso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Le fasi per la presa in carico da parte dei Centri Per l’Impiego dei beneficiari del Reddito di cittadinanza - che ai sensi dell’articolo 1, comma 1 del DL n. 4/2019, convertito con modificazioni in L. 26/2019, costituisce un LEP - devono essere coerenti con quanto sancito nel DM n. 4/2018, che specifica i Livelli Essenziali delle Prestazioni dei servizi per il lavoro. Di seguito, si riporta lo schema logico del percorso finalizzato alla presa in carico degli utenti beneficiari del reddito, con l’esplicitazione delle relative fasi.</w:t>
      </w:r>
    </w:p>
    <w:p w:rsidR="00D77AA8" w:rsidRPr="00D77AA8" w:rsidRDefault="00D77AA8" w:rsidP="00D77AA8">
      <w:pPr>
        <w:autoSpaceDE w:val="0"/>
        <w:autoSpaceDN w:val="0"/>
        <w:adjustRightInd w:val="0"/>
        <w:spacing w:after="0" w:line="20" w:lineRule="atLeast"/>
        <w:jc w:val="both"/>
        <w:rPr>
          <w:rFonts w:ascii="Corbel" w:eastAsia="CIDFont+F3" w:hAnsi="Corbel" w:cs="CIDFont+F3"/>
          <w:color w:val="2E74B6"/>
        </w:rPr>
      </w:pPr>
      <w:r w:rsidRPr="00D77AA8">
        <w:rPr>
          <w:rFonts w:ascii="Corbel" w:eastAsia="CIDFont+F3" w:hAnsi="Corbel" w:cs="CIDFont+F3"/>
          <w:color w:val="2E74B6"/>
        </w:rPr>
        <w:t>3.2 Professionalità necessarie e modalità di assistenza tecnica ai Centri Per l’Impiego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Per l’assistenza tecnica ai Centri Per l’Impiego, Anpal Servizi si avvarrà di n. 165 Navigator selezionati sulla base di quanto indicato dal DL 4/2019 convertito in L 26/2019. In particolare, i Navigator, dovranno svolgere le attività di assistenza tecnica, supportando gli operatori dei Centri Per l’Impiego, nell’ambito di tutte le sedi di relativa competenza regionale, nell’attuazione del presente Piano, secondo le indicazioni dell’Agenzia Regionale per il Lavoro e d’intesa con il responsabile del Centro Per l’Impiego.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La realizzazione delle fasi del percorso per l’attuazione del Reddito di cittadinanza sarà gestita dall’Agenzia Regionale per il Lavoro e dai suoi Centri Per l’Impiego in collaborazione con altri attori del mercato del lavoro e con l’assistenza tecnica di Anpal Servizi, secondo lo schema logico di cui alla figura 2.</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In particolare, il Navigator svolge: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 azioni di affiancamento e supporto ai Centri Per l’Impiego nelle diverse fasi previste dal Reddito di cittadinanza, al fine di garantire uniformità del servizio;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 attività di affiancamento e assistenza tecnica ai Centri Per l’Impiego per il supporto personalizzato ed individualizzato ai beneficiari del Reddito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proofErr w:type="gramStart"/>
      <w:r w:rsidRPr="00D77AA8">
        <w:rPr>
          <w:rFonts w:ascii="Corbel" w:hAnsi="Corbel" w:cs="CIDFont+F1"/>
          <w:color w:val="000000"/>
        </w:rPr>
        <w:t>garantendo</w:t>
      </w:r>
      <w:proofErr w:type="gramEnd"/>
      <w:r w:rsidRPr="00D77AA8">
        <w:rPr>
          <w:rFonts w:ascii="Corbel" w:hAnsi="Corbel" w:cs="CIDFont+F1"/>
          <w:color w:val="000000"/>
        </w:rPr>
        <w:t xml:space="preserve"> il processo previsto dalla norma;</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 attività a supporto ed affiancamento ai Centri Per l’Impiego per il raccordo con il sistema delle imprese;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 attività di affiancamento e di supporto ai Centri Per l’Impiego finalizzate al raccordo con le strutture di istruzione e formazione per il Patto di formazione;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 attività di affiancamento e di supporto ai Centri Per l’Impiego nel rapporto con i Comuni per il Patto di inclusione;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 attività di affiancamento e di supporto ai Centri Per l’Impiego per il rispetto dei LEP.</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In particolare, il Navigator, d’intesa con il responsabile del Centro Per l’Impiego: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 affianca e supporta gli operatori dei Centri Per l’Impiego nella definizione e qualificazione del piano personalizzato previsto dalla norma (cfr. Fase 6 del percorso);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2"/>
          <w:color w:val="000000"/>
        </w:rPr>
        <w:t xml:space="preserve">Allegato 1 </w:t>
      </w:r>
      <w:r w:rsidRPr="00D77AA8">
        <w:rPr>
          <w:rFonts w:ascii="Corbel" w:hAnsi="Corbel" w:cs="CIDFont+F1"/>
          <w:color w:val="000000"/>
        </w:rPr>
        <w:t>– Piano Regionale di Assistenza Tecnica di Anpal Servizi</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 svolge una funzione di affiancamento e assistenza tecnica agli operatori dei Centri Per l’Impiego per il supporto ai beneficiari del Reddito di cittadinanza sostenendo il percorso di inclusione socio-lavorativa, improntato alla reciproca responsabilità per garantire che il beneficiario porti a termine con successo il programma e raggiunga la propria autonomia (cfr. Fase 5 del percorso);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 supporta ed affianca gli operatori dei Centri Per l’Impiego nel raccordo con i servizi erogati dai diversi attori del mercato del lavoro a livello locale o regionale in relazione alle esigenze dei beneficiari, valorizzando tutte le opportunità offerte dai servizi nel territorio - a partire dalle esigenze espresse dalle imprese e dalle opportunità offerte dal sistema di istruzione e formazione - per permettere ai beneficiari di individuare e superare gli ostacoli che incontrano nel percorso verso la realizzazione professionale, l’autonomia economica e la piena integrazione sociale nella propria comunità (cfr.</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Fasi 6 e 9 del percorso);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 collabora con gli operatori dei Centri Per l’Impiego al fine di garantire la realizzazione delle diverse fasi del processo di servizio previsto dalla norma e assicurare i diritti e i doveri dei beneficiari.</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Di seguito si riporta una matrice che descrive nel dettaglio le fasi n. 2, 3, 4, 5, 6, 7 e n. 9 del percorso del Reddito di cittadinanza, nelle quali interviene la figura del Navigator, evidenziando le seguenti caratteristiche: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 Strumenti utilizzati</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 Compiti del beneficiario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lastRenderedPageBreak/>
        <w:t>- Compiti dei Centri Per l’Impiego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 Assistenza tecnica di Anpal Servizi con riferimento ai Navigator</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Lo schema quadro propone l’intera gamma delle attività che i Navigator possono svolgere a supporto e in assistenza ai Centri Per l’Impiego nell’attuazione delle politiche attive connesse alla fruizione del Reddito di cittadinanza.</w:t>
      </w:r>
    </w:p>
    <w:p w:rsidR="00D77AA8" w:rsidRPr="00D77AA8" w:rsidRDefault="00D77AA8" w:rsidP="00D77AA8">
      <w:pPr>
        <w:autoSpaceDE w:val="0"/>
        <w:autoSpaceDN w:val="0"/>
        <w:adjustRightInd w:val="0"/>
        <w:spacing w:after="0" w:line="20" w:lineRule="atLeast"/>
        <w:jc w:val="both"/>
        <w:rPr>
          <w:rFonts w:ascii="Corbel" w:hAnsi="Corbel" w:cs="CIDFont+F2"/>
          <w:color w:val="002060"/>
        </w:rPr>
      </w:pPr>
      <w:r w:rsidRPr="00D77AA8">
        <w:rPr>
          <w:rFonts w:ascii="Corbel" w:hAnsi="Corbel" w:cs="CIDFont+F2"/>
          <w:color w:val="002060"/>
        </w:rPr>
        <w:t>N° FASE PROCESSO DESCRIZIONE FASE STRUMENTI BENEFICIARIO RDC CPI</w:t>
      </w:r>
    </w:p>
    <w:p w:rsidR="00D77AA8" w:rsidRPr="00D77AA8" w:rsidRDefault="00D77AA8" w:rsidP="00D77AA8">
      <w:pPr>
        <w:autoSpaceDE w:val="0"/>
        <w:autoSpaceDN w:val="0"/>
        <w:adjustRightInd w:val="0"/>
        <w:spacing w:after="0" w:line="20" w:lineRule="atLeast"/>
        <w:jc w:val="both"/>
        <w:rPr>
          <w:rFonts w:ascii="Corbel" w:hAnsi="Corbel" w:cs="CIDFont+F2"/>
          <w:color w:val="002060"/>
        </w:rPr>
      </w:pPr>
      <w:r w:rsidRPr="00D77AA8">
        <w:rPr>
          <w:rFonts w:ascii="Corbel" w:hAnsi="Corbel" w:cs="CIDFont+F2"/>
          <w:color w:val="002060"/>
        </w:rPr>
        <w:t>ANPAL SERVIZI</w:t>
      </w:r>
    </w:p>
    <w:p w:rsidR="00D77AA8" w:rsidRPr="00D77AA8" w:rsidRDefault="00D77AA8" w:rsidP="00D77AA8">
      <w:pPr>
        <w:autoSpaceDE w:val="0"/>
        <w:autoSpaceDN w:val="0"/>
        <w:adjustRightInd w:val="0"/>
        <w:spacing w:after="0" w:line="20" w:lineRule="atLeast"/>
        <w:jc w:val="both"/>
        <w:rPr>
          <w:rFonts w:ascii="Corbel" w:hAnsi="Corbel" w:cs="CIDFont+F2"/>
          <w:color w:val="002060"/>
        </w:rPr>
      </w:pPr>
      <w:r w:rsidRPr="00D77AA8">
        <w:rPr>
          <w:rFonts w:ascii="Corbel" w:hAnsi="Corbel" w:cs="CIDFont+F2"/>
          <w:color w:val="002060"/>
        </w:rPr>
        <w:t>COMPETENZE ATTIVITÀ</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t>2 CONVOCAZIONE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L’operatore del CPI accede, tramite i sistemi informativi</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S. I. Regionale Riceve dal CPI di residenza, entro 30 giorni dal</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1"/>
          <w:color w:val="000000"/>
        </w:rPr>
        <w:t>Visualizza i dati dei beneficiari (anche Navigator Assiste il Responsabile del CPI nella segmentazione del bacino (analisi, caratteristiche socio</w:t>
      </w:r>
      <w:r w:rsidRPr="00D77AA8">
        <w:rPr>
          <w:rFonts w:ascii="Corbel" w:hAnsi="Corbel" w:cs="CIDFont+F2"/>
          <w:color w:val="000000"/>
        </w:rPr>
        <w:t>Allegato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2"/>
          <w:color w:val="000000"/>
        </w:rPr>
        <w:t xml:space="preserve">1 </w:t>
      </w:r>
      <w:r w:rsidRPr="00D77AA8">
        <w:rPr>
          <w:rFonts w:ascii="Corbel" w:hAnsi="Corbel" w:cs="CIDFont+F1"/>
          <w:color w:val="000000"/>
        </w:rPr>
        <w:t xml:space="preserve">– Piano Regionale di Assistenza Tecnica di Anpal Servizi regionali, ai dati dei beneficiari. </w:t>
      </w:r>
      <w:proofErr w:type="gramStart"/>
      <w:r w:rsidRPr="00D77AA8">
        <w:rPr>
          <w:rFonts w:ascii="Corbel" w:hAnsi="Corbel" w:cs="CIDFont+F1"/>
          <w:color w:val="000000"/>
        </w:rPr>
        <w:t>regionali</w:t>
      </w:r>
      <w:proofErr w:type="gramEnd"/>
      <w:r w:rsidRPr="00D77AA8">
        <w:rPr>
          <w:rFonts w:ascii="Corbel" w:hAnsi="Corbel" w:cs="CIDFont+F1"/>
          <w:color w:val="000000"/>
        </w:rPr>
        <w:t>, ai dati dei beneficiari.</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p>
    <w:p w:rsidR="00D77AA8" w:rsidRPr="00D77AA8" w:rsidRDefault="00D77AA8" w:rsidP="00D77AA8">
      <w:pPr>
        <w:autoSpaceDE w:val="0"/>
        <w:autoSpaceDN w:val="0"/>
        <w:adjustRightInd w:val="0"/>
        <w:spacing w:after="0" w:line="20" w:lineRule="atLeast"/>
        <w:jc w:val="both"/>
        <w:rPr>
          <w:rFonts w:ascii="Corbel" w:hAnsi="Corbel" w:cs="CIDFont+F2"/>
          <w:color w:val="002060"/>
        </w:rPr>
      </w:pPr>
      <w:r w:rsidRPr="00D77AA8">
        <w:rPr>
          <w:rFonts w:ascii="Corbel" w:hAnsi="Corbel" w:cs="CIDFont+F2"/>
          <w:color w:val="002060"/>
        </w:rPr>
        <w:t>FASE PROCESSO DESCRIZIONE FASE STRUMENTI BENEFICIARIO RDC CPI</w:t>
      </w:r>
    </w:p>
    <w:p w:rsidR="00D77AA8" w:rsidRPr="00D77AA8" w:rsidRDefault="00D77AA8" w:rsidP="00D77AA8">
      <w:pPr>
        <w:autoSpaceDE w:val="0"/>
        <w:autoSpaceDN w:val="0"/>
        <w:adjustRightInd w:val="0"/>
        <w:spacing w:after="0" w:line="20" w:lineRule="atLeast"/>
        <w:jc w:val="both"/>
        <w:rPr>
          <w:rFonts w:ascii="Corbel" w:hAnsi="Corbel" w:cs="CIDFont+F2"/>
          <w:color w:val="002060"/>
        </w:rPr>
      </w:pPr>
      <w:r w:rsidRPr="00D77AA8">
        <w:rPr>
          <w:rFonts w:ascii="Corbel" w:hAnsi="Corbel" w:cs="CIDFont+F2"/>
          <w:color w:val="002060"/>
        </w:rPr>
        <w:t>ANPAL SERVIZI</w:t>
      </w:r>
    </w:p>
    <w:p w:rsidR="00D77AA8" w:rsidRPr="00D77AA8" w:rsidRDefault="00D77AA8" w:rsidP="00D77AA8">
      <w:pPr>
        <w:autoSpaceDE w:val="0"/>
        <w:autoSpaceDN w:val="0"/>
        <w:adjustRightInd w:val="0"/>
        <w:spacing w:after="0" w:line="20" w:lineRule="atLeast"/>
        <w:jc w:val="both"/>
        <w:rPr>
          <w:rFonts w:ascii="Corbel" w:hAnsi="Corbel" w:cs="CIDFont+F2"/>
          <w:color w:val="002060"/>
        </w:rPr>
      </w:pPr>
      <w:r w:rsidRPr="00D77AA8">
        <w:rPr>
          <w:rFonts w:ascii="Corbel" w:hAnsi="Corbel" w:cs="CIDFont+F2"/>
          <w:color w:val="002060"/>
        </w:rPr>
        <w:t>COMPETENZE ATTIVITÀ</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Procede alla segmentazione del bacino degli iscritti, alla pianificazione di dettaglio dell’agenda degli appuntamenti e all’invio ai beneficiari delle convocazioni riconoscimento del beneficio, un sms o una mail con l’indicazione della data per il primo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Appuntamento accedendo a MyANPAL)</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Realizza la segmentazione del bacino (analisi caratteristiche socioprofessionali), il</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Dimensionamento e la pianificazione della convocazione dei beneficiari</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Organizza la convocazione dei beneficiari entro 30 gg dal riconoscimento del beneficio</w:t>
      </w:r>
      <w:r>
        <w:rPr>
          <w:rFonts w:ascii="Corbel" w:hAnsi="Corbel" w:cs="CIDFont+F1"/>
          <w:color w:val="000000"/>
        </w:rPr>
        <w:t xml:space="preserve"> </w:t>
      </w:r>
      <w:r w:rsidRPr="00D77AA8">
        <w:rPr>
          <w:rFonts w:ascii="Corbel" w:hAnsi="Corbel" w:cs="CIDFont+F1"/>
          <w:color w:val="000000"/>
        </w:rPr>
        <w:t>Invia al beneficiario sms o email con la data per il primo appuntamento professionali), nel dimensionamento e nella pianificazione della convocazione dei beneficiari</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Affianca l’operatore del CPI nella gestione delle convocazioni, nell’aggiornamento</w:t>
      </w:r>
      <w:r>
        <w:rPr>
          <w:rFonts w:ascii="Corbel" w:hAnsi="Corbel" w:cs="CIDFont+F1"/>
          <w:color w:val="000000"/>
        </w:rPr>
        <w:t xml:space="preserve"> </w:t>
      </w:r>
      <w:r w:rsidRPr="00D77AA8">
        <w:rPr>
          <w:rFonts w:ascii="Corbel" w:hAnsi="Corbel" w:cs="CIDFont+F1"/>
          <w:color w:val="000000"/>
        </w:rPr>
        <w:t>dell’agenda, nella gestione delle eccezioni, nella relazione con i beneficiari</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t>PRIMO APPUNTAMENTO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L’operatore del CPI, in base all’elenco degli appuntamenti previsti per il dato giorno,</w:t>
      </w:r>
      <w:r>
        <w:rPr>
          <w:rFonts w:ascii="Corbel" w:hAnsi="Corbel" w:cs="CIDFont+F1"/>
          <w:color w:val="000000"/>
        </w:rPr>
        <w:t xml:space="preserve"> </w:t>
      </w:r>
      <w:r w:rsidRPr="00D77AA8">
        <w:rPr>
          <w:rFonts w:ascii="Corbel" w:hAnsi="Corbel" w:cs="CIDFont+F1"/>
          <w:color w:val="000000"/>
        </w:rPr>
        <w:t>accoglie il beneficiario e realizza tutte le attività di verifica preliminare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S. I. Regionale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Presa in carico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Standard Patto per il lavoro (prima fase)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Si presenta all’appuntamento, effettua le verifiche preliminari e sottoscrive l’impegno</w:t>
      </w:r>
      <w:r>
        <w:rPr>
          <w:rFonts w:ascii="Corbel" w:hAnsi="Corbel" w:cs="CIDFont+F1"/>
          <w:color w:val="000000"/>
        </w:rPr>
        <w:t xml:space="preserve"> </w:t>
      </w:r>
      <w:r w:rsidRPr="00D77AA8">
        <w:rPr>
          <w:rFonts w:ascii="Corbel" w:hAnsi="Corbel" w:cs="CIDFont+F1"/>
          <w:color w:val="000000"/>
        </w:rPr>
        <w:t>a seguire il Patto per il lavoro (Patto per il lavoro – prima fase)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Accoglie il beneficiario e illustra brevemente le caratteristiche del percorso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Verifica le condizioni di esonero del beneficiario e degli</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 xml:space="preserve">Navigator Affianca l’operatore del CPI nell’accoglienza e presa in carico del beneficiario e dei componenti del nucleo familiare. </w:t>
      </w:r>
      <w:proofErr w:type="gramStart"/>
      <w:r w:rsidRPr="00D77AA8">
        <w:rPr>
          <w:rFonts w:ascii="Corbel" w:hAnsi="Corbel" w:cs="CIDFont+F1"/>
          <w:color w:val="000000"/>
        </w:rPr>
        <w:t>acquisendo</w:t>
      </w:r>
      <w:proofErr w:type="gramEnd"/>
      <w:r w:rsidRPr="00D77AA8">
        <w:rPr>
          <w:rFonts w:ascii="Corbel" w:hAnsi="Corbel" w:cs="CIDFont+F1"/>
          <w:color w:val="000000"/>
        </w:rPr>
        <w:t xml:space="preserve"> anche le informazioni previste dalla norma sul nucleo familiare.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 xml:space="preserve">Prende in carico il beneficiario facendogli sottoscrivere il Patto per il Lavoro </w:t>
      </w:r>
      <w:r>
        <w:rPr>
          <w:rFonts w:ascii="Corbel" w:hAnsi="Corbel" w:cs="CIDFont+F1"/>
          <w:color w:val="000000"/>
        </w:rPr>
        <w:t>–</w:t>
      </w:r>
      <w:r w:rsidRPr="00D77AA8">
        <w:rPr>
          <w:rFonts w:ascii="Corbel" w:hAnsi="Corbel" w:cs="CIDFont+F1"/>
          <w:color w:val="000000"/>
        </w:rPr>
        <w:t xml:space="preserve"> prima</w:t>
      </w:r>
      <w:r>
        <w:rPr>
          <w:rFonts w:ascii="Corbel" w:hAnsi="Corbel" w:cs="CIDFont+F1"/>
          <w:color w:val="000000"/>
        </w:rPr>
        <w:t xml:space="preserve"> </w:t>
      </w:r>
      <w:r w:rsidRPr="00D77AA8">
        <w:rPr>
          <w:rFonts w:ascii="Corbel" w:hAnsi="Corbel" w:cs="CIDFont+F1"/>
          <w:color w:val="000000"/>
        </w:rPr>
        <w:t>fase, riguardante l’impegno a seguire le indicazioni e le attività previste dal Patto</w:t>
      </w:r>
      <w:r>
        <w:rPr>
          <w:rFonts w:ascii="Corbel" w:hAnsi="Corbel" w:cs="CIDFont+F1"/>
          <w:color w:val="000000"/>
        </w:rPr>
        <w:t xml:space="preserve"> </w:t>
      </w:r>
      <w:r w:rsidRPr="00D77AA8">
        <w:rPr>
          <w:rFonts w:ascii="Corbel" w:hAnsi="Corbel" w:cs="CIDFont+F1"/>
          <w:color w:val="000000"/>
        </w:rPr>
        <w:t>altri componenti del nucleo familiare o le condizioni di rimando alla valutazione</w:t>
      </w:r>
      <w:r>
        <w:rPr>
          <w:rFonts w:ascii="Corbel" w:hAnsi="Corbel" w:cs="CIDFont+F1"/>
          <w:color w:val="000000"/>
        </w:rPr>
        <w:t xml:space="preserve"> </w:t>
      </w:r>
      <w:r w:rsidRPr="00D77AA8">
        <w:rPr>
          <w:rFonts w:ascii="Corbel" w:hAnsi="Corbel" w:cs="CIDFont+F1"/>
          <w:color w:val="000000"/>
        </w:rPr>
        <w:t>multidimensionale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Verifica se già coinvolto in altra politica attiva</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Verifica il rilascio della DID (in caso negativo compila la DID con il beneficiario)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Aggiorna o predispone la SAP</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Verifica la registrazione al Sistema per la fruizione continua dei servizi di</w:t>
      </w:r>
      <w:r>
        <w:rPr>
          <w:rFonts w:ascii="Corbel" w:hAnsi="Corbel" w:cs="CIDFont+F1"/>
          <w:color w:val="000000"/>
        </w:rPr>
        <w:t xml:space="preserve"> </w:t>
      </w:r>
      <w:r w:rsidRPr="00D77AA8">
        <w:rPr>
          <w:rFonts w:ascii="Corbel" w:hAnsi="Corbel" w:cs="CIDFont+F1"/>
          <w:color w:val="000000"/>
        </w:rPr>
        <w:t>accompagnamento e prende in carico il beneficiario facendogli sottoscrivere il Patto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proofErr w:type="gramStart"/>
      <w:r w:rsidRPr="00D77AA8">
        <w:rPr>
          <w:rFonts w:ascii="Corbel" w:hAnsi="Corbel" w:cs="CIDFont+F1"/>
          <w:color w:val="000000"/>
        </w:rPr>
        <w:t>per</w:t>
      </w:r>
      <w:proofErr w:type="gramEnd"/>
      <w:r w:rsidRPr="00D77AA8">
        <w:rPr>
          <w:rFonts w:ascii="Corbel" w:hAnsi="Corbel" w:cs="CIDFont+F1"/>
          <w:color w:val="000000"/>
        </w:rPr>
        <w:t xml:space="preserve"> il Lavoro</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lastRenderedPageBreak/>
        <w:t>PATTO PER IL LAVORO</w:t>
      </w:r>
    </w:p>
    <w:p w:rsidR="00D77AA8" w:rsidRPr="00D77AA8" w:rsidRDefault="00D77AA8" w:rsidP="00D77AA8">
      <w:pPr>
        <w:autoSpaceDE w:val="0"/>
        <w:autoSpaceDN w:val="0"/>
        <w:adjustRightInd w:val="0"/>
        <w:spacing w:after="0" w:line="20" w:lineRule="atLeast"/>
        <w:jc w:val="both"/>
        <w:rPr>
          <w:rFonts w:ascii="Corbel" w:hAnsi="Corbel" w:cs="CIDFont+F7"/>
          <w:color w:val="000000"/>
        </w:rPr>
      </w:pPr>
      <w:r w:rsidRPr="00D77AA8">
        <w:rPr>
          <w:rFonts w:ascii="Corbel" w:hAnsi="Corbel" w:cs="CIDFont+F7"/>
          <w:color w:val="000000"/>
        </w:rPr>
        <w:t>(Percorso per la sottoscrizione)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L’operatore del CPI pianifica e realizza tutte le attività volte all’analisi del caso</w:t>
      </w:r>
      <w:r>
        <w:rPr>
          <w:rFonts w:ascii="Corbel" w:hAnsi="Corbel" w:cs="CIDFont+F1"/>
          <w:color w:val="000000"/>
        </w:rPr>
        <w:t xml:space="preserve"> </w:t>
      </w:r>
      <w:r w:rsidRPr="00D77AA8">
        <w:rPr>
          <w:rFonts w:ascii="Corbel" w:hAnsi="Corbel" w:cs="CIDFont+F1"/>
          <w:color w:val="000000"/>
        </w:rPr>
        <w:t>individuale e necessarie alla predisposizione e condivisione con il beneficiario del</w:t>
      </w:r>
      <w:r>
        <w:rPr>
          <w:rFonts w:ascii="Corbel" w:hAnsi="Corbel" w:cs="CIDFont+F1"/>
          <w:color w:val="000000"/>
        </w:rPr>
        <w:t xml:space="preserve"> </w:t>
      </w:r>
      <w:r w:rsidRPr="00D77AA8">
        <w:rPr>
          <w:rFonts w:ascii="Corbel" w:hAnsi="Corbel" w:cs="CIDFont+F1"/>
          <w:color w:val="000000"/>
        </w:rPr>
        <w:t>proprio Patto per il lavoro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 xml:space="preserve">S. I. Regionale </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Partecipa al colloquio di orientamento e a tutte le successive attività volte alla</w:t>
      </w:r>
      <w:r>
        <w:rPr>
          <w:rFonts w:ascii="Corbel" w:hAnsi="Corbel" w:cs="CIDFont+F1"/>
          <w:color w:val="000000"/>
        </w:rPr>
        <w:t xml:space="preserve"> </w:t>
      </w:r>
      <w:r w:rsidRPr="00D77AA8">
        <w:rPr>
          <w:rFonts w:ascii="Corbel" w:hAnsi="Corbel" w:cs="CIDFont+F1"/>
          <w:color w:val="000000"/>
        </w:rPr>
        <w:t>predisposizione del proprio Patto per il lavoro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Effettua il colloquio di orientamento di base e prima diagnosi delle competenze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Analizza le competenze, le motivazioni, le aspettative e i vincoli/ostacoli del</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Beneficiario (assessment), ai fini della predisposizione del piano personalizzato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Rileva i fabbisogni formativi del beneficiario e i percorsi utili a soddisfarli</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Somministra il questionario di profilazione qualitativa</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Navigator Affianca l’operatore del Cpi nelle azioni propedeutiche alla sottoscrizione del Patto per il Lavoro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Supporta l’operatore del CPI nell’elaborazione della mappa dei trend occupazionali e</w:t>
      </w:r>
      <w:r>
        <w:rPr>
          <w:rFonts w:ascii="Corbel" w:hAnsi="Corbel" w:cs="CIDFont+F1"/>
          <w:color w:val="000000"/>
        </w:rPr>
        <w:t xml:space="preserve"> </w:t>
      </w:r>
      <w:r w:rsidRPr="00D77AA8">
        <w:rPr>
          <w:rFonts w:ascii="Corbel" w:hAnsi="Corbel" w:cs="CIDFont+F1"/>
          <w:color w:val="000000"/>
        </w:rPr>
        <w:t>professionali (per settori e per profili) del mercato del lavoro di riferimento ai fini</w:t>
      </w:r>
      <w:r>
        <w:rPr>
          <w:rFonts w:ascii="Corbel" w:hAnsi="Corbel" w:cs="CIDFont+F1"/>
          <w:color w:val="000000"/>
        </w:rPr>
        <w:t xml:space="preserve"> </w:t>
      </w:r>
      <w:r w:rsidRPr="00D77AA8">
        <w:rPr>
          <w:rFonts w:ascii="Corbel" w:hAnsi="Corbel" w:cs="CIDFont+F1"/>
          <w:color w:val="000000"/>
        </w:rPr>
        <w:t>dell’attivazione del beneficiario e della qualificazione del patto per il lavoro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Supporta l’operatore del CPI nell’elaborazione della mappa delle opportunità: incentivi,</w:t>
      </w:r>
      <w:r>
        <w:rPr>
          <w:rFonts w:ascii="Corbel" w:hAnsi="Corbel" w:cs="CIDFont+F1"/>
          <w:color w:val="000000"/>
        </w:rPr>
        <w:t xml:space="preserve"> </w:t>
      </w:r>
      <w:r w:rsidRPr="00D77AA8">
        <w:rPr>
          <w:rFonts w:ascii="Corbel" w:hAnsi="Corbel" w:cs="CIDFont+F1"/>
          <w:color w:val="000000"/>
        </w:rPr>
        <w:t>offerta formativa anche attraverso MOOC</w:t>
      </w:r>
    </w:p>
    <w:p w:rsidR="00D77AA8" w:rsidRPr="00D77AA8" w:rsidRDefault="00D77AA8" w:rsidP="00D77AA8">
      <w:pPr>
        <w:autoSpaceDE w:val="0"/>
        <w:autoSpaceDN w:val="0"/>
        <w:adjustRightInd w:val="0"/>
        <w:spacing w:after="0" w:line="20" w:lineRule="atLeast"/>
        <w:jc w:val="both"/>
        <w:rPr>
          <w:rFonts w:ascii="Corbel" w:hAnsi="Corbel" w:cs="CIDFont+F7"/>
          <w:color w:val="000000"/>
        </w:rPr>
      </w:pPr>
      <w:r w:rsidRPr="00D77AA8">
        <w:rPr>
          <w:rFonts w:ascii="Corbel" w:hAnsi="Corbel" w:cs="CIDFont+F7"/>
          <w:color w:val="000000"/>
        </w:rPr>
        <w:t xml:space="preserve"> (Elaborazione e sottoscrizione)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Sulla base delle attività realizzate nel percorso per la definizione del patto</w:t>
      </w:r>
      <w:r>
        <w:rPr>
          <w:rFonts w:ascii="Corbel" w:hAnsi="Corbel" w:cs="CIDFont+F1"/>
          <w:color w:val="000000"/>
        </w:rPr>
        <w:t xml:space="preserve"> </w:t>
      </w:r>
      <w:r w:rsidRPr="00D77AA8">
        <w:rPr>
          <w:rFonts w:ascii="Corbel" w:hAnsi="Corbel" w:cs="CIDFont+F1"/>
          <w:color w:val="000000"/>
        </w:rPr>
        <w:t>per il lavoro, l’operatore del CPI</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Si presenta all’appuntamento per la definizione del Patto per il lavoro riguardante le attività</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Definisce con il beneficiario il piano delle attività da realizzare per la ricerca del lavoro e i</w:t>
      </w:r>
      <w:r>
        <w:rPr>
          <w:rFonts w:ascii="Corbel" w:hAnsi="Corbel" w:cs="CIDFont+F1"/>
          <w:color w:val="000000"/>
        </w:rPr>
        <w:t xml:space="preserve"> </w:t>
      </w:r>
      <w:r w:rsidRPr="00D77AA8">
        <w:rPr>
          <w:rFonts w:ascii="Corbel" w:hAnsi="Corbel" w:cs="CIDFont+F1"/>
          <w:color w:val="000000"/>
        </w:rPr>
        <w:t xml:space="preserve">relativi tempi (diario) predispone il </w:t>
      </w:r>
      <w:proofErr w:type="gramStart"/>
      <w:r w:rsidRPr="00D77AA8">
        <w:rPr>
          <w:rFonts w:ascii="Corbel" w:hAnsi="Corbel" w:cs="CIDFont+F1"/>
          <w:color w:val="000000"/>
        </w:rPr>
        <w:t>piano  con</w:t>
      </w:r>
      <w:proofErr w:type="gramEnd"/>
      <w:r w:rsidRPr="00D77AA8">
        <w:rPr>
          <w:rFonts w:ascii="Corbel" w:hAnsi="Corbel" w:cs="CIDFont+F1"/>
          <w:color w:val="000000"/>
        </w:rPr>
        <w:t xml:space="preserve"> il beneficiario e procede alla sua</w:t>
      </w:r>
      <w:r>
        <w:rPr>
          <w:rFonts w:ascii="Corbel" w:hAnsi="Corbel" w:cs="CIDFont+F1"/>
          <w:color w:val="000000"/>
        </w:rPr>
        <w:t xml:space="preserve"> </w:t>
      </w:r>
      <w:r w:rsidRPr="00D77AA8">
        <w:rPr>
          <w:rFonts w:ascii="Corbel" w:hAnsi="Corbel" w:cs="CIDFont+F1"/>
          <w:color w:val="000000"/>
        </w:rPr>
        <w:t>sottoscrizione.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Contestualmente alla sottoscrizione del Patto per il lavoro, Anpal procede all’assegnazione dell’Assegno di ricollocazione. Il beneficiario dovrà scegliere dove</w:t>
      </w:r>
      <w:r>
        <w:rPr>
          <w:rFonts w:ascii="Corbel" w:hAnsi="Corbel" w:cs="CIDFont+F1"/>
          <w:color w:val="000000"/>
        </w:rPr>
        <w:t xml:space="preserve"> </w:t>
      </w:r>
      <w:r w:rsidRPr="00D77AA8">
        <w:rPr>
          <w:rFonts w:ascii="Corbel" w:hAnsi="Corbel" w:cs="CIDFont+F1"/>
          <w:color w:val="000000"/>
        </w:rPr>
        <w:t>utilizzarlo entro 30 giorni dal rilascio da realizzare per la ricerca del lavoro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Collabora alla definizione del Patto per il Lavoro personalizzato e alla identificazione delle attività da realizzare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Nel caso di rilascio dell’Assegno di ricollocazione, sceglie entro 30 giorni dal rilascio, il soggetto pubblico o privato presso il quale lo utilizzerà</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Fa sottoscrivere il Patto per il lavoro In seguito all’assegnazione da parte di Anpal</w:t>
      </w:r>
      <w:r>
        <w:rPr>
          <w:rFonts w:ascii="Corbel" w:hAnsi="Corbel" w:cs="CIDFont+F1"/>
          <w:color w:val="000000"/>
        </w:rPr>
        <w:t xml:space="preserve"> </w:t>
      </w:r>
      <w:r w:rsidRPr="00D77AA8">
        <w:rPr>
          <w:rFonts w:ascii="Corbel" w:hAnsi="Corbel" w:cs="CIDFont+F1"/>
          <w:color w:val="000000"/>
        </w:rPr>
        <w:t>dell’Assegno di ricollocazione, informa il beneficiario sulle modalità di utilizzo</w:t>
      </w:r>
      <w:r>
        <w:rPr>
          <w:rFonts w:ascii="Corbel" w:hAnsi="Corbel" w:cs="CIDFont+F1"/>
          <w:color w:val="000000"/>
        </w:rPr>
        <w:t xml:space="preserve"> </w:t>
      </w:r>
      <w:r w:rsidRPr="00D77AA8">
        <w:rPr>
          <w:rFonts w:ascii="Corbel" w:hAnsi="Corbel" w:cs="CIDFont+F1"/>
          <w:color w:val="000000"/>
        </w:rPr>
        <w:t>dell’assegno (</w:t>
      </w:r>
      <w:r w:rsidRPr="00D77AA8">
        <w:rPr>
          <w:rFonts w:ascii="Corbel" w:hAnsi="Corbel" w:cs="CIDFont+F7"/>
          <w:color w:val="000000"/>
        </w:rPr>
        <w:t>se necessario</w:t>
      </w:r>
      <w:r w:rsidRPr="00D77AA8">
        <w:rPr>
          <w:rFonts w:ascii="Corbel" w:hAnsi="Corbel" w:cs="CIDFont+F1"/>
          <w:color w:val="000000"/>
        </w:rPr>
        <w:t>)</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Viene rinviato ai servizi comunali competenti per la sottoscrizione del Patto per l’inclusione sociale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Rinvia ai servizi comunali competenti, avendo ravvisato particolari criticità</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Navigator Coadiuva l’operatore del CPI nella corretta implementazione della procedura prevista per il rinvio ai servizi comunali</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Non si presenta all’appuntamento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Segnala all’Inps l’assenza ingiustificata</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t>6</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t>PATTO PER IL LAVORO</w:t>
      </w:r>
    </w:p>
    <w:p w:rsidR="00D77AA8" w:rsidRPr="00D77AA8" w:rsidRDefault="00D77AA8" w:rsidP="00D77AA8">
      <w:pPr>
        <w:autoSpaceDE w:val="0"/>
        <w:autoSpaceDN w:val="0"/>
        <w:adjustRightInd w:val="0"/>
        <w:spacing w:after="0" w:line="20" w:lineRule="atLeast"/>
        <w:jc w:val="both"/>
        <w:rPr>
          <w:rFonts w:ascii="Corbel" w:hAnsi="Corbel" w:cs="CIDFont+F7"/>
          <w:color w:val="000000"/>
        </w:rPr>
      </w:pPr>
      <w:r w:rsidRPr="00D77AA8">
        <w:rPr>
          <w:rFonts w:ascii="Corbel" w:hAnsi="Corbel" w:cs="CIDFont+F7"/>
          <w:color w:val="000000"/>
        </w:rPr>
        <w:t>(Attuazione)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Il beneficiario realizza, con il supporto degli operatori del CPI, le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S.I. Nazionale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S.I. Regionale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Realizza le attività previste dal Patto per il Lavoro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Definisce gli appuntamenti e le modalità di verifica dell’andamento delle</w:t>
      </w:r>
      <w:r>
        <w:rPr>
          <w:rFonts w:ascii="Corbel" w:hAnsi="Corbel" w:cs="CIDFont+F1"/>
          <w:color w:val="000000"/>
        </w:rPr>
        <w:t xml:space="preserve"> </w:t>
      </w:r>
      <w:r w:rsidRPr="00D77AA8">
        <w:rPr>
          <w:rFonts w:ascii="Corbel" w:hAnsi="Corbel" w:cs="CIDFont+F1"/>
          <w:color w:val="000000"/>
        </w:rPr>
        <w:t>Navigator Affianca l’operatore del CPI nella pianificazione degli incontri di verifica</w:t>
      </w:r>
      <w:r>
        <w:rPr>
          <w:rFonts w:ascii="Corbel" w:hAnsi="Corbel" w:cs="CIDFont+F1"/>
          <w:color w:val="000000"/>
        </w:rPr>
        <w:t xml:space="preserve"> </w:t>
      </w:r>
      <w:r w:rsidRPr="00D77AA8">
        <w:rPr>
          <w:rFonts w:ascii="Corbel" w:hAnsi="Corbel" w:cs="CIDFont+F1"/>
          <w:color w:val="000000"/>
        </w:rPr>
        <w:t>attività previste dal Patto per il Lavoro.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L’operatore del CPI definisce la strategia di implementazione del Patto, anche</w:t>
      </w:r>
      <w:r>
        <w:rPr>
          <w:rFonts w:ascii="Corbel" w:hAnsi="Corbel" w:cs="CIDFont+F1"/>
          <w:color w:val="000000"/>
        </w:rPr>
        <w:t xml:space="preserve"> </w:t>
      </w:r>
      <w:r w:rsidRPr="00D77AA8">
        <w:rPr>
          <w:rFonts w:ascii="Corbel" w:hAnsi="Corbel" w:cs="CIDFont+F1"/>
          <w:color w:val="000000"/>
        </w:rPr>
        <w:t>mediante il coinvolgimento di altre professionalità o servizi</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Partecipa alle iniziative del CPI o di altro soggetto erogatore a supporto della sua</w:t>
      </w:r>
      <w:r>
        <w:rPr>
          <w:rFonts w:ascii="Corbel" w:hAnsi="Corbel" w:cs="CIDFont+F1"/>
          <w:color w:val="000000"/>
        </w:rPr>
        <w:t xml:space="preserve"> </w:t>
      </w:r>
      <w:r w:rsidRPr="00D77AA8">
        <w:rPr>
          <w:rFonts w:ascii="Corbel" w:hAnsi="Corbel" w:cs="CIDFont+F1"/>
          <w:color w:val="000000"/>
        </w:rPr>
        <w:t xml:space="preserve">Ricollocazione </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Partecipa agli incontri di monitoraggio dell’andamento del Patto</w:t>
      </w:r>
      <w:r>
        <w:rPr>
          <w:rFonts w:ascii="Corbel" w:hAnsi="Corbel" w:cs="CIDFont+F1"/>
          <w:color w:val="000000"/>
        </w:rPr>
        <w:t xml:space="preserve"> </w:t>
      </w:r>
      <w:r w:rsidRPr="00D77AA8">
        <w:rPr>
          <w:rFonts w:ascii="Corbel" w:hAnsi="Corbel" w:cs="CIDFont+F1"/>
          <w:color w:val="000000"/>
        </w:rPr>
        <w:t xml:space="preserve">azioni realizzate dal beneficiario </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 xml:space="preserve">Attiva laboratori </w:t>
      </w:r>
      <w:proofErr w:type="gramStart"/>
      <w:r w:rsidRPr="00D77AA8">
        <w:rPr>
          <w:rFonts w:ascii="Corbel" w:hAnsi="Corbel" w:cs="CIDFont+F1"/>
          <w:color w:val="000000"/>
        </w:rPr>
        <w:t>di  ricerca</w:t>
      </w:r>
      <w:proofErr w:type="gramEnd"/>
      <w:r w:rsidRPr="00D77AA8">
        <w:rPr>
          <w:rFonts w:ascii="Corbel" w:hAnsi="Corbel" w:cs="CIDFont+F1"/>
          <w:color w:val="000000"/>
        </w:rPr>
        <w:t xml:space="preserve"> attiva del lavoro, strumenti di job club e formazione</w:t>
      </w:r>
      <w:r>
        <w:rPr>
          <w:rFonts w:ascii="Corbel" w:hAnsi="Corbel" w:cs="CIDFont+F1"/>
          <w:color w:val="000000"/>
        </w:rPr>
        <w:t xml:space="preserve"> </w:t>
      </w:r>
      <w:r w:rsidRPr="00D77AA8">
        <w:rPr>
          <w:rFonts w:ascii="Corbel" w:hAnsi="Corbel" w:cs="CIDFont+F1"/>
          <w:color w:val="000000"/>
        </w:rPr>
        <w:t>disponibile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 xml:space="preserve">Rileva e ricerca le opportunità di lavoro da segnalare per l’attivazione del Beneficiario </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lastRenderedPageBreak/>
        <w:t>Verifica il rispetto, da parte del beneficiario, degli impegni assunti con il Patto e degli</w:t>
      </w:r>
      <w:r>
        <w:rPr>
          <w:rFonts w:ascii="Corbel" w:hAnsi="Corbel" w:cs="CIDFont+F1"/>
          <w:color w:val="000000"/>
        </w:rPr>
        <w:t xml:space="preserve"> </w:t>
      </w:r>
      <w:r w:rsidRPr="00D77AA8">
        <w:rPr>
          <w:rFonts w:ascii="Corbel" w:hAnsi="Corbel" w:cs="CIDFont+F1"/>
          <w:color w:val="000000"/>
        </w:rPr>
        <w:t>obblighi previsti dalla normativa</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Realizza azioni di coaching e tutoring verso il beneficiario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Attiva relazioni formali con il sistema della formazione ai fini della stipula del Patto di</w:t>
      </w:r>
      <w:r>
        <w:rPr>
          <w:rFonts w:ascii="Corbel" w:hAnsi="Corbel" w:cs="CIDFont+F1"/>
          <w:color w:val="000000"/>
        </w:rPr>
        <w:t xml:space="preserve"> </w:t>
      </w:r>
      <w:r w:rsidRPr="00D77AA8">
        <w:rPr>
          <w:rFonts w:ascii="Corbel" w:hAnsi="Corbel" w:cs="CIDFont+F1"/>
          <w:color w:val="000000"/>
        </w:rPr>
        <w:t>Formazione dell’andamento delle azioni realizzate dal beneficiario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Coadiuva l’operatore del CPI nella gestione delle azioni di supporto operativo e</w:t>
      </w:r>
      <w:r>
        <w:rPr>
          <w:rFonts w:ascii="Corbel" w:hAnsi="Corbel" w:cs="CIDFont+F1"/>
          <w:color w:val="000000"/>
        </w:rPr>
        <w:t xml:space="preserve"> </w:t>
      </w:r>
      <w:r w:rsidRPr="00D77AA8">
        <w:rPr>
          <w:rFonts w:ascii="Corbel" w:hAnsi="Corbel" w:cs="CIDFont+F1"/>
          <w:color w:val="000000"/>
        </w:rPr>
        <w:t>motivazionale, programmando incontri individuali o di gruppo di sostegno e di rinforzo della proattività</w:t>
      </w:r>
      <w:r>
        <w:rPr>
          <w:rFonts w:ascii="Corbel" w:hAnsi="Corbel" w:cs="CIDFont+F1"/>
          <w:color w:val="000000"/>
        </w:rPr>
        <w:t xml:space="preserve"> </w:t>
      </w:r>
      <w:r w:rsidRPr="00D77AA8">
        <w:rPr>
          <w:rFonts w:ascii="Corbel" w:hAnsi="Corbel" w:cs="CIDFont+F1"/>
          <w:color w:val="000000"/>
        </w:rPr>
        <w:t>Coadiuva l’operatore del CPI nella verifica del rispetto, da parte del beneficiario, degli</w:t>
      </w:r>
      <w:r>
        <w:rPr>
          <w:rFonts w:ascii="Corbel" w:hAnsi="Corbel" w:cs="CIDFont+F1"/>
          <w:color w:val="000000"/>
        </w:rPr>
        <w:t xml:space="preserve"> </w:t>
      </w:r>
      <w:r w:rsidRPr="00D77AA8">
        <w:rPr>
          <w:rFonts w:ascii="Corbel" w:hAnsi="Corbel" w:cs="CIDFont+F1"/>
          <w:color w:val="000000"/>
        </w:rPr>
        <w:t>impegni assunti con il Patto per il Lavoro e degli obblighi previsti dalla normativa</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Affianca l’operatore del CPI nell’organizzazione e gestione dei laboratori di ricerca attiva del lavoro, in particolare predisponendo gli strumenti necessari per la conduzione dei gruppi di lavoro</w:t>
      </w:r>
      <w:r>
        <w:rPr>
          <w:rFonts w:ascii="Corbel" w:hAnsi="Corbel" w:cs="CIDFont+F1"/>
          <w:color w:val="000000"/>
        </w:rPr>
        <w:t xml:space="preserve"> </w:t>
      </w:r>
      <w:r w:rsidRPr="00D77AA8">
        <w:rPr>
          <w:rFonts w:ascii="Corbel" w:hAnsi="Corbel" w:cs="CIDFont+F1"/>
          <w:color w:val="000000"/>
        </w:rPr>
        <w:t>Supporta i CPI nell'uso di metodologie e strumenti per la gestione dei laboratori e per lo</w:t>
      </w:r>
      <w:r>
        <w:rPr>
          <w:rFonts w:ascii="Corbel" w:hAnsi="Corbel" w:cs="CIDFont+F1"/>
          <w:color w:val="000000"/>
        </w:rPr>
        <w:t xml:space="preserve"> </w:t>
      </w:r>
      <w:r w:rsidRPr="00D77AA8">
        <w:rPr>
          <w:rFonts w:ascii="Corbel" w:hAnsi="Corbel" w:cs="CIDFont+F7"/>
          <w:color w:val="000000"/>
        </w:rPr>
        <w:t xml:space="preserve">scouting </w:t>
      </w:r>
      <w:r w:rsidRPr="00D77AA8">
        <w:rPr>
          <w:rFonts w:ascii="Corbel" w:hAnsi="Corbel" w:cs="CIDFont+F1"/>
          <w:color w:val="000000"/>
        </w:rPr>
        <w:t>delle opportunità di lavoro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Contatta le imprese con maggiore potenziale occupazionale per la rilevazione del</w:t>
      </w:r>
      <w:r>
        <w:rPr>
          <w:rFonts w:ascii="Corbel" w:hAnsi="Corbel" w:cs="CIDFont+F1"/>
          <w:color w:val="000000"/>
        </w:rPr>
        <w:t xml:space="preserve"> </w:t>
      </w:r>
      <w:r w:rsidRPr="00D77AA8">
        <w:rPr>
          <w:rFonts w:ascii="Corbel" w:hAnsi="Corbel" w:cs="CIDFont+F1"/>
          <w:color w:val="000000"/>
        </w:rPr>
        <w:t>Fabbisogno professionale</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t>7</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t>REALIZZAZIONE DELLE ATTIVITA’ RELATIVE ALLA FRUIZIONE DELL’ASSEGNO DI</w:t>
      </w:r>
      <w:r>
        <w:rPr>
          <w:rFonts w:ascii="Corbel" w:hAnsi="Corbel" w:cs="CIDFont+F2"/>
          <w:color w:val="000000"/>
        </w:rPr>
        <w:t xml:space="preserve"> </w:t>
      </w:r>
      <w:r w:rsidRPr="00D77AA8">
        <w:rPr>
          <w:rFonts w:ascii="Corbel" w:hAnsi="Corbel" w:cs="CIDFont+F2"/>
          <w:color w:val="000000"/>
        </w:rPr>
        <w:t>RICOLLOCAZIONE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In base alla scelta effettuata, il beneficiario seguirà il percorso per la ricerca del lavoro o presso il CPI o presso altro soggetto accreditato.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In ogni caso, procederà alla sottoscrizione del Programma di ricerca intensiva (PRI) e</w:t>
      </w:r>
      <w:r>
        <w:rPr>
          <w:rFonts w:ascii="Corbel" w:hAnsi="Corbel" w:cs="CIDFont+F1"/>
          <w:color w:val="000000"/>
        </w:rPr>
        <w:t xml:space="preserve"> </w:t>
      </w:r>
      <w:r w:rsidRPr="00D77AA8">
        <w:rPr>
          <w:rFonts w:ascii="Corbel" w:hAnsi="Corbel" w:cs="CIDFont+F1"/>
          <w:color w:val="000000"/>
        </w:rPr>
        <w:t>attuerà tutte le azioni previste dal piano personalizzato.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S.I. nazionale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(MyANPAL)</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Verifica il rilascio dell’Assegno di ricollocazione tramite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MyANPAL</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Effettua la scelta del soggetto erogatore Sottoscrive il Piano di ricerca intensiva (PRI)</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Realizza le azioni previste dal piano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Nel caso sia scelto dal beneficiario come soggetto erogatore dei servizi per la fruizione</w:t>
      </w:r>
      <w:r>
        <w:rPr>
          <w:rFonts w:ascii="Corbel" w:hAnsi="Corbel" w:cs="CIDFont+F1"/>
          <w:color w:val="000000"/>
        </w:rPr>
        <w:t xml:space="preserve"> </w:t>
      </w:r>
      <w:r w:rsidRPr="00D77AA8">
        <w:rPr>
          <w:rFonts w:ascii="Corbel" w:hAnsi="Corbel" w:cs="CIDFont+F1"/>
          <w:color w:val="000000"/>
        </w:rPr>
        <w:t>dell’Assegno di ricollocazione, il CPI procede alla sottoscrizione del PRI e avvia le attività</w:t>
      </w:r>
      <w:r>
        <w:rPr>
          <w:rFonts w:ascii="Corbel" w:hAnsi="Corbel" w:cs="CIDFont+F1"/>
          <w:color w:val="000000"/>
        </w:rPr>
        <w:t xml:space="preserve"> </w:t>
      </w:r>
      <w:r w:rsidRPr="00D77AA8">
        <w:rPr>
          <w:rFonts w:ascii="Corbel" w:hAnsi="Corbel" w:cs="CIDFont+F1"/>
          <w:color w:val="000000"/>
        </w:rPr>
        <w:t>previste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Navigator Supporta l’operatore del CPI nella definizione del programma di ricerca intensiva (PRI)</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Supporta l’operatore del CPI nella realizzazione delle azioni previste dal PRI</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t>9</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t>OFFERTA CONGRUA DI LAVORO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In esito alle azioni previste dal proprio Patto per il lavoro, il beneficiario individua</w:t>
      </w:r>
      <w:r>
        <w:rPr>
          <w:rFonts w:ascii="Corbel" w:hAnsi="Corbel" w:cs="CIDFont+F1"/>
          <w:color w:val="000000"/>
        </w:rPr>
        <w:t xml:space="preserve"> </w:t>
      </w:r>
      <w:r w:rsidRPr="00D77AA8">
        <w:rPr>
          <w:rFonts w:ascii="Corbel" w:hAnsi="Corbel" w:cs="CIDFont+F1"/>
          <w:color w:val="000000"/>
        </w:rPr>
        <w:t>o riceve un’offerta di lavoro congrua.</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Il beneficiario accetta o rifiuta l’offerta e il Sistema nazionale per la fruizione continua</w:t>
      </w:r>
      <w:r>
        <w:rPr>
          <w:rFonts w:ascii="Corbel" w:hAnsi="Corbel" w:cs="CIDFont+F1"/>
          <w:color w:val="000000"/>
        </w:rPr>
        <w:t xml:space="preserve"> </w:t>
      </w:r>
      <w:r w:rsidRPr="00D77AA8">
        <w:rPr>
          <w:rFonts w:ascii="Corbel" w:hAnsi="Corbel" w:cs="CIDFont+F1"/>
          <w:color w:val="000000"/>
        </w:rPr>
        <w:t>dei servizi di accompagnamento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S.I.Regionale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Partecipa ai colloqui di preselezione e selezione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Accetta offerta di lavoro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Individua i profili dei beneficiari rispondenti ai fabbisogni professionali rilevati</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Promuove ai referenti aziendali i profili dei Navigator Coadiuva l’operatore del CPI</w:t>
      </w:r>
      <w:r>
        <w:rPr>
          <w:rFonts w:ascii="Corbel" w:hAnsi="Corbel" w:cs="CIDFont+F1"/>
          <w:color w:val="000000"/>
        </w:rPr>
        <w:t xml:space="preserve"> </w:t>
      </w:r>
      <w:r w:rsidRPr="00D77AA8">
        <w:rPr>
          <w:rFonts w:ascii="Corbel" w:hAnsi="Corbel" w:cs="CIDFont+F1"/>
          <w:color w:val="000000"/>
        </w:rPr>
        <w:t>per la ricerca e selezione costante delle opportunità da segnalare al beneficiario</w:t>
      </w:r>
      <w:r>
        <w:rPr>
          <w:rFonts w:ascii="Corbel" w:hAnsi="Corbel" w:cs="CIDFont+F1"/>
          <w:color w:val="000000"/>
        </w:rPr>
        <w:t xml:space="preserve"> </w:t>
      </w:r>
      <w:r w:rsidRPr="00D77AA8">
        <w:rPr>
          <w:rFonts w:ascii="Corbel" w:hAnsi="Corbel" w:cs="CIDFont+F1"/>
          <w:color w:val="000000"/>
        </w:rPr>
        <w:t>Coadiuva l’operatore del CPI nelle azioni di consulenza ai referenti aziendali sulle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Centro per l’Impiego, per il tramite di ANPAL, comunicherà ad INPS quanto</w:t>
      </w:r>
      <w:r>
        <w:rPr>
          <w:rFonts w:ascii="Corbel" w:hAnsi="Corbel" w:cs="CIDFont+F1"/>
          <w:color w:val="000000"/>
        </w:rPr>
        <w:t xml:space="preserve"> </w:t>
      </w:r>
      <w:r w:rsidRPr="00D77AA8">
        <w:rPr>
          <w:rFonts w:ascii="Corbel" w:hAnsi="Corbel" w:cs="CIDFont+F1"/>
          <w:color w:val="000000"/>
        </w:rPr>
        <w:t>previsto dalla norma.</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MyANPAL</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Riceve le comunicazioni di eventuali rifiuti di offerte congrue da parte dei CPI e le</w:t>
      </w:r>
      <w:r>
        <w:rPr>
          <w:rFonts w:ascii="Corbel" w:hAnsi="Corbel" w:cs="CIDFont+F1"/>
          <w:color w:val="000000"/>
        </w:rPr>
        <w:t xml:space="preserve"> </w:t>
      </w:r>
      <w:r w:rsidRPr="00D77AA8">
        <w:rPr>
          <w:rFonts w:ascii="Corbel" w:hAnsi="Corbel" w:cs="CIDFont+F1"/>
          <w:color w:val="000000"/>
        </w:rPr>
        <w:t>trasmette a INPS beneficiari e gestisce la preselezione Supporta il beneficiario nella</w:t>
      </w:r>
      <w:r>
        <w:rPr>
          <w:rFonts w:ascii="Corbel" w:hAnsi="Corbel" w:cs="CIDFont+F1"/>
          <w:color w:val="000000"/>
        </w:rPr>
        <w:t xml:space="preserve"> </w:t>
      </w:r>
      <w:r w:rsidRPr="00D77AA8">
        <w:rPr>
          <w:rFonts w:ascii="Corbel" w:hAnsi="Corbel" w:cs="CIDFont+F1"/>
          <w:color w:val="000000"/>
        </w:rPr>
        <w:t>scelta dell’offerta Realizza azioni di follow up per il monitoraggio degli avvenuti inserimenti possibili soluzioni contrattuali, su incentivi e agevolazioni alle assunzioni.</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Coadiuva l’operatore del CPI per le attività di preselezione (redazione e pubblicazione</w:t>
      </w:r>
      <w:r>
        <w:rPr>
          <w:rFonts w:ascii="Corbel" w:hAnsi="Corbel" w:cs="CIDFont+F1"/>
          <w:color w:val="000000"/>
        </w:rPr>
        <w:t xml:space="preserve"> </w:t>
      </w:r>
      <w:r w:rsidRPr="00D77AA8">
        <w:rPr>
          <w:rFonts w:ascii="Corbel" w:hAnsi="Corbel" w:cs="CIDFont+F1"/>
          <w:color w:val="000000"/>
        </w:rPr>
        <w:t>annuncio, elenco candidati idonei ed identificazione rosa da sottoporre all’azienda)</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Coadiuva l’operatore del CPI nella relazione con i datori di lavoro e/o con i referenti delle</w:t>
      </w:r>
      <w:r>
        <w:rPr>
          <w:rFonts w:ascii="Corbel" w:hAnsi="Corbel" w:cs="CIDFont+F1"/>
          <w:color w:val="000000"/>
        </w:rPr>
        <w:t xml:space="preserve"> </w:t>
      </w:r>
      <w:r w:rsidRPr="00D77AA8">
        <w:rPr>
          <w:rFonts w:ascii="Corbel" w:hAnsi="Corbel" w:cs="CIDFont+F1"/>
          <w:color w:val="000000"/>
        </w:rPr>
        <w:t>attività formative e con i beneficiari per verificare l’andamento e i livelli di soddisfazione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lastRenderedPageBreak/>
        <w:t>Non accetta offerta di lavoro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Segnala ai servizi competenti la mancata accettazione della offerta congrua</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Si precisa, altresì, che le suindicate fasi rappresentano una descrizione del processo e delle azioni relative alla presa in carico e alla gestione degli interventi di politica attiva connessi all’attuazione del Reddito di cittadinanza, non avendo alcuna implicazione di natura organizzativa sulla gestione dei servizi dei centri per l‘impiego, che restano di esclusiva competenza delle singole amministrazioni regionali, nell’ambito della declinazione dei LEP di cui al DM 4/2018.</w:t>
      </w:r>
    </w:p>
    <w:p w:rsidR="00D77AA8" w:rsidRPr="00D77AA8" w:rsidRDefault="00D77AA8" w:rsidP="00D77AA8">
      <w:pPr>
        <w:autoSpaceDE w:val="0"/>
        <w:autoSpaceDN w:val="0"/>
        <w:adjustRightInd w:val="0"/>
        <w:spacing w:after="0" w:line="20" w:lineRule="atLeast"/>
        <w:jc w:val="both"/>
        <w:rPr>
          <w:rFonts w:ascii="Corbel" w:eastAsia="CIDFont+F3" w:hAnsi="Corbel" w:cs="CIDFont+F3"/>
          <w:color w:val="2E74B6"/>
        </w:rPr>
      </w:pPr>
      <w:r w:rsidRPr="00D77AA8">
        <w:rPr>
          <w:rFonts w:ascii="Corbel" w:eastAsia="CIDFont+F3" w:hAnsi="Corbel" w:cs="CIDFont+F3"/>
          <w:color w:val="2E74B6"/>
        </w:rPr>
        <w:t>4 Ulteriori attività di assistenza tecnica di Anpal Servizi</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La Regione Emilia-Romagna e l’Agenzia Regionale per il Lavoro, al fine di perseguire con efficacia il raggiungimento degli obiettivi previsti dal proprio piano operativo e di garantire i Livelli Essenziali delle Prestazioni, intendono avvalersi dell’assistenza tecnica di operatori specializzati di Anpal Servizi per la realizzazione delle ulteriori attività descritte nello schema seguente:</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t>Attività</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Potenziamento, in coordinamento con l’Agenzia Regionale per il Lavoro, dell’azione formativa a favore dei navigator sulle varie fasi connesse alla gestione: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eastAsia="Arial Unicode MS" w:hAnsi="Corbel" w:cs="Arial Unicode MS"/>
          <w:color w:val="000000"/>
        </w:rPr>
        <w:t></w:t>
      </w:r>
      <w:r w:rsidRPr="00D77AA8">
        <w:rPr>
          <w:rFonts w:ascii="Corbel" w:eastAsia="CIDFont+F8" w:hAnsi="Corbel" w:cs="CIDFont+F8"/>
          <w:color w:val="000000"/>
        </w:rPr>
        <w:t xml:space="preserve"> </w:t>
      </w:r>
      <w:proofErr w:type="gramStart"/>
      <w:r w:rsidRPr="00D77AA8">
        <w:rPr>
          <w:rFonts w:ascii="Corbel" w:hAnsi="Corbel" w:cs="CIDFont+F1"/>
          <w:color w:val="000000"/>
        </w:rPr>
        <w:t>degli</w:t>
      </w:r>
      <w:proofErr w:type="gramEnd"/>
      <w:r w:rsidRPr="00D77AA8">
        <w:rPr>
          <w:rFonts w:ascii="Corbel" w:hAnsi="Corbel" w:cs="CIDFont+F1"/>
          <w:color w:val="000000"/>
        </w:rPr>
        <w:t xml:space="preserve"> altri servizi individuati come Livelli Essenziali delle Prestazioni</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eastAsia="Arial Unicode MS" w:hAnsi="Corbel" w:cs="Arial Unicode MS"/>
          <w:color w:val="000000"/>
        </w:rPr>
        <w:t></w:t>
      </w:r>
      <w:r w:rsidRPr="00D77AA8">
        <w:rPr>
          <w:rFonts w:ascii="Corbel" w:eastAsia="CIDFont+F8" w:hAnsi="Corbel" w:cs="CIDFont+F8"/>
          <w:color w:val="000000"/>
        </w:rPr>
        <w:t xml:space="preserve"> </w:t>
      </w:r>
      <w:proofErr w:type="gramStart"/>
      <w:r w:rsidRPr="00D77AA8">
        <w:rPr>
          <w:rFonts w:ascii="Corbel" w:hAnsi="Corbel" w:cs="CIDFont+F1"/>
          <w:color w:val="000000"/>
        </w:rPr>
        <w:t>delle</w:t>
      </w:r>
      <w:proofErr w:type="gramEnd"/>
      <w:r w:rsidRPr="00D77AA8">
        <w:rPr>
          <w:rFonts w:ascii="Corbel" w:hAnsi="Corbel" w:cs="CIDFont+F1"/>
          <w:color w:val="000000"/>
        </w:rPr>
        <w:t xml:space="preserve"> altre prestazioni e programmi di Politica Attiva del Lavoro regolati dalla normativa regionale, compreso il corretto utilizzo degli strumenti e i sistemi informativi in uso presso l’Agenzia Regionale per il Lavoro.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Affiancamento degli operatori dell’Agenzia Regionale per il Lavoro nell’implementazione delle varie fasi connesse alla gestione dell’Assegno di Ricollocazione, per tutti i target potenziali destinatari dello strumento.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Affiancamento degli operatori dell’Agenzia Regionale per il Lavoro nell’implementazione delle varie fasi connesse alla gestione delle azioni di Politica Attiva del Lavoro a favore dei lavoratori coinvolti in aree di crisi complessa o situazione di crisi di aziende grandi o plurilocalizzate, anche con la costituzione di equipe di lavoro dedicate.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Affiancamento degli operatori dell’Agenzia Regionale per il Lavoro nella delle varie fasi connesse alla gestione delle azioni di Politica Attiva del Lavoro a favore dei soggetti svantaggiati.</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Affiancamento degli operatori dell’Agenzia Regionale per il Lavoro nelle azioni di preselezione e incrocio domanda e offerta per tutti i target in carico ai Servizi per il Lavoro oltre ai beneficiari del Reddito di Cittadinanza, anche attraverso l’elaborazione di piani regionali di scouting e la realizzazione di azioni ed eventi finalizzati al coinvolgimento delle imprese.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Potenziamento, anche sulla base dell’analisi organizzativa delle risorse strumentali e umane, attraverso azioni in presenza e di affiancamento on-the-job, dell’azione formativa così come prevista al punto 5 del presente Piano.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Supporto ai navigator, agli operatori dell’Agenzia Regionale per il Lavoro e agli operatori dei servizi socio-sanitari, per le attività di raccordo con le strutture di istruzione e formazione.</w:t>
      </w:r>
    </w:p>
    <w:p w:rsidR="00D77AA8" w:rsidRPr="00D77AA8" w:rsidRDefault="00D77AA8" w:rsidP="00D77AA8">
      <w:pPr>
        <w:autoSpaceDE w:val="0"/>
        <w:autoSpaceDN w:val="0"/>
        <w:adjustRightInd w:val="0"/>
        <w:spacing w:after="0" w:line="20" w:lineRule="atLeast"/>
        <w:jc w:val="both"/>
        <w:rPr>
          <w:rFonts w:ascii="Corbel" w:eastAsia="CIDFont+F3" w:hAnsi="Corbel" w:cs="CIDFont+F3"/>
          <w:color w:val="2E74B6"/>
        </w:rPr>
      </w:pPr>
      <w:r w:rsidRPr="00D77AA8">
        <w:rPr>
          <w:rFonts w:ascii="Corbel" w:eastAsia="CIDFont+F3" w:hAnsi="Corbel" w:cs="CIDFont+F3"/>
          <w:color w:val="2E74B6"/>
        </w:rPr>
        <w:t>5 Le attività di formazione degli operatori dei Servizi per l’impiego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Anpal Servizi gestirà, d’intesa con la Regione e l’Agenzia Regionale per il Lavoro, il piano di sviluppo delle competenze degli operatori dei Centri Per l’Impiego in relazione alle azioni necessarie per l’implementazione del Reddito di cittadinanza e della garanzia dei LEP e secondo standard omogenei a livello nazionale.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Il piano sarà caratterizzato da una metodologia didattica che consenta di conciliare l’esigenza di adeguare le proprie competenze e, contemporaneamente, di operare presso i Centri Per l’Impiego.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 xml:space="preserve">Il percorso sarà, dunque, centrato sulla tecnica dell’apprendimento strutturato al lavoro, integrato con attività in modalità collaborativa e di lezione frontale </w:t>
      </w:r>
      <w:r w:rsidRPr="00D77AA8">
        <w:rPr>
          <w:rFonts w:ascii="Corbel" w:hAnsi="Corbel" w:cs="CIDFont+F7"/>
          <w:color w:val="000000"/>
        </w:rPr>
        <w:t xml:space="preserve">blended </w:t>
      </w:r>
      <w:r w:rsidRPr="00D77AA8">
        <w:rPr>
          <w:rFonts w:ascii="Corbel" w:hAnsi="Corbel" w:cs="CIDFont+F1"/>
          <w:color w:val="000000"/>
        </w:rPr>
        <w:t>(in aula, in presenza o a distanza). Si alterneranno momenti di formazione in presenza (aula), formazione online (digital learning) e formazione on the job, per creare un ambiente facilitante per l’apprendimento e consentire allo stesso tempo il regolare svolgimento delle attività nei confronti dei cittadini e delle imprese.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Il percorso prevedrà il monitoraggio degli apprendimenti tramite osservazione delle competenze agite nel training on the job e verifiche a test a risposta multipla per ciascun modulo.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Il piano sarà definito e dimensionato in seguito alla stipula della Convenzione e sarà oggetto di valutazione da parte della Cabina di Regia per la sua approvazione.</w:t>
      </w:r>
    </w:p>
    <w:p w:rsidR="00D77AA8" w:rsidRPr="00D77AA8" w:rsidRDefault="00D77AA8" w:rsidP="00D77AA8">
      <w:pPr>
        <w:autoSpaceDE w:val="0"/>
        <w:autoSpaceDN w:val="0"/>
        <w:adjustRightInd w:val="0"/>
        <w:spacing w:after="0" w:line="20" w:lineRule="atLeast"/>
        <w:jc w:val="both"/>
        <w:rPr>
          <w:rFonts w:ascii="Corbel" w:eastAsia="CIDFont+F3" w:hAnsi="Corbel" w:cs="CIDFont+F3"/>
          <w:color w:val="2E74B6"/>
        </w:rPr>
      </w:pPr>
      <w:r w:rsidRPr="00D77AA8">
        <w:rPr>
          <w:rFonts w:ascii="Corbel" w:eastAsia="CIDFont+F3" w:hAnsi="Corbel" w:cs="CIDFont+F3"/>
          <w:color w:val="2E74B6"/>
        </w:rPr>
        <w:lastRenderedPageBreak/>
        <w:t>6 Il dimensionamento regionale dell’intervento</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Per la realizzazione delle attività previste dal presente Piano, Anpal Servizi metterà a disposizione operatori in possesso delle competenze professionali necessarie.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Ogni Navigator potrà operare presso la Regione o in un centro per l’impiego indicato da Anpal Servizi, sulla base dei fabbisogni rilevati dall’Agenzia Regionale per il Lavoro nell’ambito del bacino provinciale di riferimento, come riportato nella Tabella n. 1 del Piano straordinario di potenziamento dei CPI e delle politiche attive del lavoro, approvato con l’Intesa del 17 aprile 2019 dalla Conferenza Stato – Regioni.</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Su richiesta dell’Agenzia Regionale per il Lavoro, in base ad esigenze logistiche dovute alla disponibilità di spazi e attrezzature o ad una diversa distribuzione del numero di beneficiari di Reddito di Cittadinanza da seguire, ogni collaboratore potrà anche prestare assistenza ad altri CPI o a sedi distaccate dello stesso CPI comunque all’interno dello stesso ambito provinciale.</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La tabella seguente descrive la ripartizione iniziale dei Navigator per ogni Centro Per l’Impiego della Regione.</w:t>
      </w:r>
    </w:p>
    <w:p w:rsidR="00D77AA8" w:rsidRPr="00D77AA8" w:rsidRDefault="00D77AA8" w:rsidP="00D77AA8">
      <w:pPr>
        <w:autoSpaceDE w:val="0"/>
        <w:autoSpaceDN w:val="0"/>
        <w:adjustRightInd w:val="0"/>
        <w:spacing w:after="0" w:line="20" w:lineRule="atLeast"/>
        <w:jc w:val="both"/>
        <w:rPr>
          <w:rFonts w:ascii="Corbel" w:hAnsi="Corbel" w:cs="CIDFont+F2"/>
          <w:color w:val="002060"/>
        </w:rPr>
      </w:pPr>
      <w:r w:rsidRPr="00D77AA8">
        <w:rPr>
          <w:rFonts w:ascii="Corbel" w:hAnsi="Corbel" w:cs="CIDFont+F2"/>
          <w:color w:val="002060"/>
        </w:rPr>
        <w:t>REGIONE EMILIA ROMAGNA</w:t>
      </w:r>
    </w:p>
    <w:p w:rsidR="00D77AA8" w:rsidRPr="00D77AA8" w:rsidRDefault="00D77AA8" w:rsidP="00D77AA8">
      <w:pPr>
        <w:autoSpaceDE w:val="0"/>
        <w:autoSpaceDN w:val="0"/>
        <w:adjustRightInd w:val="0"/>
        <w:spacing w:after="0" w:line="20" w:lineRule="atLeast"/>
        <w:jc w:val="both"/>
        <w:rPr>
          <w:rFonts w:ascii="Corbel" w:hAnsi="Corbel" w:cs="CIDFont+F2"/>
          <w:color w:val="002060"/>
        </w:rPr>
      </w:pPr>
      <w:r w:rsidRPr="00D77AA8">
        <w:rPr>
          <w:rFonts w:ascii="Corbel" w:hAnsi="Corbel" w:cs="CIDFont+F2"/>
          <w:color w:val="002060"/>
        </w:rPr>
        <w:t>PROVINCIA - CPI NAVIGATOR ASSEGNATI</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t>CITTÀ METROPOLITANA DI BOLOGNA 40</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BOLOGNA 22</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IMOLA 5</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MINERBIO 4</w:t>
      </w:r>
    </w:p>
    <w:p w:rsidR="00D77AA8" w:rsidRPr="00D77AA8" w:rsidRDefault="00D77AA8" w:rsidP="00D77AA8">
      <w:pPr>
        <w:autoSpaceDE w:val="0"/>
        <w:autoSpaceDN w:val="0"/>
        <w:adjustRightInd w:val="0"/>
        <w:spacing w:after="0" w:line="20" w:lineRule="atLeast"/>
        <w:jc w:val="both"/>
        <w:rPr>
          <w:rFonts w:ascii="Corbel" w:hAnsi="Corbel" w:cs="CIDFont+F2"/>
          <w:color w:val="002060"/>
        </w:rPr>
      </w:pPr>
      <w:r w:rsidRPr="00D77AA8">
        <w:rPr>
          <w:rFonts w:ascii="Corbel" w:hAnsi="Corbel" w:cs="CIDFont+F2"/>
          <w:color w:val="002060"/>
        </w:rPr>
        <w:t>REGIONE EMILIA ROMAGNA</w:t>
      </w:r>
    </w:p>
    <w:p w:rsidR="00D77AA8" w:rsidRPr="00D77AA8" w:rsidRDefault="00D77AA8" w:rsidP="00D77AA8">
      <w:pPr>
        <w:autoSpaceDE w:val="0"/>
        <w:autoSpaceDN w:val="0"/>
        <w:adjustRightInd w:val="0"/>
        <w:spacing w:after="0" w:line="20" w:lineRule="atLeast"/>
        <w:jc w:val="both"/>
        <w:rPr>
          <w:rFonts w:ascii="Corbel" w:hAnsi="Corbel" w:cs="CIDFont+F2"/>
          <w:color w:val="002060"/>
        </w:rPr>
      </w:pPr>
      <w:r w:rsidRPr="00D77AA8">
        <w:rPr>
          <w:rFonts w:ascii="Corbel" w:hAnsi="Corbel" w:cs="CIDFont+F2"/>
          <w:color w:val="002060"/>
        </w:rPr>
        <w:t>PROVINCIA - CPI NAVIGATOR ASSEGNATI</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ZOLA PREDOSA 2</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ALTO RENO TERME 3</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SAN LAZZARO DI SAVENA 2</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SAN GIOVANNI IN PERSICETO 2</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t>PROVINCIA DI FERRARA 13</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FERRARA 6</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BASSO FERRARESE 4</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ALTO FERRARESE 3</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t>PROVINCIA DI FORLÌ-CESENA 14</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FORLÌ 8</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SAVIGNANO SUL RUBICONE 3</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CESENA 3</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t>PROVINCIA DI MODENA 25</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MODENA 13</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CARPI 3</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SASSUOLO 3</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MIRANDOLA 2</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VIGNOLA 3</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CASTELFRANCO EMILIA 0</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PAVULLO NEL FRIGNANO 1</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t>PROVINCIA DI PARMA 18</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PARMA 12</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FIDENZA 4</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LANGHIRANO 1</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BORGO \VAL DI TARO 1</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t>PROVINCIA DI PIACENZA 10</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PIACENZA 5</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FIORENZUOLA D'ARDA 2</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CASTEL SAN GIOVANNI 3</w:t>
      </w:r>
    </w:p>
    <w:p w:rsidR="00D77AA8" w:rsidRPr="00D77AA8" w:rsidRDefault="00D77AA8" w:rsidP="00D77AA8">
      <w:pPr>
        <w:autoSpaceDE w:val="0"/>
        <w:autoSpaceDN w:val="0"/>
        <w:adjustRightInd w:val="0"/>
        <w:spacing w:after="0" w:line="20" w:lineRule="atLeast"/>
        <w:jc w:val="both"/>
        <w:rPr>
          <w:rFonts w:ascii="Corbel" w:hAnsi="Corbel" w:cs="CIDFont+F2"/>
          <w:color w:val="000000"/>
        </w:rPr>
      </w:pPr>
      <w:r w:rsidRPr="00D77AA8">
        <w:rPr>
          <w:rFonts w:ascii="Corbel" w:hAnsi="Corbel" w:cs="CIDFont+F2"/>
          <w:color w:val="000000"/>
        </w:rPr>
        <w:t>PROVINCIA DI RAVENNA 14</w:t>
      </w:r>
    </w:p>
    <w:p w:rsidR="00D77AA8" w:rsidRP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RAVENNA 7</w:t>
      </w:r>
    </w:p>
    <w:p w:rsidR="00D77AA8" w:rsidRDefault="00D77AA8" w:rsidP="00D77AA8">
      <w:pPr>
        <w:autoSpaceDE w:val="0"/>
        <w:autoSpaceDN w:val="0"/>
        <w:adjustRightInd w:val="0"/>
        <w:spacing w:after="0" w:line="20" w:lineRule="atLeast"/>
        <w:jc w:val="both"/>
        <w:rPr>
          <w:rFonts w:ascii="Corbel" w:hAnsi="Corbel" w:cs="CIDFont+F1"/>
          <w:color w:val="000000"/>
        </w:rPr>
      </w:pPr>
      <w:r w:rsidRPr="00D77AA8">
        <w:rPr>
          <w:rFonts w:ascii="Corbel" w:hAnsi="Corbel" w:cs="CIDFont+F1"/>
          <w:color w:val="000000"/>
        </w:rPr>
        <w:t>FAENZA 4</w:t>
      </w:r>
    </w:p>
    <w:p w:rsidR="005248E2" w:rsidRDefault="005248E2" w:rsidP="00D77AA8">
      <w:pPr>
        <w:autoSpaceDE w:val="0"/>
        <w:autoSpaceDN w:val="0"/>
        <w:adjustRightInd w:val="0"/>
        <w:spacing w:after="0" w:line="20" w:lineRule="atLeast"/>
        <w:jc w:val="both"/>
        <w:rPr>
          <w:rFonts w:ascii="Corbel" w:hAnsi="Corbel" w:cs="CIDFont+F1"/>
          <w:color w:val="000000"/>
        </w:rPr>
      </w:pPr>
    </w:p>
    <w:p w:rsidR="005248E2" w:rsidRPr="005248E2" w:rsidRDefault="005248E2" w:rsidP="005248E2">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ascii="Corbel" w:hAnsi="Corbel" w:cs="CIDFont+F1"/>
          <w:b/>
          <w:color w:val="000000"/>
        </w:rPr>
      </w:pPr>
      <w:r w:rsidRPr="005248E2">
        <w:rPr>
          <w:rFonts w:ascii="Corbel" w:hAnsi="Corbel" w:cs="CIDFont+F1"/>
          <w:b/>
          <w:color w:val="000000"/>
        </w:rPr>
        <w:t>SANITÀ</w:t>
      </w:r>
    </w:p>
    <w:p w:rsidR="005248E2" w:rsidRPr="005248E2" w:rsidRDefault="005248E2" w:rsidP="00D77AA8">
      <w:pPr>
        <w:autoSpaceDE w:val="0"/>
        <w:autoSpaceDN w:val="0"/>
        <w:adjustRightInd w:val="0"/>
        <w:spacing w:after="0" w:line="20" w:lineRule="atLeast"/>
        <w:jc w:val="both"/>
        <w:rPr>
          <w:rFonts w:ascii="Corbel" w:hAnsi="Corbel" w:cs="CIDFont+F1"/>
        </w:rPr>
      </w:pPr>
    </w:p>
    <w:p w:rsidR="005248E2" w:rsidRPr="005248E2" w:rsidRDefault="005248E2" w:rsidP="005248E2">
      <w:pPr>
        <w:pStyle w:val="metadata"/>
        <w:spacing w:before="0" w:beforeAutospacing="0" w:after="0" w:afterAutospacing="0" w:line="20" w:lineRule="atLeast"/>
        <w:jc w:val="both"/>
        <w:rPr>
          <w:rFonts w:asciiTheme="minorHAnsi" w:hAnsiTheme="minorHAnsi" w:cstheme="minorHAnsi"/>
          <w:sz w:val="22"/>
          <w:szCs w:val="22"/>
        </w:rPr>
      </w:pPr>
      <w:r w:rsidRPr="005248E2">
        <w:rPr>
          <w:rFonts w:asciiTheme="minorHAnsi" w:hAnsiTheme="minorHAnsi" w:cstheme="minorHAnsi"/>
          <w:b/>
          <w:sz w:val="22"/>
          <w:szCs w:val="22"/>
        </w:rPr>
        <w:t>DGR 29 luglio 2019, n. 1341</w:t>
      </w:r>
      <w:r w:rsidRPr="005248E2">
        <w:rPr>
          <w:rFonts w:asciiTheme="minorHAnsi" w:hAnsiTheme="minorHAnsi" w:cstheme="minorHAnsi"/>
          <w:sz w:val="22"/>
          <w:szCs w:val="22"/>
        </w:rPr>
        <w:t>, Provvedimenti a favore delle pazienti oncologiche in ordine al sostegno da parte del Servizio sanitario regionale per l'acquisto di parrucche (BUR n. 279 del 21.8.19)</w:t>
      </w:r>
    </w:p>
    <w:p w:rsidR="005248E2" w:rsidRPr="005248E2" w:rsidRDefault="005248E2" w:rsidP="005248E2">
      <w:pPr>
        <w:pStyle w:val="NormaleWeb"/>
        <w:shd w:val="clear" w:color="auto" w:fill="EFEFEF"/>
        <w:spacing w:before="0" w:beforeAutospacing="0" w:after="0" w:afterAutospacing="0" w:line="20" w:lineRule="atLeast"/>
        <w:jc w:val="both"/>
        <w:rPr>
          <w:rFonts w:asciiTheme="minorHAnsi" w:hAnsiTheme="minorHAnsi" w:cstheme="minorHAnsi"/>
          <w:b/>
          <w:sz w:val="22"/>
          <w:szCs w:val="22"/>
        </w:rPr>
      </w:pPr>
      <w:r w:rsidRPr="005248E2">
        <w:rPr>
          <w:rFonts w:asciiTheme="minorHAnsi" w:hAnsiTheme="minorHAnsi" w:cstheme="minorHAnsi"/>
          <w:b/>
          <w:sz w:val="22"/>
          <w:szCs w:val="22"/>
        </w:rPr>
        <w:t>Note</w:t>
      </w:r>
    </w:p>
    <w:p w:rsidR="005248E2" w:rsidRPr="005248E2" w:rsidRDefault="005248E2" w:rsidP="005248E2">
      <w:pPr>
        <w:pStyle w:val="NormaleWeb"/>
        <w:shd w:val="clear" w:color="auto" w:fill="EFEFEF"/>
        <w:spacing w:before="0" w:beforeAutospacing="0" w:after="0" w:afterAutospacing="0" w:line="20" w:lineRule="atLeast"/>
        <w:jc w:val="both"/>
        <w:rPr>
          <w:rFonts w:asciiTheme="minorHAnsi" w:hAnsiTheme="minorHAnsi" w:cstheme="minorHAnsi"/>
          <w:sz w:val="22"/>
          <w:szCs w:val="22"/>
        </w:rPr>
      </w:pPr>
      <w:r w:rsidRPr="005248E2">
        <w:rPr>
          <w:rFonts w:asciiTheme="minorHAnsi" w:hAnsiTheme="minorHAnsi" w:cstheme="minorHAnsi"/>
          <w:sz w:val="22"/>
          <w:szCs w:val="22"/>
        </w:rPr>
        <w:t>Viene disposta l’erogazione a carico del Servizio Sanitario Regionale di un contributo a sostegno dell’acquisto di parrucche a favore delle pazienti affette da perdita dei capelli a seguito di trattamenti radioterapici o chemioterapici connessi a patologie oncologiche, nei limiti e con le modalità definite dai successivi punti.</w:t>
      </w:r>
    </w:p>
    <w:p w:rsidR="005248E2" w:rsidRPr="005248E2" w:rsidRDefault="005248E2" w:rsidP="005248E2">
      <w:pPr>
        <w:pStyle w:val="NormaleWeb"/>
        <w:shd w:val="clear" w:color="auto" w:fill="EFEFEF"/>
        <w:spacing w:before="0" w:beforeAutospacing="0" w:after="0" w:afterAutospacing="0" w:line="20" w:lineRule="atLeast"/>
        <w:jc w:val="both"/>
        <w:rPr>
          <w:rFonts w:asciiTheme="minorHAnsi" w:hAnsiTheme="minorHAnsi" w:cstheme="minorHAnsi"/>
          <w:sz w:val="22"/>
          <w:szCs w:val="22"/>
        </w:rPr>
      </w:pPr>
      <w:r w:rsidRPr="005248E2">
        <w:rPr>
          <w:rFonts w:asciiTheme="minorHAnsi" w:hAnsiTheme="minorHAnsi" w:cstheme="minorHAnsi"/>
          <w:sz w:val="22"/>
          <w:szCs w:val="22"/>
        </w:rPr>
        <w:t xml:space="preserve">Il beneficio </w:t>
      </w:r>
      <w:proofErr w:type="gramStart"/>
      <w:r w:rsidRPr="005248E2">
        <w:rPr>
          <w:rFonts w:asciiTheme="minorHAnsi" w:hAnsiTheme="minorHAnsi" w:cstheme="minorHAnsi"/>
          <w:sz w:val="22"/>
          <w:szCs w:val="22"/>
        </w:rPr>
        <w:t>verrà  erogato</w:t>
      </w:r>
      <w:proofErr w:type="gramEnd"/>
      <w:r w:rsidRPr="005248E2">
        <w:rPr>
          <w:rFonts w:asciiTheme="minorHAnsi" w:hAnsiTheme="minorHAnsi" w:cstheme="minorHAnsi"/>
          <w:sz w:val="22"/>
          <w:szCs w:val="22"/>
        </w:rPr>
        <w:t xml:space="preserve"> una tantum alle pazienti residenti in Emilia-Romagna, le quali hanno diritto di ottenere dall'Azienda USL di riferimento un contributo fino a euro 400,00, e non superiore alla spesa effettivamente sostenuta, per l'acquisto di una parrucca, attraverso le seguenti modalità procedurali:</w:t>
      </w:r>
    </w:p>
    <w:p w:rsidR="005248E2" w:rsidRPr="005248E2" w:rsidRDefault="005248E2" w:rsidP="005248E2">
      <w:pPr>
        <w:pStyle w:val="NormaleWeb"/>
        <w:shd w:val="clear" w:color="auto" w:fill="EFEFEF"/>
        <w:spacing w:before="0" w:beforeAutospacing="0" w:after="0" w:afterAutospacing="0" w:line="20" w:lineRule="atLeast"/>
        <w:jc w:val="both"/>
        <w:rPr>
          <w:rFonts w:asciiTheme="minorHAnsi" w:hAnsiTheme="minorHAnsi" w:cstheme="minorHAnsi"/>
          <w:sz w:val="22"/>
          <w:szCs w:val="22"/>
        </w:rPr>
      </w:pPr>
      <w:proofErr w:type="gramStart"/>
      <w:r w:rsidRPr="005248E2">
        <w:rPr>
          <w:rFonts w:asciiTheme="minorHAnsi" w:hAnsiTheme="minorHAnsi" w:cstheme="minorHAnsi"/>
          <w:sz w:val="22"/>
          <w:szCs w:val="22"/>
        </w:rPr>
        <w:t>le</w:t>
      </w:r>
      <w:proofErr w:type="gramEnd"/>
      <w:r w:rsidRPr="005248E2">
        <w:rPr>
          <w:rFonts w:asciiTheme="minorHAnsi" w:hAnsiTheme="minorHAnsi" w:cstheme="minorHAnsi"/>
          <w:sz w:val="22"/>
          <w:szCs w:val="22"/>
        </w:rPr>
        <w:t xml:space="preserve"> richieste di contributo dovranno essere indirizzate alla Azienda USL di residenza utilizzando la modulistica e gli eventuali indirizzi operativi che verranno definiti dalla Direzione Generale Cura della Persona, Salute e Welfare entro 30 gg dalla pubblicazione nel BURERT del presente provvedimento, corredata dalla documentazione di seguito indicata:</w:t>
      </w:r>
    </w:p>
    <w:p w:rsidR="005248E2" w:rsidRPr="005248E2" w:rsidRDefault="005248E2" w:rsidP="005248E2">
      <w:pPr>
        <w:pStyle w:val="NormaleWeb"/>
        <w:shd w:val="clear" w:color="auto" w:fill="EFEFEF"/>
        <w:spacing w:before="0" w:beforeAutospacing="0" w:after="0" w:afterAutospacing="0" w:line="20" w:lineRule="atLeast"/>
        <w:jc w:val="both"/>
        <w:rPr>
          <w:rFonts w:asciiTheme="minorHAnsi" w:hAnsiTheme="minorHAnsi" w:cstheme="minorHAnsi"/>
          <w:sz w:val="22"/>
          <w:szCs w:val="22"/>
        </w:rPr>
      </w:pPr>
      <w:r w:rsidRPr="005248E2">
        <w:rPr>
          <w:rFonts w:asciiTheme="minorHAnsi" w:hAnsiTheme="minorHAnsi" w:cstheme="minorHAnsi"/>
          <w:sz w:val="22"/>
          <w:szCs w:val="22"/>
        </w:rPr>
        <w:t>- certificato che attesti la patologia neoplastica e l’intercorsa alopecia secondaria a trattamenti radioterapici o chemioterapici;</w:t>
      </w:r>
    </w:p>
    <w:p w:rsidR="005248E2" w:rsidRPr="005248E2" w:rsidRDefault="005248E2" w:rsidP="005248E2">
      <w:pPr>
        <w:pStyle w:val="NormaleWeb"/>
        <w:shd w:val="clear" w:color="auto" w:fill="EFEFEF"/>
        <w:spacing w:before="0" w:beforeAutospacing="0" w:after="0" w:afterAutospacing="0" w:line="20" w:lineRule="atLeast"/>
        <w:jc w:val="both"/>
        <w:rPr>
          <w:rFonts w:asciiTheme="minorHAnsi" w:hAnsiTheme="minorHAnsi" w:cstheme="minorHAnsi"/>
          <w:sz w:val="22"/>
          <w:szCs w:val="22"/>
        </w:rPr>
      </w:pPr>
      <w:r w:rsidRPr="005248E2">
        <w:rPr>
          <w:rFonts w:asciiTheme="minorHAnsi" w:hAnsiTheme="minorHAnsi" w:cstheme="minorHAnsi"/>
          <w:sz w:val="22"/>
          <w:szCs w:val="22"/>
        </w:rPr>
        <w:t>- ricevuta di avvenuto pagamento per l’acquisto della parrucca (fattura o scontrino recante codice fiscale della paziente che presenta la domanda) posteriore alla data di entrata in vigore del presente provvedimento come stabilita dal successivo punto 4.</w:t>
      </w:r>
    </w:p>
    <w:p w:rsidR="005248E2" w:rsidRPr="005248E2" w:rsidRDefault="005248E2" w:rsidP="005248E2">
      <w:pPr>
        <w:pStyle w:val="NormaleWeb"/>
        <w:shd w:val="clear" w:color="auto" w:fill="EFEFEF"/>
        <w:spacing w:before="0" w:beforeAutospacing="0" w:after="0" w:afterAutospacing="0" w:line="20" w:lineRule="atLeast"/>
        <w:jc w:val="both"/>
        <w:rPr>
          <w:rFonts w:asciiTheme="minorHAnsi" w:hAnsiTheme="minorHAnsi" w:cstheme="minorHAnsi"/>
          <w:sz w:val="22"/>
          <w:szCs w:val="22"/>
        </w:rPr>
      </w:pPr>
      <w:r w:rsidRPr="005248E2">
        <w:rPr>
          <w:rFonts w:asciiTheme="minorHAnsi" w:hAnsiTheme="minorHAnsi" w:cstheme="minorHAnsi"/>
          <w:sz w:val="22"/>
          <w:szCs w:val="22"/>
        </w:rPr>
        <w:t>L’Azienda USL, verificata la regolarità della documentazione presentata, accolga le domande ammissibili e conceda il contributo richiesto, rendicontando alla Direzione Generale Cura della Persona, Salute e Welfare a cadenza annuale, entro il 30 novembre, la spesa globale sostenuta, riservando a successivi provvedimenti di questa Giunta la definizione dell’ammontare del finanziamento destinato alle Aziende a rimborso dei costi sostenuti.</w:t>
      </w:r>
    </w:p>
    <w:p w:rsidR="005248E2" w:rsidRDefault="005248E2" w:rsidP="00D77AA8">
      <w:pPr>
        <w:autoSpaceDE w:val="0"/>
        <w:autoSpaceDN w:val="0"/>
        <w:adjustRightInd w:val="0"/>
        <w:spacing w:after="0" w:line="20" w:lineRule="atLeast"/>
        <w:jc w:val="both"/>
        <w:rPr>
          <w:rFonts w:ascii="Corbel" w:hAnsi="Corbel" w:cs="CIDFont+F1"/>
          <w:color w:val="000000"/>
        </w:rPr>
      </w:pPr>
    </w:p>
    <w:p w:rsidR="003B4334" w:rsidRPr="00473F93" w:rsidRDefault="003B4334" w:rsidP="003B4334">
      <w:pPr>
        <w:pStyle w:val="metadata"/>
        <w:spacing w:before="0" w:beforeAutospacing="0" w:after="0" w:afterAutospacing="0" w:line="20" w:lineRule="atLeast"/>
        <w:jc w:val="both"/>
        <w:rPr>
          <w:rFonts w:asciiTheme="minorHAnsi" w:hAnsiTheme="minorHAnsi" w:cstheme="minorHAnsi"/>
          <w:sz w:val="22"/>
          <w:szCs w:val="22"/>
        </w:rPr>
      </w:pPr>
      <w:r w:rsidRPr="00473F93">
        <w:rPr>
          <w:rFonts w:asciiTheme="minorHAnsi" w:hAnsiTheme="minorHAnsi" w:cstheme="minorHAnsi"/>
          <w:b/>
          <w:sz w:val="22"/>
          <w:szCs w:val="22"/>
        </w:rPr>
        <w:t>DGR 5 agosto 2019, n. 1377</w:t>
      </w:r>
      <w:r w:rsidRPr="00473F93">
        <w:rPr>
          <w:rFonts w:asciiTheme="minorHAnsi" w:hAnsiTheme="minorHAnsi" w:cstheme="minorHAnsi"/>
          <w:sz w:val="22"/>
          <w:szCs w:val="22"/>
        </w:rPr>
        <w:t>, Istituzione, ai sensi dell'art. 6 della L.R. n. 19 del 5 dicembre 2018, del Tavolo multisettoriale di coordinamento delle politiche di promozione della salute e prevenzione (BUR n. 279 del 21.8.19)</w:t>
      </w:r>
    </w:p>
    <w:p w:rsidR="003B4334" w:rsidRPr="00473F93" w:rsidRDefault="003B4334" w:rsidP="003B4334">
      <w:pPr>
        <w:pStyle w:val="NormaleWeb"/>
        <w:shd w:val="clear" w:color="auto" w:fill="EFEFEF"/>
        <w:spacing w:before="0" w:beforeAutospacing="0" w:after="0" w:afterAutospacing="0" w:line="20" w:lineRule="atLeast"/>
        <w:jc w:val="both"/>
        <w:rPr>
          <w:rFonts w:asciiTheme="minorHAnsi" w:hAnsiTheme="minorHAnsi" w:cstheme="minorHAnsi"/>
          <w:sz w:val="22"/>
          <w:szCs w:val="22"/>
        </w:rPr>
      </w:pPr>
      <w:r w:rsidRPr="00473F93">
        <w:rPr>
          <w:rFonts w:asciiTheme="minorHAnsi" w:hAnsiTheme="minorHAnsi" w:cstheme="minorHAnsi"/>
          <w:sz w:val="22"/>
          <w:szCs w:val="22"/>
        </w:rPr>
        <w:t>Note</w:t>
      </w:r>
    </w:p>
    <w:p w:rsidR="003B4334" w:rsidRPr="00473F93" w:rsidRDefault="003B4334" w:rsidP="003B4334">
      <w:pPr>
        <w:pStyle w:val="NormaleWeb"/>
        <w:shd w:val="clear" w:color="auto" w:fill="EFEFEF"/>
        <w:spacing w:before="0" w:beforeAutospacing="0" w:after="0" w:afterAutospacing="0" w:line="20" w:lineRule="atLeast"/>
        <w:jc w:val="both"/>
        <w:rPr>
          <w:rFonts w:asciiTheme="minorHAnsi" w:hAnsiTheme="minorHAnsi" w:cstheme="minorHAnsi"/>
          <w:sz w:val="22"/>
          <w:szCs w:val="22"/>
        </w:rPr>
      </w:pPr>
      <w:proofErr w:type="gramStart"/>
      <w:r w:rsidRPr="00473F93">
        <w:rPr>
          <w:rFonts w:asciiTheme="minorHAnsi" w:hAnsiTheme="minorHAnsi" w:cstheme="minorHAnsi"/>
          <w:sz w:val="22"/>
          <w:szCs w:val="22"/>
        </w:rPr>
        <w:t>Viene  istituito</w:t>
      </w:r>
      <w:proofErr w:type="gramEnd"/>
      <w:r w:rsidRPr="00473F93">
        <w:rPr>
          <w:rFonts w:asciiTheme="minorHAnsi" w:hAnsiTheme="minorHAnsi" w:cstheme="minorHAnsi"/>
          <w:sz w:val="22"/>
          <w:szCs w:val="22"/>
        </w:rPr>
        <w:t xml:space="preserve"> il Tavolo multisettoriale di coordinamento delle politiche di promozione della salute e prevenzione, in attuazione dell’art. 6, comma 1, della L.R. n. 19 del 5 dicembre 2018 “Promozione della Salute, del Benessere della Persona e della Comunità e Prevenzione Primaria” incaricato di:</w:t>
      </w:r>
    </w:p>
    <w:p w:rsidR="003B4334" w:rsidRPr="00473F93" w:rsidRDefault="003B4334" w:rsidP="003B4334">
      <w:pPr>
        <w:pStyle w:val="NormaleWeb"/>
        <w:shd w:val="clear" w:color="auto" w:fill="EFEFEF"/>
        <w:spacing w:before="0" w:beforeAutospacing="0" w:after="0" w:afterAutospacing="0" w:line="20" w:lineRule="atLeast"/>
        <w:jc w:val="both"/>
        <w:rPr>
          <w:rFonts w:asciiTheme="minorHAnsi" w:hAnsiTheme="minorHAnsi" w:cstheme="minorHAnsi"/>
          <w:sz w:val="22"/>
          <w:szCs w:val="22"/>
        </w:rPr>
      </w:pPr>
      <w:r w:rsidRPr="00473F93">
        <w:rPr>
          <w:rFonts w:asciiTheme="minorHAnsi" w:hAnsiTheme="minorHAnsi" w:cstheme="minorHAnsi"/>
          <w:sz w:val="22"/>
          <w:szCs w:val="22"/>
        </w:rPr>
        <w:t>- assicurare l’integrazione ed il coordinamento delle politiche previste dai singoli strumenti di programmazione relativi ai seguenti ambiti settoriali: sanità, welfare, alimentazione, agricoltura e sicurezza dei prodotti e delle filiere alimentari, ambiente, protezione civile, territorio, mobilità, lavoro, istruzione, formazione, cultura, parità di genere, sicurezza e legalità, sviluppo economico, sport e politiche giovanili;</w:t>
      </w:r>
    </w:p>
    <w:p w:rsidR="003B4334" w:rsidRPr="00473F93" w:rsidRDefault="003B4334" w:rsidP="003B4334">
      <w:pPr>
        <w:pStyle w:val="NormaleWeb"/>
        <w:shd w:val="clear" w:color="auto" w:fill="EFEFEF"/>
        <w:spacing w:before="0" w:beforeAutospacing="0" w:after="0" w:afterAutospacing="0" w:line="20" w:lineRule="atLeast"/>
        <w:jc w:val="both"/>
        <w:rPr>
          <w:rFonts w:asciiTheme="minorHAnsi" w:hAnsiTheme="minorHAnsi" w:cstheme="minorHAnsi"/>
          <w:sz w:val="22"/>
          <w:szCs w:val="22"/>
        </w:rPr>
      </w:pPr>
      <w:r w:rsidRPr="00473F93">
        <w:rPr>
          <w:rFonts w:asciiTheme="minorHAnsi" w:hAnsiTheme="minorHAnsi" w:cstheme="minorHAnsi"/>
          <w:sz w:val="22"/>
          <w:szCs w:val="22"/>
        </w:rPr>
        <w:t>- migliorare la cooperazione tra Direzioni Generali, Agenzie ed Istituti Regionali;</w:t>
      </w:r>
    </w:p>
    <w:p w:rsidR="003B4334" w:rsidRPr="00473F93" w:rsidRDefault="003B4334" w:rsidP="003B4334">
      <w:pPr>
        <w:pStyle w:val="NormaleWeb"/>
        <w:shd w:val="clear" w:color="auto" w:fill="EFEFEF"/>
        <w:spacing w:before="0" w:beforeAutospacing="0" w:after="0" w:afterAutospacing="0" w:line="20" w:lineRule="atLeast"/>
        <w:jc w:val="both"/>
        <w:rPr>
          <w:rFonts w:asciiTheme="minorHAnsi" w:hAnsiTheme="minorHAnsi" w:cstheme="minorHAnsi"/>
          <w:sz w:val="22"/>
          <w:szCs w:val="22"/>
        </w:rPr>
      </w:pPr>
      <w:r w:rsidRPr="00473F93">
        <w:rPr>
          <w:rFonts w:asciiTheme="minorHAnsi" w:hAnsiTheme="minorHAnsi" w:cstheme="minorHAnsi"/>
          <w:sz w:val="22"/>
          <w:szCs w:val="22"/>
        </w:rPr>
        <w:t>- intervenire per assicurare il coordinamento nella fase preparatoria della Strategia Regionale per la promozione della salute e la prevenzione e per monitorarne e valutarne le fasi attuative;</w:t>
      </w:r>
    </w:p>
    <w:p w:rsidR="003B4334" w:rsidRPr="00473F93" w:rsidRDefault="003B4334" w:rsidP="003B4334">
      <w:pPr>
        <w:pStyle w:val="NormaleWeb"/>
        <w:shd w:val="clear" w:color="auto" w:fill="EFEFEF"/>
        <w:spacing w:before="0" w:beforeAutospacing="0" w:after="0" w:afterAutospacing="0" w:line="20" w:lineRule="atLeast"/>
        <w:jc w:val="both"/>
        <w:rPr>
          <w:rFonts w:asciiTheme="minorHAnsi" w:hAnsiTheme="minorHAnsi" w:cstheme="minorHAnsi"/>
          <w:sz w:val="22"/>
          <w:szCs w:val="22"/>
        </w:rPr>
      </w:pPr>
      <w:r w:rsidRPr="00473F93">
        <w:rPr>
          <w:rFonts w:asciiTheme="minorHAnsi" w:hAnsiTheme="minorHAnsi" w:cstheme="minorHAnsi"/>
          <w:sz w:val="22"/>
          <w:szCs w:val="22"/>
        </w:rPr>
        <w:t>- fornire il proprio contributo nella fase di predisposizione del Piano Regionale della Prevenzione, al fine di favorire l’attuazione del principio della promozione della salute e della prevenzione in tutte le politiche, l’approccio partecipativo, nonché una azione multisettoriale, intesa come integrazione dei diversi ambiti settoriali delle politiche di prevenzione.</w:t>
      </w:r>
    </w:p>
    <w:p w:rsidR="003B4334" w:rsidRPr="00473F93" w:rsidRDefault="003B4334" w:rsidP="003B4334">
      <w:pPr>
        <w:pStyle w:val="NormaleWeb"/>
        <w:shd w:val="clear" w:color="auto" w:fill="EFEFEF"/>
        <w:spacing w:before="0" w:beforeAutospacing="0" w:after="0" w:afterAutospacing="0" w:line="20" w:lineRule="atLeast"/>
        <w:jc w:val="both"/>
        <w:rPr>
          <w:rFonts w:asciiTheme="minorHAnsi" w:hAnsiTheme="minorHAnsi" w:cstheme="minorHAnsi"/>
          <w:sz w:val="22"/>
          <w:szCs w:val="22"/>
        </w:rPr>
      </w:pPr>
      <w:r w:rsidRPr="00473F93">
        <w:rPr>
          <w:rFonts w:asciiTheme="minorHAnsi" w:hAnsiTheme="minorHAnsi" w:cstheme="minorHAnsi"/>
          <w:sz w:val="22"/>
          <w:szCs w:val="22"/>
        </w:rPr>
        <w:t>Il Tavolo multisettoriale di coordinamento delle politiche di promozione della salute e prevenzione risulta così composto:</w:t>
      </w:r>
    </w:p>
    <w:p w:rsidR="003B4334" w:rsidRPr="00473F93" w:rsidRDefault="003B4334" w:rsidP="003B4334">
      <w:pPr>
        <w:pStyle w:val="NormaleWeb"/>
        <w:shd w:val="clear" w:color="auto" w:fill="EFEFEF"/>
        <w:spacing w:before="0" w:beforeAutospacing="0" w:after="0" w:afterAutospacing="0" w:line="20" w:lineRule="atLeast"/>
        <w:jc w:val="both"/>
        <w:rPr>
          <w:rFonts w:asciiTheme="minorHAnsi" w:hAnsiTheme="minorHAnsi" w:cstheme="minorHAnsi"/>
          <w:sz w:val="22"/>
          <w:szCs w:val="22"/>
        </w:rPr>
      </w:pPr>
      <w:r w:rsidRPr="00473F93">
        <w:rPr>
          <w:rFonts w:asciiTheme="minorHAnsi" w:hAnsiTheme="minorHAnsi" w:cstheme="minorHAnsi"/>
          <w:sz w:val="22"/>
          <w:szCs w:val="22"/>
        </w:rPr>
        <w:t>- Stefano Bonaccini, Presidente della Regione (Presidente del Tavolo multisettoriale di coordinamento delle politiche di promozione della salute e prevenzione);</w:t>
      </w:r>
    </w:p>
    <w:p w:rsidR="003B4334" w:rsidRPr="00473F93" w:rsidRDefault="003B4334" w:rsidP="003B4334">
      <w:pPr>
        <w:pStyle w:val="NormaleWeb"/>
        <w:shd w:val="clear" w:color="auto" w:fill="EFEFEF"/>
        <w:spacing w:before="0" w:beforeAutospacing="0" w:after="0" w:afterAutospacing="0" w:line="20" w:lineRule="atLeast"/>
        <w:jc w:val="both"/>
        <w:rPr>
          <w:rFonts w:asciiTheme="minorHAnsi" w:hAnsiTheme="minorHAnsi" w:cstheme="minorHAnsi"/>
          <w:sz w:val="22"/>
          <w:szCs w:val="22"/>
        </w:rPr>
      </w:pPr>
      <w:r w:rsidRPr="00473F93">
        <w:rPr>
          <w:rFonts w:asciiTheme="minorHAnsi" w:hAnsiTheme="minorHAnsi" w:cstheme="minorHAnsi"/>
          <w:sz w:val="22"/>
          <w:szCs w:val="22"/>
        </w:rPr>
        <w:t>- Sonia Bonanno, Direzione Generale Economia della Conoscenza, del Lavoro e dell’Impresa;</w:t>
      </w:r>
    </w:p>
    <w:p w:rsidR="003B4334" w:rsidRPr="00473F93" w:rsidRDefault="003B4334" w:rsidP="003B4334">
      <w:pPr>
        <w:pStyle w:val="NormaleWeb"/>
        <w:shd w:val="clear" w:color="auto" w:fill="EFEFEF"/>
        <w:spacing w:before="0" w:beforeAutospacing="0" w:after="0" w:afterAutospacing="0" w:line="20" w:lineRule="atLeast"/>
        <w:jc w:val="both"/>
        <w:rPr>
          <w:rFonts w:asciiTheme="minorHAnsi" w:hAnsiTheme="minorHAnsi" w:cstheme="minorHAnsi"/>
          <w:sz w:val="22"/>
          <w:szCs w:val="22"/>
        </w:rPr>
      </w:pPr>
      <w:r w:rsidRPr="00473F93">
        <w:rPr>
          <w:rFonts w:asciiTheme="minorHAnsi" w:hAnsiTheme="minorHAnsi" w:cstheme="minorHAnsi"/>
          <w:sz w:val="22"/>
          <w:szCs w:val="22"/>
        </w:rPr>
        <w:t>- Giuseppe Bortone, Direzione Generale dell’Agenzia Regionale per la Prevenzione, l’Ambiente e l’Energia (ARPAE) dell’Emilia-Romagna;</w:t>
      </w:r>
    </w:p>
    <w:p w:rsidR="003B4334" w:rsidRPr="00473F93" w:rsidRDefault="003B4334" w:rsidP="003B4334">
      <w:pPr>
        <w:pStyle w:val="NormaleWeb"/>
        <w:shd w:val="clear" w:color="auto" w:fill="EFEFEF"/>
        <w:spacing w:before="0" w:beforeAutospacing="0" w:after="0" w:afterAutospacing="0" w:line="20" w:lineRule="atLeast"/>
        <w:jc w:val="both"/>
        <w:rPr>
          <w:rFonts w:asciiTheme="minorHAnsi" w:hAnsiTheme="minorHAnsi" w:cstheme="minorHAnsi"/>
          <w:sz w:val="22"/>
          <w:szCs w:val="22"/>
        </w:rPr>
      </w:pPr>
      <w:r w:rsidRPr="00473F93">
        <w:rPr>
          <w:rFonts w:asciiTheme="minorHAnsi" w:hAnsiTheme="minorHAnsi" w:cstheme="minorHAnsi"/>
          <w:sz w:val="22"/>
          <w:szCs w:val="22"/>
        </w:rPr>
        <w:lastRenderedPageBreak/>
        <w:t>- Alessandro Gandini, Direzione Generale Agricoltura, Caccia e Pesca;</w:t>
      </w:r>
    </w:p>
    <w:p w:rsidR="003B4334" w:rsidRPr="00473F93" w:rsidRDefault="003B4334" w:rsidP="003B4334">
      <w:pPr>
        <w:pStyle w:val="NormaleWeb"/>
        <w:shd w:val="clear" w:color="auto" w:fill="EFEFEF"/>
        <w:spacing w:before="0" w:beforeAutospacing="0" w:after="0" w:afterAutospacing="0" w:line="20" w:lineRule="atLeast"/>
        <w:jc w:val="both"/>
        <w:rPr>
          <w:rFonts w:asciiTheme="minorHAnsi" w:hAnsiTheme="minorHAnsi" w:cstheme="minorHAnsi"/>
          <w:sz w:val="22"/>
          <w:szCs w:val="22"/>
        </w:rPr>
      </w:pPr>
      <w:r w:rsidRPr="00473F93">
        <w:rPr>
          <w:rFonts w:asciiTheme="minorHAnsi" w:hAnsiTheme="minorHAnsi" w:cstheme="minorHAnsi"/>
          <w:sz w:val="22"/>
          <w:szCs w:val="22"/>
        </w:rPr>
        <w:t>- Adriana Giannini, Direzione Generale Cura della Persona, Salute e Welfare;</w:t>
      </w:r>
    </w:p>
    <w:p w:rsidR="003B4334" w:rsidRPr="00473F93" w:rsidRDefault="003B4334" w:rsidP="003B4334">
      <w:pPr>
        <w:pStyle w:val="NormaleWeb"/>
        <w:shd w:val="clear" w:color="auto" w:fill="EFEFEF"/>
        <w:spacing w:before="0" w:beforeAutospacing="0" w:after="0" w:afterAutospacing="0" w:line="20" w:lineRule="atLeast"/>
        <w:jc w:val="both"/>
        <w:rPr>
          <w:rFonts w:asciiTheme="minorHAnsi" w:hAnsiTheme="minorHAnsi" w:cstheme="minorHAnsi"/>
          <w:sz w:val="22"/>
          <w:szCs w:val="22"/>
        </w:rPr>
      </w:pPr>
      <w:r w:rsidRPr="00473F93">
        <w:rPr>
          <w:rFonts w:asciiTheme="minorHAnsi" w:hAnsiTheme="minorHAnsi" w:cstheme="minorHAnsi"/>
          <w:sz w:val="22"/>
          <w:szCs w:val="22"/>
        </w:rPr>
        <w:t>- Cristina Govoni, Direzione Generale Cura del Territorio e dell’Ambiente;</w:t>
      </w:r>
    </w:p>
    <w:p w:rsidR="003B4334" w:rsidRPr="00473F93" w:rsidRDefault="003B4334" w:rsidP="003B4334">
      <w:pPr>
        <w:pStyle w:val="NormaleWeb"/>
        <w:shd w:val="clear" w:color="auto" w:fill="EFEFEF"/>
        <w:spacing w:before="0" w:beforeAutospacing="0" w:after="0" w:afterAutospacing="0" w:line="20" w:lineRule="atLeast"/>
        <w:jc w:val="both"/>
        <w:rPr>
          <w:rFonts w:asciiTheme="minorHAnsi" w:hAnsiTheme="minorHAnsi" w:cstheme="minorHAnsi"/>
          <w:sz w:val="22"/>
          <w:szCs w:val="22"/>
        </w:rPr>
      </w:pPr>
      <w:r w:rsidRPr="00473F93">
        <w:rPr>
          <w:rFonts w:asciiTheme="minorHAnsi" w:hAnsiTheme="minorHAnsi" w:cstheme="minorHAnsi"/>
          <w:sz w:val="22"/>
          <w:szCs w:val="22"/>
        </w:rPr>
        <w:t>- Maria Augusta Nicoli, Agenzia Sanitaria e Sociale Regionale;</w:t>
      </w:r>
    </w:p>
    <w:p w:rsidR="003B4334" w:rsidRPr="00473F93" w:rsidRDefault="003B4334" w:rsidP="003B4334">
      <w:pPr>
        <w:pStyle w:val="NormaleWeb"/>
        <w:shd w:val="clear" w:color="auto" w:fill="EFEFEF"/>
        <w:spacing w:before="0" w:beforeAutospacing="0" w:after="0" w:afterAutospacing="0" w:line="20" w:lineRule="atLeast"/>
        <w:jc w:val="both"/>
        <w:rPr>
          <w:rFonts w:asciiTheme="minorHAnsi" w:hAnsiTheme="minorHAnsi" w:cstheme="minorHAnsi"/>
          <w:sz w:val="22"/>
          <w:szCs w:val="22"/>
        </w:rPr>
      </w:pPr>
      <w:r w:rsidRPr="00473F93">
        <w:rPr>
          <w:rFonts w:asciiTheme="minorHAnsi" w:hAnsiTheme="minorHAnsi" w:cstheme="minorHAnsi"/>
          <w:sz w:val="22"/>
          <w:szCs w:val="22"/>
        </w:rPr>
        <w:t>- Fabrizia Paltrinieri, Direzione Generale Cura della Persona, Salute e Welfare;</w:t>
      </w:r>
    </w:p>
    <w:p w:rsidR="003B4334" w:rsidRPr="00473F93" w:rsidRDefault="003B4334" w:rsidP="003B4334">
      <w:pPr>
        <w:pStyle w:val="NormaleWeb"/>
        <w:shd w:val="clear" w:color="auto" w:fill="EFEFEF"/>
        <w:spacing w:before="0" w:beforeAutospacing="0" w:after="0" w:afterAutospacing="0" w:line="20" w:lineRule="atLeast"/>
        <w:jc w:val="both"/>
        <w:rPr>
          <w:rFonts w:asciiTheme="minorHAnsi" w:hAnsiTheme="minorHAnsi" w:cstheme="minorHAnsi"/>
          <w:sz w:val="22"/>
          <w:szCs w:val="22"/>
        </w:rPr>
      </w:pPr>
      <w:r w:rsidRPr="00473F93">
        <w:rPr>
          <w:rFonts w:asciiTheme="minorHAnsi" w:hAnsiTheme="minorHAnsi" w:cstheme="minorHAnsi"/>
          <w:sz w:val="22"/>
          <w:szCs w:val="22"/>
        </w:rPr>
        <w:t>- Annalisa Vanneschi, Direzione Generale Risorse, Europa, Innovazione e Istituzioni.</w:t>
      </w:r>
    </w:p>
    <w:p w:rsidR="003B4334" w:rsidRPr="00473F93" w:rsidRDefault="003B4334" w:rsidP="003B4334">
      <w:pPr>
        <w:pStyle w:val="NormaleWeb"/>
        <w:shd w:val="clear" w:color="auto" w:fill="EFEFEF"/>
        <w:spacing w:before="0" w:beforeAutospacing="0" w:after="0" w:afterAutospacing="0" w:line="20" w:lineRule="atLeast"/>
        <w:jc w:val="both"/>
        <w:rPr>
          <w:rFonts w:asciiTheme="minorHAnsi" w:hAnsiTheme="minorHAnsi" w:cstheme="minorHAnsi"/>
          <w:sz w:val="22"/>
          <w:szCs w:val="22"/>
        </w:rPr>
      </w:pPr>
      <w:r w:rsidRPr="00473F93">
        <w:rPr>
          <w:rFonts w:asciiTheme="minorHAnsi" w:hAnsiTheme="minorHAnsi" w:cstheme="minorHAnsi"/>
          <w:sz w:val="22"/>
          <w:szCs w:val="22"/>
        </w:rPr>
        <w:t>Il suddetto Tavolo multisettoriale di coordinamento delle politiche di promozione della salute e prevenzione potrà avvalersi di ulteriori professionalità, qualora lo necessiti lo specifico argomento trattato.</w:t>
      </w:r>
    </w:p>
    <w:p w:rsidR="00D77AA8" w:rsidRDefault="00D77AA8" w:rsidP="0006692C">
      <w:pPr>
        <w:spacing w:after="0" w:line="20" w:lineRule="atLeast"/>
        <w:jc w:val="both"/>
        <w:rPr>
          <w:rFonts w:cstheme="minorHAnsi"/>
        </w:rPr>
      </w:pPr>
    </w:p>
    <w:p w:rsidR="002D3826" w:rsidRDefault="002D3826" w:rsidP="002D3826">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eastAsia="Times New Roman" w:cstheme="minorHAnsi"/>
          <w:b/>
          <w:color w:val="515151"/>
          <w:lang w:eastAsia="it-IT"/>
        </w:rPr>
      </w:pPr>
      <w:r>
        <w:rPr>
          <w:rFonts w:eastAsia="Times New Roman" w:cstheme="minorHAnsi"/>
          <w:b/>
          <w:color w:val="515151"/>
          <w:lang w:eastAsia="it-IT"/>
        </w:rPr>
        <w:t>TUTELA DEI DIRITTI</w:t>
      </w:r>
    </w:p>
    <w:p w:rsidR="002D3826" w:rsidRDefault="002D3826" w:rsidP="002D3826">
      <w:pPr>
        <w:spacing w:after="0" w:line="20" w:lineRule="atLeast"/>
        <w:jc w:val="both"/>
        <w:rPr>
          <w:rFonts w:eastAsia="Times New Roman" w:cstheme="minorHAnsi"/>
          <w:b/>
          <w:color w:val="515151"/>
          <w:lang w:eastAsia="it-IT"/>
        </w:rPr>
      </w:pPr>
    </w:p>
    <w:p w:rsidR="002D3826" w:rsidRPr="00E46EF1" w:rsidRDefault="002D3826" w:rsidP="002D3826">
      <w:pPr>
        <w:spacing w:after="0" w:line="20" w:lineRule="atLeast"/>
        <w:jc w:val="both"/>
        <w:rPr>
          <w:rFonts w:eastAsia="Times New Roman" w:cstheme="minorHAnsi"/>
          <w:b/>
          <w:bCs/>
          <w:color w:val="515151"/>
          <w:kern w:val="36"/>
          <w:lang w:eastAsia="it-IT"/>
        </w:rPr>
      </w:pPr>
      <w:r>
        <w:rPr>
          <w:rFonts w:eastAsia="Times New Roman" w:cstheme="minorHAnsi"/>
          <w:b/>
          <w:color w:val="515151"/>
          <w:lang w:eastAsia="it-IT"/>
        </w:rPr>
        <w:t>L.R.</w:t>
      </w:r>
      <w:r w:rsidRPr="00CC74BF">
        <w:rPr>
          <w:rFonts w:eastAsia="Times New Roman" w:cstheme="minorHAnsi"/>
          <w:b/>
          <w:color w:val="515151"/>
          <w:lang w:eastAsia="it-IT"/>
        </w:rPr>
        <w:t xml:space="preserve"> 1 agosto 2019, n.15</w:t>
      </w:r>
      <w:r w:rsidRPr="00CC74BF">
        <w:rPr>
          <w:rFonts w:eastAsia="Times New Roman" w:cstheme="minorHAnsi"/>
          <w:color w:val="515151"/>
          <w:lang w:eastAsia="it-IT"/>
        </w:rPr>
        <w:t xml:space="preserve">, </w:t>
      </w:r>
      <w:r w:rsidR="00D77AA8">
        <w:rPr>
          <w:rFonts w:eastAsia="Times New Roman" w:cstheme="minorHAnsi"/>
          <w:color w:val="515151"/>
          <w:lang w:eastAsia="it-IT"/>
        </w:rPr>
        <w:t>L</w:t>
      </w:r>
      <w:r w:rsidRPr="00CC74BF">
        <w:rPr>
          <w:rFonts w:eastAsia="Times New Roman" w:cstheme="minorHAnsi"/>
          <w:bCs/>
          <w:color w:val="515151"/>
          <w:kern w:val="36"/>
          <w:lang w:eastAsia="it-IT"/>
        </w:rPr>
        <w:t>egge regionale contro le discriminazioni e le violenze determinate dall’orientamento sessuale o dall’identità di genere</w:t>
      </w:r>
      <w:r>
        <w:rPr>
          <w:rFonts w:eastAsia="Times New Roman" w:cstheme="minorHAnsi"/>
          <w:bCs/>
          <w:color w:val="515151"/>
          <w:kern w:val="36"/>
          <w:lang w:eastAsia="it-IT"/>
        </w:rPr>
        <w:t>. (BUR n. 253 del 1.8.19)</w:t>
      </w:r>
    </w:p>
    <w:p w:rsidR="002D3826" w:rsidRDefault="002D3826" w:rsidP="002D3826">
      <w:pPr>
        <w:spacing w:after="0" w:line="20" w:lineRule="atLeast"/>
        <w:jc w:val="both"/>
        <w:rPr>
          <w:rFonts w:cstheme="minorHAnsi"/>
        </w:rPr>
      </w:pPr>
      <w:r w:rsidRPr="00E46EF1">
        <w:rPr>
          <w:rFonts w:cstheme="minorHAnsi"/>
        </w:rPr>
        <w:t xml:space="preserve">Art. 1 Principi e finalità </w:t>
      </w:r>
    </w:p>
    <w:p w:rsidR="002D3826" w:rsidRDefault="002D3826" w:rsidP="002D3826">
      <w:pPr>
        <w:spacing w:after="0" w:line="20" w:lineRule="atLeast"/>
        <w:jc w:val="both"/>
        <w:rPr>
          <w:rFonts w:cstheme="minorHAnsi"/>
        </w:rPr>
      </w:pPr>
      <w:r w:rsidRPr="00E46EF1">
        <w:rPr>
          <w:rFonts w:cstheme="minorHAnsi"/>
        </w:rPr>
        <w:t xml:space="preserve">1. La Regione Emilia-Romagna, in coerenza con gli indirizzi promossi dall'Organizzazione delle Nazioni Unite, con i principi di cui all'articolo 10 del Trattato sul funzionamento dell'Unione europea, della Convenzione per la salvaguardia dei diritti dell’uomo e delle libertà fondamentali e della Carta dei diritti fondamentali dell'Unione europea (Carta di Nizza), delle risoluzioni del Consiglio d'Europa (1728) 2010 e (2048) 2015, della risoluzione 380 del 26 marzo 2015 del Congresso dei poteri regionali e locali del Consiglio d'Europa (Garantire i diritti delle persone lesbiche, gay, bisessuali e transgender (LGBT): una responsabilità delle città e regioni europee), della risoluzione del Parlamento europeo A3 0028/94 sulla parità dei diritti per gli omosessuali, della risoluzione del Consiglio dei diritti dell'uomo delle Nazioni Unite A/HRC/17/19, del 17 giugno 2011, sui diritti umani, l'orientamento sessuale e l'identità di genere, della raccomandazione del Comitato dei ministri del Consiglio d'Europa agli Stati membri del 31 marzo 2010 CM/REC (2010) 5, nonché in ottemperanza agli articoli 2 e 3 della Costituzione, in attuazione dell'articolo 2, comma 1, lettere a) e d) dello Statuto regionale e secondo i principi della legge regionale 27 giugno 2014, n. 6 (Legge quadro regionale per la parità e contro le discriminazioni di genere), promuove e realizza politiche, programmi ed azioni finalizzati a tutelare ogni persona nella propria libertà di espressione e manifestazione del proprio orientamento sessuale e della propria identità di genere, nonché a prevenire e superare le situazioni di discriminazione, dileggio, violenza verbale, psicologica e fisica. </w:t>
      </w:r>
    </w:p>
    <w:p w:rsidR="002D3826" w:rsidRDefault="002D3826" w:rsidP="002D3826">
      <w:pPr>
        <w:spacing w:after="0" w:line="20" w:lineRule="atLeast"/>
        <w:jc w:val="both"/>
        <w:rPr>
          <w:rFonts w:cstheme="minorHAnsi"/>
        </w:rPr>
      </w:pPr>
      <w:r w:rsidRPr="00E46EF1">
        <w:rPr>
          <w:rFonts w:cstheme="minorHAnsi"/>
        </w:rPr>
        <w:t xml:space="preserve">2. La Regione riconosce il diritto all'autodeterminazione di ogni persona in ordine al proprio orientamento sessuale e alla propria identità di genere, secondo quanto disciplinato dalla legge 14 aprile 1982, n. 164 (Norme in materia di rettificazione di attribuzione di sesso), anche mediante misure di sostegno. </w:t>
      </w:r>
    </w:p>
    <w:p w:rsidR="002D3826" w:rsidRDefault="002D3826" w:rsidP="002D3826">
      <w:pPr>
        <w:spacing w:after="0" w:line="20" w:lineRule="atLeast"/>
        <w:jc w:val="both"/>
        <w:rPr>
          <w:rFonts w:cstheme="minorHAnsi"/>
        </w:rPr>
      </w:pPr>
      <w:r w:rsidRPr="00E46EF1">
        <w:rPr>
          <w:rFonts w:cstheme="minorHAnsi"/>
        </w:rPr>
        <w:t xml:space="preserve">3. La Regione assicura l'accesso ai servizi e agli interventi ricompresi nelle materie di competenza regionale senza alcuna discriminazione determinata dall'orientamento sessuale o dall’identità di genere. </w:t>
      </w:r>
    </w:p>
    <w:p w:rsidR="00283494" w:rsidRDefault="002D3826" w:rsidP="002D3826">
      <w:pPr>
        <w:spacing w:after="0" w:line="20" w:lineRule="atLeast"/>
        <w:jc w:val="both"/>
        <w:rPr>
          <w:rFonts w:cstheme="minorHAnsi"/>
        </w:rPr>
      </w:pPr>
      <w:r w:rsidRPr="00E46EF1">
        <w:rPr>
          <w:rFonts w:cstheme="minorHAnsi"/>
        </w:rPr>
        <w:t>4. La Regione, ai fini di prevenire le discriminazioni per motivi derivanti dall' orientamento sessuale o dall'identità di genere e favorire una cultura del rispetto e della non discriminazione, promuove e valorizza l'integrazione tra le politiche educative, scolastiche e formative, sociali e sanitarie, del lavoro.</w:t>
      </w:r>
    </w:p>
    <w:p w:rsidR="00283494" w:rsidRDefault="002D3826" w:rsidP="002D3826">
      <w:pPr>
        <w:spacing w:after="0" w:line="20" w:lineRule="atLeast"/>
        <w:jc w:val="both"/>
        <w:rPr>
          <w:rFonts w:cstheme="minorHAnsi"/>
        </w:rPr>
      </w:pPr>
      <w:r w:rsidRPr="00E46EF1">
        <w:rPr>
          <w:rFonts w:cstheme="minorHAnsi"/>
        </w:rPr>
        <w:t xml:space="preserve"> 5. Per le finalità di cui alla presente legge, la Regione aderisce a RE.A.DY (Rete nazionale delle pubbliche amministrazioni antidiscriminazioni per orientamento sessuale e identità di genere) e nomina un delegato mediante decreto del Presidente della Giunta. </w:t>
      </w:r>
    </w:p>
    <w:p w:rsidR="00283494" w:rsidRDefault="002D3826" w:rsidP="002D3826">
      <w:pPr>
        <w:spacing w:after="0" w:line="20" w:lineRule="atLeast"/>
        <w:jc w:val="both"/>
        <w:rPr>
          <w:rFonts w:cstheme="minorHAnsi"/>
        </w:rPr>
      </w:pPr>
      <w:r w:rsidRPr="00E46EF1">
        <w:rPr>
          <w:rFonts w:cstheme="minorHAnsi"/>
        </w:rPr>
        <w:t xml:space="preserve">Art. 2 Interventi in materia di politiche del lavoro, formazione e aggiornamento professionale e integrazione sociale </w:t>
      </w:r>
    </w:p>
    <w:p w:rsidR="00283494" w:rsidRDefault="002D3826" w:rsidP="002D3826">
      <w:pPr>
        <w:spacing w:after="0" w:line="20" w:lineRule="atLeast"/>
        <w:jc w:val="both"/>
        <w:rPr>
          <w:rFonts w:cstheme="minorHAnsi"/>
        </w:rPr>
      </w:pPr>
      <w:r w:rsidRPr="00E46EF1">
        <w:rPr>
          <w:rFonts w:cstheme="minorHAnsi"/>
        </w:rPr>
        <w:t xml:space="preserve">1. La Regione e gli enti locali, nell'ambito delle rispettive competenze, adottano interventi tesi a contrastare atti e comportamenti discriminatori nei confronti delle persone in ragione dell'orientamento sessuale o dell'identità di genere, mediante la promozione di specifiche progettualità a sostegno delle vittime di discriminazioni nell'ambito delle politiche attive del lavoro, di formazione e riqualificazione professionale nonché per l'inserimento lavorativo, previo confronto con le organizzazioni sindacali maggiormente rappresentative e, per quanto di competenza, in collaborazione con la Consigliera di Parità regionale di cui al decreto legislativo 11 aprile 2006, n. 198 (Codice delle pari opportunità tra uomo e donna, a norma dell'articolo 6 della legge 28 novembre 2005, n. 246) e secondo le disposizioni di cui all'articolo 32 bis della legge regionale n. 6 del 2014. </w:t>
      </w:r>
    </w:p>
    <w:p w:rsidR="00283494" w:rsidRDefault="002D3826" w:rsidP="002D3826">
      <w:pPr>
        <w:spacing w:after="0" w:line="20" w:lineRule="atLeast"/>
        <w:jc w:val="both"/>
        <w:rPr>
          <w:rFonts w:cstheme="minorHAnsi"/>
        </w:rPr>
      </w:pPr>
      <w:r w:rsidRPr="00E46EF1">
        <w:rPr>
          <w:rFonts w:cstheme="minorHAnsi"/>
        </w:rPr>
        <w:lastRenderedPageBreak/>
        <w:t xml:space="preserve">2. La Regione e gli enti locali, nei codici di comportamento e nelle attività di formazione e aggiornamento del personale, promuovono parità di trattamento di ogni orientamento sessuale e identità di genere, anche mediante il contrasto degli stereotipi discriminatori e di un linguaggio offensivo o di dileggio. </w:t>
      </w:r>
    </w:p>
    <w:p w:rsidR="00283494" w:rsidRDefault="002D3826" w:rsidP="002D3826">
      <w:pPr>
        <w:spacing w:after="0" w:line="20" w:lineRule="atLeast"/>
        <w:jc w:val="both"/>
        <w:rPr>
          <w:rFonts w:cstheme="minorHAnsi"/>
        </w:rPr>
      </w:pPr>
      <w:r w:rsidRPr="00E46EF1">
        <w:rPr>
          <w:rFonts w:cstheme="minorHAnsi"/>
        </w:rPr>
        <w:t xml:space="preserve">3. Ai fini della presente legge per stereotipi discriminatori si intendono, nel pieno rispetto della libertà di pensiero, di educazione e di espressione costituzionalmente garantiti a tutta la cittadinanza, i pregiudizi che producono effetti lesivi della dignità, delle libertà e dei diritti inviolabili della persona, limitandone il pieno sviluppo. </w:t>
      </w:r>
    </w:p>
    <w:p w:rsidR="00283494" w:rsidRDefault="002D3826" w:rsidP="002D3826">
      <w:pPr>
        <w:spacing w:after="0" w:line="20" w:lineRule="atLeast"/>
        <w:jc w:val="both"/>
        <w:rPr>
          <w:rFonts w:cstheme="minorHAnsi"/>
        </w:rPr>
      </w:pPr>
      <w:r w:rsidRPr="00E46EF1">
        <w:rPr>
          <w:rFonts w:cstheme="minorHAnsi"/>
        </w:rPr>
        <w:t xml:space="preserve">4. La Giunta regionale, con proprio atto, individua indirizzi e modalità per l’attuazione di quanto previsto ai commi 1 e 2. </w:t>
      </w:r>
    </w:p>
    <w:p w:rsidR="00283494" w:rsidRDefault="002D3826" w:rsidP="002D3826">
      <w:pPr>
        <w:spacing w:after="0" w:line="20" w:lineRule="atLeast"/>
        <w:jc w:val="both"/>
        <w:rPr>
          <w:rFonts w:cstheme="minorHAnsi"/>
        </w:rPr>
      </w:pPr>
      <w:r w:rsidRPr="00E46EF1">
        <w:rPr>
          <w:rFonts w:cstheme="minorHAnsi"/>
        </w:rPr>
        <w:t xml:space="preserve">Art. 3 Educazione e sport </w:t>
      </w:r>
    </w:p>
    <w:p w:rsidR="00283494" w:rsidRDefault="002D3826" w:rsidP="002D3826">
      <w:pPr>
        <w:spacing w:after="0" w:line="20" w:lineRule="atLeast"/>
        <w:jc w:val="both"/>
        <w:rPr>
          <w:rFonts w:cstheme="minorHAnsi"/>
        </w:rPr>
      </w:pPr>
      <w:r w:rsidRPr="00E46EF1">
        <w:rPr>
          <w:rFonts w:cstheme="minorHAnsi"/>
        </w:rPr>
        <w:t xml:space="preserve">1. La Regione, nell’ambito delle proprie competenze, in collaborazione con l’Ufficio scolastico regionale, le agenzie educative del territorio e le associazioni, sostiene la promozione di attività di formazione e aggiornamento del personale docente diretta a favorire inclusione sociale, superamento degli stereotipi discriminatori, prevenzione del bullismo e cyberbullismo motivato dall’orientamento sessuale o dall’identità di genere, sostenendo progettualità le cui modalità assicurino il dovere e diritto dei genitori di educare la prole, ai sensi dell’articolo 26 della Dichiarazione universale dei diritti umani e dell’articolo 30 della Costituzione. A tale scopo la Regione valorizza la pluralità delle metodologie di intervento per garantire un’effettiva libertà di scelta. </w:t>
      </w:r>
    </w:p>
    <w:p w:rsidR="00283494" w:rsidRDefault="002D3826" w:rsidP="002D3826">
      <w:pPr>
        <w:spacing w:after="0" w:line="20" w:lineRule="atLeast"/>
        <w:jc w:val="both"/>
        <w:rPr>
          <w:rFonts w:cstheme="minorHAnsi"/>
        </w:rPr>
      </w:pPr>
      <w:r w:rsidRPr="00E46EF1">
        <w:rPr>
          <w:rFonts w:cstheme="minorHAnsi"/>
        </w:rPr>
        <w:t xml:space="preserve">2. La Regione promuove altresì attività e iniziative a sostegno dell'associazionismo sportivo impegnato a favorire l’equa partecipazione allo sport, contrastando stereotipi discriminatori e l’abbandono sportivo come previsto dalla legge regionale 31 maggio 2017, n. 8 (Norme per la promozione e lo sviluppo delle attività motorie e sportive). </w:t>
      </w:r>
    </w:p>
    <w:p w:rsidR="00283494" w:rsidRDefault="002D3826" w:rsidP="002D3826">
      <w:pPr>
        <w:spacing w:after="0" w:line="20" w:lineRule="atLeast"/>
        <w:jc w:val="both"/>
        <w:rPr>
          <w:rFonts w:cstheme="minorHAnsi"/>
        </w:rPr>
      </w:pPr>
      <w:r w:rsidRPr="00E46EF1">
        <w:rPr>
          <w:rFonts w:cstheme="minorHAnsi"/>
        </w:rPr>
        <w:t xml:space="preserve">Art. 4 Promozione di eventi culturali </w:t>
      </w:r>
    </w:p>
    <w:p w:rsidR="00283494" w:rsidRDefault="002D3826" w:rsidP="002D3826">
      <w:pPr>
        <w:spacing w:after="0" w:line="20" w:lineRule="atLeast"/>
        <w:jc w:val="both"/>
        <w:rPr>
          <w:rFonts w:cstheme="minorHAnsi"/>
        </w:rPr>
      </w:pPr>
      <w:r w:rsidRPr="00E46EF1">
        <w:rPr>
          <w:rFonts w:cstheme="minorHAnsi"/>
        </w:rPr>
        <w:t xml:space="preserve">1. La Regione e gli enti locali, nell’ambito delle rispettive competenze, promuovono e sostengono eventi socio-culturali che diffondono cultura dell'integrazione e della non discriminazione, al fine di sensibilizzare la cittadinanza al rispetto delle diversità e di ogni orientamento sessuale o identità di genere. </w:t>
      </w:r>
    </w:p>
    <w:p w:rsidR="00283494" w:rsidRDefault="002D3826" w:rsidP="002D3826">
      <w:pPr>
        <w:spacing w:after="0" w:line="20" w:lineRule="atLeast"/>
        <w:jc w:val="both"/>
        <w:rPr>
          <w:rFonts w:cstheme="minorHAnsi"/>
        </w:rPr>
      </w:pPr>
      <w:r w:rsidRPr="00E46EF1">
        <w:rPr>
          <w:rFonts w:cstheme="minorHAnsi"/>
        </w:rPr>
        <w:t xml:space="preserve">2. Ai fini di cui al comma 1, per la realizzazione di progetti volti a diffondere la cultura dell’integrazione, della non discriminazione e del reciproco rispetto, la Regione può avvalersi della collaborazione, anche concedendo contributi, di organizzazioni di volontariato e di associazioni iscritte nei registri previsti dalla legislazione vigente in materia, impegnate in attività rispondenti alle finalità di cui alla presente legge. </w:t>
      </w:r>
    </w:p>
    <w:p w:rsidR="00283494" w:rsidRDefault="002D3826" w:rsidP="002D3826">
      <w:pPr>
        <w:spacing w:after="0" w:line="20" w:lineRule="atLeast"/>
        <w:jc w:val="both"/>
        <w:rPr>
          <w:rFonts w:cstheme="minorHAnsi"/>
        </w:rPr>
      </w:pPr>
      <w:r w:rsidRPr="00E46EF1">
        <w:rPr>
          <w:rFonts w:cstheme="minorHAnsi"/>
        </w:rPr>
        <w:t xml:space="preserve">Art. 5 Interventi in materia socio-assistenziale e socio-sanitaria </w:t>
      </w:r>
    </w:p>
    <w:p w:rsidR="00283494" w:rsidRDefault="002D3826" w:rsidP="002D3826">
      <w:pPr>
        <w:spacing w:after="0" w:line="20" w:lineRule="atLeast"/>
        <w:jc w:val="both"/>
        <w:rPr>
          <w:rFonts w:cstheme="minorHAnsi"/>
        </w:rPr>
      </w:pPr>
      <w:r w:rsidRPr="00E46EF1">
        <w:rPr>
          <w:rFonts w:cstheme="minorHAnsi"/>
        </w:rPr>
        <w:t xml:space="preserve">1. Il Servizio sanitario regionale, i servizi socio-assistenziali e socio-sanitari sostengono e promuovono iniziative di informazione, consulenza e sostegno sulle tematiche specifiche che coinvolgono le persone gay e lesbiche, transessuali, transgender e intersex. Le medesime iniziative sono offerte ai genitori e alle famiglie. 2. La Regione promuove gli interventi di cui al presente articolo in coerenza con il Piano sociale e sanitario regionale, con il Piano regionale per la promozione della salute e prevenzione e con gli altri strumenti di programmazione e pianificazione di settore. </w:t>
      </w:r>
    </w:p>
    <w:p w:rsidR="00283494" w:rsidRDefault="002D3826" w:rsidP="002D3826">
      <w:pPr>
        <w:spacing w:after="0" w:line="20" w:lineRule="atLeast"/>
        <w:jc w:val="both"/>
        <w:rPr>
          <w:rFonts w:cstheme="minorHAnsi"/>
        </w:rPr>
      </w:pPr>
      <w:r w:rsidRPr="00E46EF1">
        <w:rPr>
          <w:rFonts w:cstheme="minorHAnsi"/>
        </w:rPr>
        <w:t xml:space="preserve">3. La Regione, per le finalità di cui al comma 1, promuove specifica formazione e aggiornamento a operatori e operatrici dei servizi sociali e sanitari. </w:t>
      </w:r>
    </w:p>
    <w:p w:rsidR="00283494" w:rsidRDefault="002D3826" w:rsidP="002D3826">
      <w:pPr>
        <w:spacing w:after="0" w:line="20" w:lineRule="atLeast"/>
        <w:jc w:val="both"/>
        <w:rPr>
          <w:rFonts w:cstheme="minorHAnsi"/>
        </w:rPr>
      </w:pPr>
      <w:r w:rsidRPr="00E46EF1">
        <w:rPr>
          <w:rFonts w:cstheme="minorHAnsi"/>
        </w:rPr>
        <w:t xml:space="preserve">Art. 6 Misure di contrasto alla discriminazione e alla violenza e di sostegno alle vittime </w:t>
      </w:r>
    </w:p>
    <w:p w:rsidR="00283494" w:rsidRDefault="002D3826" w:rsidP="002D3826">
      <w:pPr>
        <w:spacing w:after="0" w:line="20" w:lineRule="atLeast"/>
        <w:jc w:val="both"/>
        <w:rPr>
          <w:rFonts w:cstheme="minorHAnsi"/>
        </w:rPr>
      </w:pPr>
      <w:r w:rsidRPr="00E46EF1">
        <w:rPr>
          <w:rFonts w:cstheme="minorHAnsi"/>
        </w:rPr>
        <w:t xml:space="preserve">1. La Regione promuove e sostiene progetti e interventi di accoglienza, soccorso, protezione e sostegno alle vittime di discriminazione o di violenza commesse in ragione del loro orientamento sessuale o della loro identità di genere, nell' ambito del sistema integrato dei servizi alla persona presenti sul territorio ed avvalendosi del Centro regionale contro le discriminazioni di cui all’articolo 41 della legge regionale n. 6 del 2014, nonché degli istituti di garanzia regionali per quanto di competenza. </w:t>
      </w:r>
    </w:p>
    <w:p w:rsidR="00283494" w:rsidRDefault="002D3826" w:rsidP="002D3826">
      <w:pPr>
        <w:spacing w:after="0" w:line="20" w:lineRule="atLeast"/>
        <w:jc w:val="both"/>
        <w:rPr>
          <w:rFonts w:cstheme="minorHAnsi"/>
        </w:rPr>
      </w:pPr>
      <w:r w:rsidRPr="00E46EF1">
        <w:rPr>
          <w:rFonts w:cstheme="minorHAnsi"/>
        </w:rPr>
        <w:t xml:space="preserve">2. Ai fini di cui al comma 1, la Regione può stipulare protocolli d’intesa e convenzioni con enti pubblici, organizzazioni di volontariato e associazioni, iscritte nei registri previsti dalla legislazione vigente in materia, impegnate in attività rispondenti alle finalità di cui alla presente legge. </w:t>
      </w:r>
    </w:p>
    <w:p w:rsidR="00283494" w:rsidRDefault="002D3826" w:rsidP="002D3826">
      <w:pPr>
        <w:spacing w:after="0" w:line="20" w:lineRule="atLeast"/>
        <w:jc w:val="both"/>
        <w:rPr>
          <w:rFonts w:cstheme="minorHAnsi"/>
        </w:rPr>
      </w:pPr>
      <w:r w:rsidRPr="00E46EF1">
        <w:rPr>
          <w:rFonts w:cstheme="minorHAnsi"/>
        </w:rPr>
        <w:t xml:space="preserve">Art. 7 Funzioni di osservatorio regionale sulle discriminazioni e le violenze determinate dall'orientamento sessuale o dall'identità di genere </w:t>
      </w:r>
    </w:p>
    <w:p w:rsidR="00283494" w:rsidRDefault="002D3826" w:rsidP="002D3826">
      <w:pPr>
        <w:spacing w:after="0" w:line="20" w:lineRule="atLeast"/>
        <w:jc w:val="both"/>
        <w:rPr>
          <w:rFonts w:cstheme="minorHAnsi"/>
        </w:rPr>
      </w:pPr>
      <w:r w:rsidRPr="00E46EF1">
        <w:rPr>
          <w:rFonts w:cstheme="minorHAnsi"/>
        </w:rPr>
        <w:t xml:space="preserve">1. La Regione svolge funzioni di monitoraggio sulle discriminazioni e le violenze determinate dall'orientamento sessuale e dall'identità di genere nell'ambito dell'osservatorio così come previsto dagli articoli 18 e 41 della legge regionale n. 6 del 2014. </w:t>
      </w:r>
    </w:p>
    <w:p w:rsidR="00283494" w:rsidRDefault="002D3826" w:rsidP="002D3826">
      <w:pPr>
        <w:spacing w:after="0" w:line="20" w:lineRule="atLeast"/>
        <w:jc w:val="both"/>
        <w:rPr>
          <w:rFonts w:cstheme="minorHAnsi"/>
        </w:rPr>
      </w:pPr>
      <w:r w:rsidRPr="00E46EF1">
        <w:rPr>
          <w:rFonts w:cstheme="minorHAnsi"/>
        </w:rPr>
        <w:lastRenderedPageBreak/>
        <w:t xml:space="preserve">2. Le funzioni di monitoraggio comprendono: a) la raccolta dei dati e il monitoraggio dei fenomeni legati alla discriminazione e violenza dipendente dall'orientamento sessuale e dall'identità di genere in Emilia-Romagna; b) la raccolta ed elaborazione delle buone prassi adottate nell'ambito di azioni e progettualità a sostegno delle finalità della presente legge. </w:t>
      </w:r>
    </w:p>
    <w:p w:rsidR="00283494" w:rsidRDefault="002D3826" w:rsidP="002D3826">
      <w:pPr>
        <w:spacing w:after="0" w:line="20" w:lineRule="atLeast"/>
        <w:jc w:val="both"/>
        <w:rPr>
          <w:rFonts w:cstheme="minorHAnsi"/>
        </w:rPr>
      </w:pPr>
      <w:r w:rsidRPr="00E46EF1">
        <w:rPr>
          <w:rFonts w:cstheme="minorHAnsi"/>
        </w:rPr>
        <w:t xml:space="preserve">3. La Giunta regionale disciplina le modalità organizzative di integrazione delle funzioni di cui al comma 2. </w:t>
      </w:r>
    </w:p>
    <w:p w:rsidR="00283494" w:rsidRDefault="002D3826" w:rsidP="002D3826">
      <w:pPr>
        <w:spacing w:after="0" w:line="20" w:lineRule="atLeast"/>
        <w:jc w:val="both"/>
        <w:rPr>
          <w:rFonts w:cstheme="minorHAnsi"/>
        </w:rPr>
      </w:pPr>
      <w:r w:rsidRPr="00E46EF1">
        <w:rPr>
          <w:rFonts w:cstheme="minorHAnsi"/>
        </w:rPr>
        <w:t xml:space="preserve">4. Lo svolgimento delle funzioni di cui al presente articolo non comporta costi aggiuntivi a carico del bilancio regionale. </w:t>
      </w:r>
    </w:p>
    <w:p w:rsidR="00283494" w:rsidRDefault="002D3826" w:rsidP="002D3826">
      <w:pPr>
        <w:spacing w:after="0" w:line="20" w:lineRule="atLeast"/>
        <w:jc w:val="both"/>
        <w:rPr>
          <w:rFonts w:cstheme="minorHAnsi"/>
        </w:rPr>
      </w:pPr>
      <w:r w:rsidRPr="00E46EF1">
        <w:rPr>
          <w:rFonts w:cstheme="minorHAnsi"/>
        </w:rPr>
        <w:t xml:space="preserve">Art. 8 Comitato regionale per le comunicazioni </w:t>
      </w:r>
    </w:p>
    <w:p w:rsidR="00283494" w:rsidRDefault="002D3826" w:rsidP="002D3826">
      <w:pPr>
        <w:spacing w:after="0" w:line="20" w:lineRule="atLeast"/>
        <w:jc w:val="both"/>
        <w:rPr>
          <w:rFonts w:cstheme="minorHAnsi"/>
        </w:rPr>
      </w:pPr>
      <w:r w:rsidRPr="00E46EF1">
        <w:rPr>
          <w:rFonts w:cstheme="minorHAnsi"/>
        </w:rPr>
        <w:t xml:space="preserve">1. In coerenza con le finalità di cui alla presente legge, il Comitato regionale per le comunicazioni (CORECOM), nell'ambito della funzione di monitoraggio e delle altre funzioni di cui alla legge regionale 30 gennaio 2001, n. 1 (Istituzione, organizzazione e funzionamento del Comitato Regionale per le Comunicazioni (CORECOM)), effettua, nei periodi di monitoraggio individuati nel corso dell’anno o su segnalazione di terzi, la rilevazione sui contenuti della programmazione televisiva e radiofonica regionale e locale, nonché dei messaggi commerciali e pubblicitari, eventualmente discriminatori rispetto alla pari dignità riconosciuta ai diversi orientamenti sessuali o all'identità di genere della persona, in attuazione dell’articolo 36 bis del decreto legislativo 31 luglio 2005, n. 177 (Testo unico dei servizi di media audiovisivi e radiofonici). Nei casi non conformi ai codici di autoregolamentazione (Codice di autoregolamentazione TV e minori e D.M. 21/01/2008, n. 36 - Codice di autoregolamentazione dell'informazione sportiva denominato «codice media e sport») di cui all’articolo 9, comma 3 e articolo 35 bis del d.lgs. n. 177 del 2005, il CORECOM si fa parte attiva nella segnalazione alle autorità e agli organismi competenti. </w:t>
      </w:r>
    </w:p>
    <w:p w:rsidR="00283494" w:rsidRDefault="002D3826" w:rsidP="002D3826">
      <w:pPr>
        <w:spacing w:after="0" w:line="20" w:lineRule="atLeast"/>
        <w:jc w:val="both"/>
        <w:rPr>
          <w:rFonts w:cstheme="minorHAnsi"/>
        </w:rPr>
      </w:pPr>
      <w:r w:rsidRPr="00E46EF1">
        <w:rPr>
          <w:rFonts w:cstheme="minorHAnsi"/>
        </w:rPr>
        <w:t>2. Nell'ambito delle funzioni di disciplina dell'accesso radiofonico e televisivo regionale, il CORECOM assicura un efficace esercizio della facoltà di accesso ai soggetti legittimati, garantendo adeguati spazi di informazione e di espressione anche in ordine alla trattazione delle tematiche di cui alla presente legge.</w:t>
      </w:r>
    </w:p>
    <w:p w:rsidR="00283494" w:rsidRDefault="002D3826" w:rsidP="002D3826">
      <w:pPr>
        <w:spacing w:after="0" w:line="20" w:lineRule="atLeast"/>
        <w:jc w:val="both"/>
        <w:rPr>
          <w:rFonts w:cstheme="minorHAnsi"/>
        </w:rPr>
      </w:pPr>
      <w:r w:rsidRPr="00E46EF1">
        <w:rPr>
          <w:rFonts w:cstheme="minorHAnsi"/>
        </w:rPr>
        <w:t>Art. 9 Costituzione di parte civile e altre disposizioni</w:t>
      </w:r>
    </w:p>
    <w:p w:rsidR="00283494" w:rsidRDefault="002D3826" w:rsidP="002D3826">
      <w:pPr>
        <w:spacing w:after="0" w:line="20" w:lineRule="atLeast"/>
        <w:jc w:val="both"/>
        <w:rPr>
          <w:rFonts w:cstheme="minorHAnsi"/>
        </w:rPr>
      </w:pPr>
      <w:r w:rsidRPr="00E46EF1">
        <w:rPr>
          <w:rFonts w:cstheme="minorHAnsi"/>
        </w:rPr>
        <w:t xml:space="preserve">1. La Regione Emilia-Romagna valuta l’opportunità, nei casi di violenza determinata dall’orientamento sessuale e dall’identità di genere di particolare impatto e rilevanza sociale nella vita della comunità regionale, di costituirsi parte civile devolvendo l’eventuale risarcimento a sostegno delle azioni e degli interventi di cui alla presente legge. </w:t>
      </w:r>
    </w:p>
    <w:p w:rsidR="00283494" w:rsidRDefault="002D3826" w:rsidP="002D3826">
      <w:pPr>
        <w:spacing w:after="0" w:line="20" w:lineRule="atLeast"/>
        <w:jc w:val="both"/>
        <w:rPr>
          <w:rFonts w:cstheme="minorHAnsi"/>
        </w:rPr>
      </w:pPr>
      <w:r w:rsidRPr="00E46EF1">
        <w:rPr>
          <w:rFonts w:cstheme="minorHAnsi"/>
        </w:rPr>
        <w:t xml:space="preserve">2. La Regione non concede i contributi di cui alla presente legge ad associazioni, anche se regolarmente iscritte nei registri previsti dalla normativa vigente, che nello svolgimento delle proprie attività ledano i principi di non discriminazione di cui all'articolo 1, nonché le disposizioni di cui alla legge regionale n. 6 del 2014. </w:t>
      </w:r>
    </w:p>
    <w:p w:rsidR="00283494" w:rsidRDefault="002D3826" w:rsidP="002D3826">
      <w:pPr>
        <w:spacing w:after="0" w:line="20" w:lineRule="atLeast"/>
        <w:jc w:val="both"/>
        <w:rPr>
          <w:rFonts w:cstheme="minorHAnsi"/>
        </w:rPr>
      </w:pPr>
      <w:r w:rsidRPr="00E46EF1">
        <w:rPr>
          <w:rFonts w:cstheme="minorHAnsi"/>
        </w:rPr>
        <w:t xml:space="preserve">Art. 10 Norma finanziaria </w:t>
      </w:r>
    </w:p>
    <w:p w:rsidR="00283494" w:rsidRDefault="002D3826" w:rsidP="002D3826">
      <w:pPr>
        <w:spacing w:after="0" w:line="20" w:lineRule="atLeast"/>
        <w:jc w:val="both"/>
        <w:rPr>
          <w:rFonts w:cstheme="minorHAnsi"/>
        </w:rPr>
      </w:pPr>
      <w:r w:rsidRPr="00E46EF1">
        <w:rPr>
          <w:rFonts w:cstheme="minorHAnsi"/>
        </w:rPr>
        <w:t xml:space="preserve">1. Per gli esercizi finanziari 2019, 2020 e 2021 agli oneri derivanti dall’attuazione della presente legge si fa fronte con le risorse autorizzate con riferimento alle leggi regionali vigenti di settore. La Giunta regionale è autorizzata a provvedere, con proprio atto, alle variazioni di bilancio che si rendessero necessarie per la modifica dei capitoli esistenti o l’istituzione e la dotazione di appositi capitoli. </w:t>
      </w:r>
    </w:p>
    <w:p w:rsidR="00283494" w:rsidRDefault="002D3826" w:rsidP="002D3826">
      <w:pPr>
        <w:spacing w:after="0" w:line="20" w:lineRule="atLeast"/>
        <w:jc w:val="both"/>
        <w:rPr>
          <w:rFonts w:cstheme="minorHAnsi"/>
        </w:rPr>
      </w:pPr>
      <w:r w:rsidRPr="00E46EF1">
        <w:rPr>
          <w:rFonts w:cstheme="minorHAnsi"/>
        </w:rPr>
        <w:t xml:space="preserve">2. Per gli esercizi successivi al 2021 agli oneri derivanti dall'attuazione della presente legge si fa fronte nell'ambito delle autorizzazioni di spesa annualmente disposte dalla legge di approvazione del bilancio ai sensi di quanto previsto dall'articolo 38 del decreto legislativo 23 giugno 2011, n. 118 (Disposizioni in materia di armonizzazione dei sistemi contabili e degli schemi di bilancio delle Regioni, degli enti locali e dei loro organismi, a norma degli articoli 1 e 2 della legge 5 maggio 2009, n. 42). </w:t>
      </w:r>
    </w:p>
    <w:p w:rsidR="00283494" w:rsidRDefault="002D3826" w:rsidP="002D3826">
      <w:pPr>
        <w:spacing w:after="0" w:line="20" w:lineRule="atLeast"/>
        <w:jc w:val="both"/>
        <w:rPr>
          <w:rFonts w:cstheme="minorHAnsi"/>
        </w:rPr>
      </w:pPr>
      <w:r w:rsidRPr="00E46EF1">
        <w:rPr>
          <w:rFonts w:cstheme="minorHAnsi"/>
        </w:rPr>
        <w:t xml:space="preserve">Art. 11 Clausola valutativa </w:t>
      </w:r>
    </w:p>
    <w:p w:rsidR="00283494" w:rsidRDefault="002D3826" w:rsidP="002D3826">
      <w:pPr>
        <w:spacing w:after="0" w:line="20" w:lineRule="atLeast"/>
        <w:jc w:val="both"/>
        <w:rPr>
          <w:rFonts w:cstheme="minorHAnsi"/>
        </w:rPr>
      </w:pPr>
      <w:r w:rsidRPr="00E46EF1">
        <w:rPr>
          <w:rFonts w:cstheme="minorHAnsi"/>
        </w:rPr>
        <w:t>1. L'Assemblea legislativa esercita il controllo sull'attuazione della presente legge e valuta i risultati ottenuti. A tal fine, la Giunta, con cadenza triennale, anche avvalendosi delle sue funzioni svolte in qualità di osservatorio di cui all'articolo 7, presenta alla commissione assembleare competente una relazione che fornisca informazioni su: a) andamento del fenomeno delle discriminazioni e delle violenze determinate dall'orientamento sessuale o dall'identità di genere sul territorio regionale, anche nell’ambito del quadro nazionale; b) azioni intraprese e risultati ottenuti in attuazione degli interventi previsti dalla legge; c) ammontare e ripartizione delle risorse erogate e tipologia dei soggetti beneficiari; d) eventuali criticità riscontrate nell’attuazione della legge.</w:t>
      </w:r>
    </w:p>
    <w:p w:rsidR="00283494" w:rsidRDefault="002D3826" w:rsidP="002D3826">
      <w:pPr>
        <w:spacing w:after="0" w:line="20" w:lineRule="atLeast"/>
        <w:jc w:val="both"/>
        <w:rPr>
          <w:rFonts w:cstheme="minorHAnsi"/>
        </w:rPr>
      </w:pPr>
      <w:r w:rsidRPr="00E46EF1">
        <w:rPr>
          <w:rFonts w:cstheme="minorHAnsi"/>
        </w:rPr>
        <w:t xml:space="preserve"> 2. Le competenti strutture di Assemblea e Giunta si raccordano per la migliore valutazione integrata della presente legge. </w:t>
      </w:r>
    </w:p>
    <w:p w:rsidR="00283494" w:rsidRDefault="002D3826" w:rsidP="002D3826">
      <w:pPr>
        <w:spacing w:after="0" w:line="20" w:lineRule="atLeast"/>
        <w:jc w:val="both"/>
        <w:rPr>
          <w:rFonts w:cstheme="minorHAnsi"/>
        </w:rPr>
      </w:pPr>
      <w:r w:rsidRPr="00E46EF1">
        <w:rPr>
          <w:rFonts w:cstheme="minorHAnsi"/>
        </w:rPr>
        <w:lastRenderedPageBreak/>
        <w:t xml:space="preserve">3. La Regione può promuovere forme di valutazione partecipata coinvolgendo cittadini e soggetti attuatori degli interventi previsti in tutti gli ambiti. </w:t>
      </w:r>
    </w:p>
    <w:p w:rsidR="00283494" w:rsidRDefault="002D3826" w:rsidP="002D3826">
      <w:pPr>
        <w:spacing w:after="0" w:line="20" w:lineRule="atLeast"/>
        <w:jc w:val="both"/>
        <w:rPr>
          <w:rFonts w:cstheme="minorHAnsi"/>
        </w:rPr>
      </w:pPr>
      <w:r w:rsidRPr="00E46EF1">
        <w:rPr>
          <w:rFonts w:cstheme="minorHAnsi"/>
        </w:rPr>
        <w:t xml:space="preserve">Art. 12 Modifica alla legge regionale n. 6 del 2014 </w:t>
      </w:r>
    </w:p>
    <w:p w:rsidR="00466533" w:rsidRDefault="002D3826" w:rsidP="002D3826">
      <w:pPr>
        <w:spacing w:after="0" w:line="20" w:lineRule="atLeast"/>
        <w:jc w:val="both"/>
        <w:rPr>
          <w:rFonts w:cstheme="minorHAnsi"/>
        </w:rPr>
      </w:pPr>
      <w:r w:rsidRPr="00E46EF1">
        <w:rPr>
          <w:rFonts w:cstheme="minorHAnsi"/>
        </w:rPr>
        <w:t>1. Dopo il comma 2 dell’articolo 13 della legge regionale n. 6 del 2014, è aggiunto il seguente: “2 bis. Fermo restando quanto previsto dall’articolo 12, comma 6, della legge 19 febbraio 2004, n. 40 (Norme in materia di procreazione medicalmente assistita), la Regione non concede contributi ad associazioni, anche se regolarmente iscritte nei registri previsti dalla normativa vigente, che nello svolgimento delle proprie attività realizzano, organizzano o pubblicizzano la surrogazione di maternità”.</w:t>
      </w:r>
    </w:p>
    <w:p w:rsidR="00190919" w:rsidRDefault="00190919" w:rsidP="002D3826">
      <w:pPr>
        <w:spacing w:after="0" w:line="20" w:lineRule="atLeast"/>
        <w:jc w:val="both"/>
        <w:rPr>
          <w:rFonts w:cstheme="minorHAnsi"/>
        </w:rPr>
      </w:pPr>
    </w:p>
    <w:p w:rsidR="00473F93" w:rsidRDefault="00473F93" w:rsidP="00473F93">
      <w:pPr>
        <w:jc w:val="center"/>
        <w:rPr>
          <w:rFonts w:cstheme="minorHAnsi"/>
          <w:b/>
        </w:rPr>
      </w:pPr>
      <w:r>
        <w:rPr>
          <w:rFonts w:ascii="Broadway" w:hAnsi="Broadway" w:cstheme="majorHAnsi"/>
          <w:b/>
          <w:sz w:val="40"/>
          <w:szCs w:val="40"/>
        </w:rPr>
        <w:t xml:space="preserve">FRIULI V. G. </w:t>
      </w:r>
      <w:r w:rsidRPr="00BA0CD5">
        <w:rPr>
          <w:rFonts w:cstheme="minorHAnsi"/>
          <w:b/>
        </w:rPr>
        <w:t xml:space="preserve"> </w:t>
      </w:r>
    </w:p>
    <w:p w:rsidR="00190919" w:rsidRPr="00190919" w:rsidRDefault="00190919" w:rsidP="00190919">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190919">
        <w:rPr>
          <w:rFonts w:cstheme="minorHAnsi"/>
          <w:b/>
        </w:rPr>
        <w:t>PROGRAMMAZIONE</w:t>
      </w:r>
    </w:p>
    <w:p w:rsidR="00190919" w:rsidRDefault="00190919" w:rsidP="002D3826">
      <w:pPr>
        <w:spacing w:after="0" w:line="20" w:lineRule="atLeast"/>
        <w:jc w:val="both"/>
        <w:rPr>
          <w:rFonts w:cstheme="minorHAnsi"/>
        </w:rPr>
      </w:pPr>
    </w:p>
    <w:p w:rsidR="00190919" w:rsidRPr="00AB38A5" w:rsidRDefault="00190919" w:rsidP="00190919">
      <w:pPr>
        <w:autoSpaceDE w:val="0"/>
        <w:autoSpaceDN w:val="0"/>
        <w:adjustRightInd w:val="0"/>
        <w:spacing w:after="0" w:line="20" w:lineRule="atLeast"/>
        <w:jc w:val="both"/>
        <w:rPr>
          <w:rFonts w:cstheme="minorHAnsi"/>
        </w:rPr>
      </w:pPr>
      <w:r w:rsidRPr="00AB38A5">
        <w:rPr>
          <w:rFonts w:cstheme="minorHAnsi"/>
          <w:b/>
        </w:rPr>
        <w:t xml:space="preserve">DCR  25 luglio 2019, n. </w:t>
      </w:r>
      <w:proofErr w:type="gramStart"/>
      <w:r w:rsidRPr="00AB38A5">
        <w:rPr>
          <w:rFonts w:cstheme="minorHAnsi"/>
          <w:b/>
        </w:rPr>
        <w:t>59</w:t>
      </w:r>
      <w:r w:rsidRPr="00AB38A5">
        <w:rPr>
          <w:rFonts w:cstheme="minorHAnsi"/>
        </w:rPr>
        <w:t>,  Risoluzione</w:t>
      </w:r>
      <w:proofErr w:type="gramEnd"/>
      <w:r w:rsidRPr="00AB38A5">
        <w:rPr>
          <w:rFonts w:cstheme="minorHAnsi"/>
        </w:rPr>
        <w:t xml:space="preserve"> concernente il “Documento di economia e finanza regionale (DEFR) 2020”. BUR n.  </w:t>
      </w:r>
      <w:proofErr w:type="gramStart"/>
      <w:r w:rsidR="00204050">
        <w:rPr>
          <w:rFonts w:cstheme="minorHAnsi"/>
        </w:rPr>
        <w:t>24</w:t>
      </w:r>
      <w:r w:rsidRPr="00AB38A5">
        <w:rPr>
          <w:rFonts w:cstheme="minorHAnsi"/>
        </w:rPr>
        <w:t xml:space="preserve">  del</w:t>
      </w:r>
      <w:proofErr w:type="gramEnd"/>
      <w:r w:rsidRPr="00AB38A5">
        <w:rPr>
          <w:rFonts w:cstheme="minorHAnsi"/>
        </w:rPr>
        <w:t xml:space="preserve"> 7.8.19)</w:t>
      </w:r>
    </w:p>
    <w:p w:rsidR="00190919" w:rsidRPr="00AB38A5" w:rsidRDefault="00190919" w:rsidP="00190919">
      <w:pPr>
        <w:autoSpaceDE w:val="0"/>
        <w:autoSpaceDN w:val="0"/>
        <w:adjustRightInd w:val="0"/>
        <w:spacing w:after="0" w:line="20" w:lineRule="atLeast"/>
        <w:jc w:val="both"/>
        <w:rPr>
          <w:rFonts w:cstheme="minorHAnsi"/>
          <w:color w:val="000000"/>
        </w:rPr>
      </w:pPr>
      <w:proofErr w:type="gramStart"/>
      <w:r w:rsidRPr="00AB38A5">
        <w:rPr>
          <w:rFonts w:cstheme="minorHAnsi"/>
          <w:color w:val="000000"/>
        </w:rPr>
        <w:t>il</w:t>
      </w:r>
      <w:proofErr w:type="gramEnd"/>
      <w:r w:rsidRPr="00AB38A5">
        <w:rPr>
          <w:rFonts w:cstheme="minorHAnsi"/>
          <w:color w:val="000000"/>
        </w:rPr>
        <w:t xml:space="preserve"> Documento:</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è un documento programmatorio con cui la Regione determina gli obiettivi dei propri bilanci annuali e pluriennali in coerenza con gli obiettivi programmatici risultanti dal DEF dello Stato;</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rappresenta il quadro di riferimento per la definizione dei programmi da realizzare all’interno delle singole Missioni di spesa e per la quantificazione delle risorse disponibili per il finanziamento degli stessi;</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contiene le indicazioni fondamentali che caratterizzeranno l’attività legislativa, regolamentare e operativa della Regione nel corso del 2020;</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contiene inoltre il quadro finanziario unitario di tutte le risorse disponibili per il perseguimento degli obiettivi della programmazione unitaria, esplicitandone gli strumenti attuativi per il 2020;</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è suddiviso in due parti:</w:t>
      </w:r>
    </w:p>
    <w:p w:rsidR="00190919" w:rsidRPr="00AB38A5" w:rsidRDefault="00190919" w:rsidP="00190919">
      <w:pPr>
        <w:autoSpaceDE w:val="0"/>
        <w:autoSpaceDN w:val="0"/>
        <w:adjustRightInd w:val="0"/>
        <w:spacing w:after="0" w:line="20" w:lineRule="atLeast"/>
        <w:jc w:val="both"/>
        <w:rPr>
          <w:rFonts w:cstheme="minorHAnsi"/>
          <w:color w:val="000000"/>
        </w:rPr>
      </w:pPr>
      <w:proofErr w:type="gramStart"/>
      <w:r w:rsidRPr="00AB38A5">
        <w:rPr>
          <w:rFonts w:cstheme="minorHAnsi"/>
          <w:color w:val="000000"/>
        </w:rPr>
        <w:t>la</w:t>
      </w:r>
      <w:proofErr w:type="gramEnd"/>
      <w:r w:rsidRPr="00AB38A5">
        <w:rPr>
          <w:rFonts w:cstheme="minorHAnsi"/>
          <w:color w:val="000000"/>
        </w:rPr>
        <w:t xml:space="preserve"> prima descrive il quadro complessivo di riferimento tramite l’analisi di indicatori statistici di contesto;</w:t>
      </w:r>
    </w:p>
    <w:p w:rsidR="00190919" w:rsidRPr="00AB38A5" w:rsidRDefault="00190919" w:rsidP="00190919">
      <w:pPr>
        <w:autoSpaceDE w:val="0"/>
        <w:autoSpaceDN w:val="0"/>
        <w:adjustRightInd w:val="0"/>
        <w:spacing w:after="0" w:line="20" w:lineRule="atLeast"/>
        <w:jc w:val="both"/>
        <w:rPr>
          <w:rFonts w:cstheme="minorHAnsi"/>
          <w:color w:val="000000"/>
        </w:rPr>
      </w:pPr>
      <w:proofErr w:type="gramStart"/>
      <w:r w:rsidRPr="00AB38A5">
        <w:rPr>
          <w:rFonts w:cstheme="minorHAnsi"/>
          <w:color w:val="000000"/>
        </w:rPr>
        <w:t>questa</w:t>
      </w:r>
      <w:proofErr w:type="gramEnd"/>
      <w:r w:rsidRPr="00AB38A5">
        <w:rPr>
          <w:rFonts w:cstheme="minorHAnsi"/>
          <w:color w:val="000000"/>
        </w:rPr>
        <w:t xml:space="preserve"> analisi ha l’obiettivo di illustrare lo scenario socioeconomico regionale, con le previsioni di crescita dei principali indicatori, in confronto con i rispettivi nazionali. </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Attenzione è prestata ai numeri del BES</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Benessere equo e sostenibile, elaborati dalla statistica ufficiale per fornire un quadro puntuale dello stato di salute della popolazione, presenti anche nel DEF nazionale;</w:t>
      </w:r>
    </w:p>
    <w:p w:rsidR="00190919" w:rsidRPr="00AB38A5" w:rsidRDefault="00190919" w:rsidP="00190919">
      <w:pPr>
        <w:autoSpaceDE w:val="0"/>
        <w:autoSpaceDN w:val="0"/>
        <w:adjustRightInd w:val="0"/>
        <w:spacing w:after="0" w:line="20" w:lineRule="atLeast"/>
        <w:jc w:val="both"/>
        <w:rPr>
          <w:rFonts w:cstheme="minorHAnsi"/>
          <w:color w:val="000000"/>
        </w:rPr>
      </w:pPr>
      <w:proofErr w:type="gramStart"/>
      <w:r w:rsidRPr="00AB38A5">
        <w:rPr>
          <w:rFonts w:cstheme="minorHAnsi"/>
          <w:color w:val="000000"/>
        </w:rPr>
        <w:t>la</w:t>
      </w:r>
      <w:proofErr w:type="gramEnd"/>
      <w:r w:rsidRPr="00AB38A5">
        <w:rPr>
          <w:rFonts w:cstheme="minorHAnsi"/>
          <w:color w:val="000000"/>
        </w:rPr>
        <w:t xml:space="preserve"> seconda parte del documento descrive le risorse stimate a disposizione della Regione, con la rappresentazione delle entrate previste per l’anno in corso. In particolare il DEFR 2020 sviluppa il ciclo della programmazione economico-finanziaria con la descrizione delle politiche regionali per singole Missioni di spesa e l’indicazione delle Direzioni centrali e delle Strutture della Presidenza responsabili dell’attuazione;</w:t>
      </w:r>
    </w:p>
    <w:p w:rsidR="00190919" w:rsidRPr="00AB38A5" w:rsidRDefault="00190919" w:rsidP="00190919">
      <w:pPr>
        <w:autoSpaceDE w:val="0"/>
        <w:autoSpaceDN w:val="0"/>
        <w:adjustRightInd w:val="0"/>
        <w:spacing w:after="0" w:line="20" w:lineRule="atLeast"/>
        <w:jc w:val="both"/>
        <w:rPr>
          <w:rFonts w:cstheme="minorHAnsi"/>
          <w:color w:val="000000"/>
        </w:rPr>
      </w:pPr>
      <w:proofErr w:type="gramStart"/>
      <w:r w:rsidRPr="00AB38A5">
        <w:rPr>
          <w:rFonts w:cstheme="minorHAnsi"/>
          <w:color w:val="000000"/>
        </w:rPr>
        <w:t>la</w:t>
      </w:r>
      <w:proofErr w:type="gramEnd"/>
      <w:r w:rsidRPr="00AB38A5">
        <w:rPr>
          <w:rFonts w:cstheme="minorHAnsi"/>
          <w:color w:val="000000"/>
        </w:rPr>
        <w:t xml:space="preserve"> definizione delle politiche da adottare nel 2020, con proiezione triennale 2020-2022, è proposta dalle strutture responsabili in accordo con l’organo politico di riferimento;</w:t>
      </w:r>
    </w:p>
    <w:p w:rsidR="00190919" w:rsidRPr="00AB38A5" w:rsidRDefault="00190919" w:rsidP="00190919">
      <w:pPr>
        <w:autoSpaceDE w:val="0"/>
        <w:autoSpaceDN w:val="0"/>
        <w:adjustRightInd w:val="0"/>
        <w:spacing w:after="0" w:line="20" w:lineRule="atLeast"/>
        <w:jc w:val="both"/>
        <w:rPr>
          <w:rFonts w:cstheme="minorHAnsi"/>
          <w:b/>
          <w:bCs/>
          <w:color w:val="000000"/>
        </w:rPr>
      </w:pPr>
      <w:r w:rsidRPr="00AB38A5">
        <w:rPr>
          <w:rFonts w:cstheme="minorHAnsi"/>
          <w:b/>
          <w:bCs/>
          <w:color w:val="000000"/>
        </w:rPr>
        <w:t>LA GIUNTA VIENE IMPEGNATA</w:t>
      </w:r>
    </w:p>
    <w:p w:rsidR="00190919" w:rsidRPr="00AB38A5" w:rsidRDefault="00190919" w:rsidP="00190919">
      <w:pPr>
        <w:autoSpaceDE w:val="0"/>
        <w:autoSpaceDN w:val="0"/>
        <w:adjustRightInd w:val="0"/>
        <w:spacing w:after="0" w:line="20" w:lineRule="atLeast"/>
        <w:jc w:val="both"/>
        <w:rPr>
          <w:rFonts w:cstheme="minorHAnsi"/>
          <w:color w:val="000000"/>
        </w:rPr>
      </w:pPr>
      <w:proofErr w:type="gramStart"/>
      <w:r w:rsidRPr="00AB38A5">
        <w:rPr>
          <w:rFonts w:cstheme="minorHAnsi"/>
          <w:color w:val="000000"/>
        </w:rPr>
        <w:t>a</w:t>
      </w:r>
      <w:proofErr w:type="gramEnd"/>
      <w:r w:rsidRPr="00AB38A5">
        <w:rPr>
          <w:rFonts w:cstheme="minorHAnsi"/>
          <w:color w:val="000000"/>
        </w:rPr>
        <w:t xml:space="preserve"> perseguire le indicazioni programmatiche sulle azioni di riforma previste nel DEFR 2020 e a dare attuazione alle politiche regionali declinate negli obiettivi strategici e programmatici di finanza pubblica in esso contenuti.</w:t>
      </w:r>
    </w:p>
    <w:p w:rsidR="00190919" w:rsidRPr="00473F93" w:rsidRDefault="00190919" w:rsidP="00190919">
      <w:pPr>
        <w:autoSpaceDE w:val="0"/>
        <w:autoSpaceDN w:val="0"/>
        <w:adjustRightInd w:val="0"/>
        <w:spacing w:after="0" w:line="20" w:lineRule="atLeast"/>
        <w:jc w:val="both"/>
        <w:rPr>
          <w:rFonts w:cstheme="minorHAnsi"/>
          <w:b/>
          <w:bCs/>
          <w:color w:val="000000"/>
        </w:rPr>
      </w:pPr>
      <w:r w:rsidRPr="00473F93">
        <w:rPr>
          <w:rFonts w:cstheme="minorHAnsi"/>
          <w:b/>
          <w:bCs/>
          <w:color w:val="000000"/>
        </w:rPr>
        <w:t>Premessa di metodo</w:t>
      </w:r>
    </w:p>
    <w:p w:rsidR="00190919" w:rsidRPr="00473F93" w:rsidRDefault="00190919" w:rsidP="00190919">
      <w:pPr>
        <w:autoSpaceDE w:val="0"/>
        <w:autoSpaceDN w:val="0"/>
        <w:adjustRightInd w:val="0"/>
        <w:spacing w:after="0" w:line="20" w:lineRule="atLeast"/>
        <w:jc w:val="both"/>
        <w:rPr>
          <w:rFonts w:cstheme="minorHAnsi"/>
          <w:iCs/>
          <w:color w:val="000000"/>
        </w:rPr>
      </w:pPr>
      <w:r w:rsidRPr="00473F93">
        <w:rPr>
          <w:rFonts w:cstheme="minorHAnsi"/>
          <w:iCs/>
          <w:color w:val="000000"/>
        </w:rPr>
        <w:t>Il Documento di Economia e Finanza Regionale – DEFR 2020, previsto dall’articolo 36 del D. Lgs. n. 118/2011 e s.m.i. si pone come documento di indirizzo unitario per la programmazione regionale.</w:t>
      </w:r>
    </w:p>
    <w:p w:rsidR="00190919" w:rsidRPr="00473F93" w:rsidRDefault="00190919" w:rsidP="00190919">
      <w:pPr>
        <w:autoSpaceDE w:val="0"/>
        <w:autoSpaceDN w:val="0"/>
        <w:adjustRightInd w:val="0"/>
        <w:spacing w:after="0" w:line="20" w:lineRule="atLeast"/>
        <w:jc w:val="both"/>
        <w:rPr>
          <w:rFonts w:cstheme="minorHAnsi"/>
          <w:iCs/>
          <w:color w:val="000000"/>
        </w:rPr>
      </w:pPr>
      <w:r w:rsidRPr="00473F93">
        <w:rPr>
          <w:rFonts w:cstheme="minorHAnsi"/>
          <w:iCs/>
          <w:color w:val="000000"/>
        </w:rPr>
        <w:t>IL DEFR 2020 è integrato nel ciclo della pianificazione strategica, essendo elaborato in coerenza con le Linee Strategiche del Governo regionale declinate nel Piano strategico 2018-2023, e garantisce il raccordo con il processo di programmazione finanziaria, in quanto contiene le politiche sulla cui base verrà elaborato il bilancio di previsione annuale 2020 e triennale 2020-2022. In linea di continuità con l’azione di governo di legislatura, nei contenuti costituisce un aggiornamento e integrazione della programmazione definita nel DEFR 2019, approvato dal Consiglio regionale con Deliberazione 25 luglio 2018, n. 5, e nella relativa Nota di aggiornamento approvata dal Consiglio regionale con Deliberazione 12 dicembre 2018, n. 40.</w:t>
      </w:r>
    </w:p>
    <w:p w:rsidR="00190919" w:rsidRPr="00473F93" w:rsidRDefault="00190919" w:rsidP="00190919">
      <w:pPr>
        <w:autoSpaceDE w:val="0"/>
        <w:autoSpaceDN w:val="0"/>
        <w:adjustRightInd w:val="0"/>
        <w:spacing w:after="0" w:line="20" w:lineRule="atLeast"/>
        <w:jc w:val="both"/>
        <w:rPr>
          <w:rFonts w:cstheme="minorHAnsi"/>
          <w:iCs/>
          <w:color w:val="000000"/>
        </w:rPr>
      </w:pPr>
      <w:r w:rsidRPr="00473F93">
        <w:rPr>
          <w:rFonts w:cstheme="minorHAnsi"/>
          <w:iCs/>
          <w:color w:val="000000"/>
        </w:rPr>
        <w:lastRenderedPageBreak/>
        <w:t>Il completamento del processo di armonizzazione del bilancio regionale secondo i principi e con le modalità definite dal decreto legislativo 118/2011 ha visto la definitiva introduzione del regime di contabilità economico-patrimoniale per la Regione, con il superamento della logica di ripartizione della spesa per finalità e una classificazione delle spese in funzione delle Missioni e dei Programmi definiti dall’art. 13 del decreto1 e individuati dai regolamenti comunitari secondo criteri omogenei, allo scopo di assicurare maggiore trasparenza delle informazioni riguardanti la destinazione delle risorse pubbliche, agevolare la “lettura” secondo la finalità di spesa, consentire pertanto la più ampia comparabilità dei dati di bilancio e permetterne l’aggregazione. Il DEFR rappresenta il quadro di riferimento per la definizione dei programmi da realizzare all'interno delle singole Missioni di spesa e per la quantificazione delle risorse disponibili per il finanziamento degli stessi.</w:t>
      </w:r>
    </w:p>
    <w:p w:rsidR="00190919" w:rsidRPr="00473F93" w:rsidRDefault="00190919" w:rsidP="00190919">
      <w:pPr>
        <w:autoSpaceDE w:val="0"/>
        <w:autoSpaceDN w:val="0"/>
        <w:adjustRightInd w:val="0"/>
        <w:spacing w:after="0" w:line="20" w:lineRule="atLeast"/>
        <w:jc w:val="both"/>
        <w:rPr>
          <w:rFonts w:cstheme="minorHAnsi"/>
          <w:iCs/>
          <w:color w:val="000000"/>
        </w:rPr>
      </w:pPr>
      <w:r w:rsidRPr="00473F93">
        <w:rPr>
          <w:rFonts w:cstheme="minorHAnsi"/>
          <w:iCs/>
          <w:color w:val="000000"/>
        </w:rPr>
        <w:t>Il DEFR 2020 è redatto secondo le modalità previste dal principio contabile applicato della programmazione di bilancio Allegato n. 4/1 al Decreto n. 118/2011. Tale principio definisce il sistema di programmazione delle Regioni garantendo il raccordo con il processo di programmazione economico-finanziaria dello Stato, il quale a sua volta è integrato nel ciclo di programmazione europeo, anche a seguito delle modifiche introdotte dalla L. n. 196/2009 e dalla L. n. 39/2011.</w:t>
      </w:r>
    </w:p>
    <w:p w:rsidR="00190919" w:rsidRPr="00473F93" w:rsidRDefault="00190919" w:rsidP="00190919">
      <w:pPr>
        <w:autoSpaceDE w:val="0"/>
        <w:autoSpaceDN w:val="0"/>
        <w:adjustRightInd w:val="0"/>
        <w:spacing w:after="0" w:line="20" w:lineRule="atLeast"/>
        <w:jc w:val="both"/>
        <w:rPr>
          <w:rFonts w:cstheme="minorHAnsi"/>
          <w:iCs/>
          <w:color w:val="000000"/>
        </w:rPr>
      </w:pPr>
      <w:r w:rsidRPr="00473F93">
        <w:rPr>
          <w:rFonts w:cstheme="minorHAnsi"/>
          <w:iCs/>
          <w:color w:val="000000"/>
        </w:rPr>
        <w:t>Preliminarmente occorre specificare che il documento limita la sua portata ad un contenuto programmatico e orientato a obiettivi non finanziari, nel rispetto di quanto previsto dal paragrafo 5.3 del medesimo Allegato n. 4/1, nelle more dell’attuazione del federalismo fiscale di cui alla L. n. 42/2009.</w:t>
      </w:r>
    </w:p>
    <w:p w:rsidR="00190919" w:rsidRPr="00473F93" w:rsidRDefault="00190919" w:rsidP="00190919">
      <w:pPr>
        <w:autoSpaceDE w:val="0"/>
        <w:autoSpaceDN w:val="0"/>
        <w:adjustRightInd w:val="0"/>
        <w:spacing w:after="0" w:line="20" w:lineRule="atLeast"/>
        <w:jc w:val="both"/>
        <w:rPr>
          <w:rFonts w:cstheme="minorHAnsi"/>
          <w:iCs/>
          <w:color w:val="000000"/>
        </w:rPr>
      </w:pPr>
      <w:r w:rsidRPr="00473F93">
        <w:rPr>
          <w:rFonts w:cstheme="minorHAnsi"/>
          <w:iCs/>
          <w:color w:val="000000"/>
        </w:rPr>
        <w:t>Le politiche regionali, con la definizione dei risultati attesi e delle risorse disponibili, e la programmazione relativa a Enti, Agenzie e Società partecipate della Regione verranno approfondite nella Nota di aggiornamento del DEFR 2020 che verrà presentata dalla Giunta regionale al Consiglio regionale entro il 15 novembre 2019.</w:t>
      </w:r>
    </w:p>
    <w:p w:rsidR="00190919" w:rsidRPr="00473F93" w:rsidRDefault="00190919" w:rsidP="00190919">
      <w:pPr>
        <w:autoSpaceDE w:val="0"/>
        <w:autoSpaceDN w:val="0"/>
        <w:adjustRightInd w:val="0"/>
        <w:spacing w:after="0" w:line="20" w:lineRule="atLeast"/>
        <w:jc w:val="both"/>
        <w:rPr>
          <w:rFonts w:cstheme="minorHAnsi"/>
          <w:iCs/>
          <w:color w:val="000000"/>
        </w:rPr>
      </w:pPr>
      <w:r w:rsidRPr="00473F93">
        <w:rPr>
          <w:rFonts w:cstheme="minorHAnsi"/>
          <w:iCs/>
          <w:color w:val="000000"/>
        </w:rPr>
        <w:t>Il DEFR 2020 si suddivide in due sezioni.</w:t>
      </w:r>
    </w:p>
    <w:p w:rsidR="00190919" w:rsidRPr="00473F93" w:rsidRDefault="00190919" w:rsidP="00190919">
      <w:pPr>
        <w:autoSpaceDE w:val="0"/>
        <w:autoSpaceDN w:val="0"/>
        <w:adjustRightInd w:val="0"/>
        <w:spacing w:after="0" w:line="20" w:lineRule="atLeast"/>
        <w:jc w:val="both"/>
        <w:rPr>
          <w:rFonts w:cstheme="minorHAnsi"/>
          <w:iCs/>
          <w:color w:val="000000"/>
        </w:rPr>
      </w:pPr>
      <w:r w:rsidRPr="00473F93">
        <w:rPr>
          <w:rFonts w:cstheme="minorHAnsi"/>
          <w:iCs/>
          <w:color w:val="000000"/>
        </w:rPr>
        <w:t>La prima descrive il quadro complessivo di riferimento tramite l’analisi di indicatori statistici di contesto. Questa analisi ha l’obiettivo di illustrare lo scenario socioeconomico regionale, con le previsioni di crescita dei principali indicatori, in confronto con i rispettivi nazionali. Attenzione è prestata ai numeri del BES – Benessere equo e sostenibile, elaborati dalla statistica ufficiale per fornire un quadro puntuale dello stato di salute della popolazione, presenti anche nel DEF nazionale.</w:t>
      </w:r>
    </w:p>
    <w:p w:rsidR="00190919" w:rsidRPr="00473F93" w:rsidRDefault="00190919" w:rsidP="00190919">
      <w:pPr>
        <w:autoSpaceDE w:val="0"/>
        <w:autoSpaceDN w:val="0"/>
        <w:adjustRightInd w:val="0"/>
        <w:spacing w:after="0" w:line="20" w:lineRule="atLeast"/>
        <w:jc w:val="both"/>
        <w:rPr>
          <w:rFonts w:cstheme="minorHAnsi"/>
          <w:iCs/>
          <w:color w:val="000000"/>
        </w:rPr>
      </w:pPr>
      <w:r w:rsidRPr="00473F93">
        <w:rPr>
          <w:rFonts w:cstheme="minorHAnsi"/>
          <w:iCs/>
          <w:color w:val="000000"/>
        </w:rPr>
        <w:t>La seconda parte del documento descrive le risorse stimate a disposizione della Regione, con la rappresentazione delle entrate previste per l’anno in corso. Di seguito, il DEFR 2020 sviluppa il ciclo della programmazione economico-finanziaria con la descrizione delle politiche regionali per singole Missioni di spesa e l’indicazione delle Direzioni centrali e delle Strutture della Presidenza responsabili dell’attuazione. La definizione delle politiche da adottare nel 2020, con proiezione triennale 2020-2022, è proposta dalle strutture responsabili in accordo con l’organo politico di riferimento.</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1 Le Missioni rappresentano le funzioni principali perseguite dalle Amministrazioni utilizzando risorse finanziarie, umane e strumentali ad esse destinate; sono definite in base al riparto di competenze stabilito dagli articoli 117 e 118 della Costituzione, assumendo come riferimento le Missioni individuate per lo Stato. </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I Programmi rappresentano gli aggregati omogenei di attività volte a perseguire gli obiettivi istituzionali definiti nell’ambito delle Missioni. </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La denominazione del Programma riflette le principali aree di intervento delle Missioni di riferimento, consentendo una rappresentazione di bilancio, omogenea per tutti gli enti pubblici, che evidenzia le politiche realizzate da ciascuna amministrazione con pubbliche risorse.</w:t>
      </w:r>
    </w:p>
    <w:p w:rsidR="00190919" w:rsidRPr="00473F93" w:rsidRDefault="00473F93" w:rsidP="00190919">
      <w:pPr>
        <w:spacing w:after="0" w:line="20" w:lineRule="atLeast"/>
        <w:jc w:val="both"/>
        <w:rPr>
          <w:rFonts w:cstheme="minorHAnsi"/>
          <w:b/>
        </w:rPr>
      </w:pPr>
      <w:r w:rsidRPr="00473F93">
        <w:rPr>
          <w:rFonts w:cstheme="minorHAnsi"/>
          <w:b/>
        </w:rPr>
        <w:t>NB</w:t>
      </w:r>
    </w:p>
    <w:p w:rsidR="00473F93" w:rsidRPr="00473F93" w:rsidRDefault="00473F93" w:rsidP="00190919">
      <w:pPr>
        <w:spacing w:after="0" w:line="20" w:lineRule="atLeast"/>
        <w:jc w:val="both"/>
        <w:rPr>
          <w:rFonts w:cstheme="minorHAnsi"/>
          <w:b/>
        </w:rPr>
      </w:pPr>
      <w:r w:rsidRPr="00473F93">
        <w:rPr>
          <w:rFonts w:cstheme="minorHAnsi"/>
          <w:b/>
        </w:rPr>
        <w:t>VENGONO DI SEGUITO RIPORTATI I PARAGRAFI RELATIVI ALLE POLITICHE SOCIO-SANITARIE</w:t>
      </w:r>
    </w:p>
    <w:p w:rsidR="00190919" w:rsidRPr="00AB38A5" w:rsidRDefault="00190919" w:rsidP="00190919">
      <w:pPr>
        <w:autoSpaceDE w:val="0"/>
        <w:autoSpaceDN w:val="0"/>
        <w:adjustRightInd w:val="0"/>
        <w:spacing w:after="0" w:line="20" w:lineRule="atLeast"/>
        <w:jc w:val="both"/>
        <w:rPr>
          <w:rFonts w:cstheme="minorHAnsi"/>
          <w:b/>
          <w:bCs/>
        </w:rPr>
      </w:pPr>
      <w:r w:rsidRPr="00AB38A5">
        <w:rPr>
          <w:rFonts w:cstheme="minorHAnsi"/>
          <w:b/>
          <w:bCs/>
        </w:rPr>
        <w:t>Direzione centrale lavoro, formazione, istruzione e famiglia</w:t>
      </w:r>
    </w:p>
    <w:p w:rsidR="00190919" w:rsidRPr="00AB38A5" w:rsidRDefault="00190919" w:rsidP="00190919">
      <w:pPr>
        <w:autoSpaceDE w:val="0"/>
        <w:autoSpaceDN w:val="0"/>
        <w:adjustRightInd w:val="0"/>
        <w:spacing w:after="0" w:line="20" w:lineRule="atLeast"/>
        <w:jc w:val="both"/>
        <w:rPr>
          <w:rFonts w:cstheme="minorHAnsi"/>
        </w:rPr>
      </w:pPr>
      <w:r w:rsidRPr="00AB38A5">
        <w:rPr>
          <w:rFonts w:cstheme="minorHAnsi"/>
        </w:rPr>
        <w:t xml:space="preserve">Le </w:t>
      </w:r>
      <w:r w:rsidRPr="00AB38A5">
        <w:rPr>
          <w:rFonts w:cstheme="minorHAnsi"/>
          <w:b/>
          <w:bCs/>
          <w:i/>
          <w:iCs/>
        </w:rPr>
        <w:t xml:space="preserve">politiche giovanili </w:t>
      </w:r>
      <w:r w:rsidRPr="00AB38A5">
        <w:rPr>
          <w:rFonts w:cstheme="minorHAnsi"/>
        </w:rPr>
        <w:t>sono coordinate con le politiche della famiglia al fine di sostenere in modo organico i percorsi di uscita dalla famiglia di origine e la transizione dei giovani ragazzi e ragazze verso la vita adulta e il loro inserimento a pieno titolo nella cittadinanza responsabile e attiva.</w:t>
      </w:r>
    </w:p>
    <w:p w:rsidR="00190919" w:rsidRPr="00AB38A5" w:rsidRDefault="00190919" w:rsidP="00190919">
      <w:pPr>
        <w:autoSpaceDE w:val="0"/>
        <w:autoSpaceDN w:val="0"/>
        <w:adjustRightInd w:val="0"/>
        <w:spacing w:after="0" w:line="20" w:lineRule="atLeast"/>
        <w:jc w:val="both"/>
        <w:rPr>
          <w:rFonts w:cstheme="minorHAnsi"/>
        </w:rPr>
      </w:pPr>
      <w:r w:rsidRPr="00AB38A5">
        <w:rPr>
          <w:rFonts w:cstheme="minorHAnsi"/>
        </w:rPr>
        <w:t>Oltre a una solida programmazione rivolta a contrastare la disoccupazione giovanile e a sostenere l’occupabilità di ragazzi e ragazze, le politiche regionali in favore dei giovani sono dirette a sostenere la loro capacità progettuale e creativa, favorendo la loro partecipazione all'elaborazione di politiche condivise e incentivando progetti promossi dall’associazionismo di settore.</w:t>
      </w:r>
    </w:p>
    <w:p w:rsidR="00190919" w:rsidRPr="00AB38A5" w:rsidRDefault="00190919" w:rsidP="00190919">
      <w:pPr>
        <w:autoSpaceDE w:val="0"/>
        <w:autoSpaceDN w:val="0"/>
        <w:adjustRightInd w:val="0"/>
        <w:spacing w:after="0" w:line="20" w:lineRule="atLeast"/>
        <w:jc w:val="both"/>
        <w:rPr>
          <w:rFonts w:cstheme="minorHAnsi"/>
        </w:rPr>
      </w:pPr>
      <w:r w:rsidRPr="00AB38A5">
        <w:rPr>
          <w:rFonts w:cstheme="minorHAnsi"/>
        </w:rPr>
        <w:lastRenderedPageBreak/>
        <w:t>Un’attenzione particolare della programmazione è rivolta alla disoccupazione giovanile. Verrà avviata la seconda fase di sostegno all’occupabilità dei giovani con il programma Garanzia Giovani FVG, grazie alle nuove risorse del Programma operativo nazionale IOG e alle risorse del Programma operativo regionale del Fondo sociale europeo.</w:t>
      </w:r>
    </w:p>
    <w:p w:rsidR="00190919" w:rsidRPr="00AB38A5" w:rsidRDefault="00190919" w:rsidP="00190919">
      <w:pPr>
        <w:autoSpaceDE w:val="0"/>
        <w:autoSpaceDN w:val="0"/>
        <w:adjustRightInd w:val="0"/>
        <w:spacing w:after="0" w:line="20" w:lineRule="atLeast"/>
        <w:jc w:val="both"/>
        <w:rPr>
          <w:rFonts w:cstheme="minorHAnsi"/>
        </w:rPr>
      </w:pPr>
      <w:r w:rsidRPr="00AB38A5">
        <w:rPr>
          <w:rFonts w:cstheme="minorHAnsi"/>
        </w:rPr>
        <w:t>Trattasi di misure formative e di tirocinio rivolte ai giovani di età compresa tra 18 anni compiuti e 30 anni non compiuti i quali non hanno in corso un contratto di lavoro e non frequentano un regolare corso di studi secondari superiori o universitari o di formazione. Tali misure sono partite nel 2019; attraverso le risorse del PON IOG, destinate ai tirocini, si ritiene di coinvolgere nelle misure finanziate circa 5.000 giovani nel prossimo triennio. Nell’offerta di tirocini, rientrano anche quelli realizzati in mobilità nazionale.</w:t>
      </w:r>
    </w:p>
    <w:p w:rsidR="00190919" w:rsidRPr="00AB38A5" w:rsidRDefault="00190919" w:rsidP="00190919">
      <w:pPr>
        <w:autoSpaceDE w:val="0"/>
        <w:autoSpaceDN w:val="0"/>
        <w:adjustRightInd w:val="0"/>
        <w:spacing w:after="0" w:line="20" w:lineRule="atLeast"/>
        <w:jc w:val="both"/>
        <w:rPr>
          <w:rFonts w:cstheme="minorHAnsi"/>
        </w:rPr>
      </w:pPr>
      <w:r w:rsidRPr="00AB38A5">
        <w:rPr>
          <w:rFonts w:cstheme="minorHAnsi"/>
        </w:rPr>
        <w:t>Nell’ambito dei nuovi Accordi con lo Stato per la gestione del Fondo politiche giovanili, si intende proseguire il sostegno alla realizzazione di interventi che possano prevenire e contrastare il disagio giovanile, attraverso la diffusione della cultura della legalità e della conoscenza del vivere civile. In particolare saranno finanziati e realizzati progetti complessi, che esprimano ampie sinergie tra gli attori pubblici e privati, per educare i giovani al rispetto di se stessi e degli altri, per favorire la creazione di rapporti positivi nelle relazioni familiari e sociali, per diffondere la conoscenza di stili di vita sana e prevenire e contrastare i comportamenti e i fattori di rischio, con particolare riguardo alla sessualità, all’alimentazione, all’uso di sostanze stupefacenti e psicoattive e all’abuso di alcool.</w:t>
      </w:r>
    </w:p>
    <w:p w:rsidR="00190919" w:rsidRPr="00AB38A5" w:rsidRDefault="00190919" w:rsidP="00190919">
      <w:pPr>
        <w:autoSpaceDE w:val="0"/>
        <w:autoSpaceDN w:val="0"/>
        <w:adjustRightInd w:val="0"/>
        <w:spacing w:after="0" w:line="20" w:lineRule="atLeast"/>
        <w:jc w:val="both"/>
        <w:rPr>
          <w:rFonts w:cstheme="minorHAnsi"/>
        </w:rPr>
      </w:pPr>
      <w:r w:rsidRPr="00AB38A5">
        <w:rPr>
          <w:rFonts w:cstheme="minorHAnsi"/>
        </w:rPr>
        <w:t>Per il perseguimento di tali finalità sono necessarie una revisione della L.R. 5/2012, soprattutto nella parte afferente la definizione dell’attuale modello di governance, favorendo lo snellimento e una concreta operatività dei vari organi e organismi ivi previsti, nonché l’approvazione e attuazione di un Piano regionale Giovani (2020-2022), che dovrà riportare le linee strategiche di indirizzo e le azioni a favore dei giovani con riferimento altresì alla delega in materia di famiglia, in armonia con i principi e i programmi rivolti ai giovani in ambito nazionale ed europeo.</w:t>
      </w:r>
    </w:p>
    <w:p w:rsidR="00190919" w:rsidRPr="00AB38A5" w:rsidRDefault="00190919" w:rsidP="00190919">
      <w:pPr>
        <w:spacing w:after="0" w:line="20" w:lineRule="atLeast"/>
        <w:jc w:val="both"/>
        <w:rPr>
          <w:rFonts w:cstheme="minorHAnsi"/>
        </w:rPr>
      </w:pPr>
    </w:p>
    <w:p w:rsidR="00190919" w:rsidRPr="00AB38A5" w:rsidRDefault="00190919" w:rsidP="00190919">
      <w:pPr>
        <w:autoSpaceDE w:val="0"/>
        <w:autoSpaceDN w:val="0"/>
        <w:adjustRightInd w:val="0"/>
        <w:spacing w:after="0" w:line="20" w:lineRule="atLeast"/>
        <w:jc w:val="both"/>
        <w:rPr>
          <w:rFonts w:cstheme="minorHAnsi"/>
        </w:rPr>
      </w:pPr>
      <w:r w:rsidRPr="00AB38A5">
        <w:rPr>
          <w:rFonts w:cstheme="minorHAnsi"/>
        </w:rPr>
        <w:t xml:space="preserve">In merito all’utilizzo delle risorse a favore delle </w:t>
      </w:r>
      <w:r w:rsidRPr="00AB38A5">
        <w:rPr>
          <w:rFonts w:cstheme="minorHAnsi"/>
          <w:b/>
          <w:bCs/>
          <w:i/>
          <w:iCs/>
        </w:rPr>
        <w:t>politiche abitative</w:t>
      </w:r>
      <w:r w:rsidRPr="00AB38A5">
        <w:rPr>
          <w:rFonts w:cstheme="minorHAnsi"/>
        </w:rPr>
        <w:t>, si prevede nel 2020 di completare la revisione della governance del sistema delle ATER regionali, proseguendo l’’attuazione dell’obiettivo della convergenza del sistema regionale delle ATER avviato nel 2016. Con riguardo all’attuazione delle politiche di Housing sociale proseguirà l’attività del Fondo housing sociale FVG per il quale la Regione, nel 2015, ha sottoscritto quote per 8 milioni di euro.</w:t>
      </w:r>
    </w:p>
    <w:p w:rsidR="00190919" w:rsidRPr="00AB38A5" w:rsidRDefault="00190919" w:rsidP="00190919">
      <w:pPr>
        <w:autoSpaceDE w:val="0"/>
        <w:autoSpaceDN w:val="0"/>
        <w:adjustRightInd w:val="0"/>
        <w:spacing w:after="0" w:line="20" w:lineRule="atLeast"/>
        <w:jc w:val="both"/>
        <w:rPr>
          <w:rFonts w:cstheme="minorHAnsi"/>
        </w:rPr>
      </w:pPr>
      <w:r w:rsidRPr="00AB38A5">
        <w:rPr>
          <w:rFonts w:cstheme="minorHAnsi"/>
        </w:rPr>
        <w:t>L’attività del Fondo è condotta nel rispetto delle finalità previste dalla normativa regionale in materia, anche attraverso il coinvolgimento della Regione al fine di garantire, nel corso del 2020, il coordinamento con gli strumenti della politica abitativa regionale e potenziare gli effetti sociali della suddetta partecipazione regionale.</w:t>
      </w:r>
    </w:p>
    <w:p w:rsidR="00190919" w:rsidRPr="00AB38A5" w:rsidRDefault="00190919" w:rsidP="00190919">
      <w:pPr>
        <w:autoSpaceDE w:val="0"/>
        <w:autoSpaceDN w:val="0"/>
        <w:adjustRightInd w:val="0"/>
        <w:spacing w:after="0" w:line="20" w:lineRule="atLeast"/>
        <w:jc w:val="both"/>
        <w:rPr>
          <w:rFonts w:cstheme="minorHAnsi"/>
        </w:rPr>
      </w:pPr>
      <w:r w:rsidRPr="00AB38A5">
        <w:rPr>
          <w:rFonts w:cstheme="minorHAnsi"/>
        </w:rPr>
        <w:t xml:space="preserve">Con riguardo alla tematica dell’accessibilità e del superamento delle barriere architettoniche, sulla base dei principi di cui alla L.R. 10/2018 “Principi generali e disposizioni attuative in materia di </w:t>
      </w:r>
      <w:r w:rsidRPr="00AB38A5">
        <w:rPr>
          <w:rFonts w:cstheme="minorHAnsi"/>
          <w:b/>
          <w:bCs/>
          <w:i/>
          <w:iCs/>
        </w:rPr>
        <w:t>accessibilit</w:t>
      </w:r>
      <w:r w:rsidRPr="00AB38A5">
        <w:rPr>
          <w:rFonts w:cstheme="minorHAnsi"/>
          <w:b/>
          <w:bCs/>
        </w:rPr>
        <w:t>à</w:t>
      </w:r>
      <w:r w:rsidRPr="00AB38A5">
        <w:rPr>
          <w:rFonts w:cstheme="minorHAnsi"/>
        </w:rPr>
        <w:t>”, la Regione ha assunto quale standard di qualità della progettazione la metodologia della progettazione universale, avviando un percorso finalizzato ad innalzare la qualità, per migliorare l’accessibilità dello spazio e dell’ambiente costruito pubblico, al fine di assicurarne una fruizione estesa. Per conseguire questo macro-obiettivo di lungo termine, la Regione esplica la sua azione nei seguenti ambiti: la promozione di una cultura dell’accessibilità estesa secondo i principi della progettazione universale, la formazione dei progettisti, l’adozione di strumenti per mappare e classificare l’accessibilità dello spazio e dell’ambiente costruito, l’eliminazione delle barriere architettoniche.</w:t>
      </w:r>
    </w:p>
    <w:p w:rsidR="00190919" w:rsidRPr="00AB38A5" w:rsidRDefault="00190919" w:rsidP="00190919">
      <w:pPr>
        <w:autoSpaceDE w:val="0"/>
        <w:autoSpaceDN w:val="0"/>
        <w:adjustRightInd w:val="0"/>
        <w:spacing w:after="0" w:line="20" w:lineRule="atLeast"/>
        <w:jc w:val="both"/>
        <w:rPr>
          <w:rFonts w:cstheme="minorHAnsi"/>
        </w:rPr>
      </w:pPr>
      <w:r w:rsidRPr="00AB38A5">
        <w:rPr>
          <w:rFonts w:cstheme="minorHAnsi"/>
        </w:rPr>
        <w:t>In un’ottica triennale, secondo un modello di progetto a sviluppo incrementale, da realizzarsi per fasi successive, le linee di attività riferite agli ambiti di azione tracciati dalla nuova legge, per il 2020, prevedono:</w:t>
      </w:r>
    </w:p>
    <w:p w:rsidR="00190919" w:rsidRPr="00AB38A5" w:rsidRDefault="00190919" w:rsidP="00190919">
      <w:pPr>
        <w:autoSpaceDE w:val="0"/>
        <w:autoSpaceDN w:val="0"/>
        <w:adjustRightInd w:val="0"/>
        <w:spacing w:after="0" w:line="20" w:lineRule="atLeast"/>
        <w:jc w:val="both"/>
        <w:rPr>
          <w:rFonts w:cstheme="minorHAnsi"/>
        </w:rPr>
      </w:pPr>
      <w:r w:rsidRPr="00AB38A5">
        <w:rPr>
          <w:rFonts w:cstheme="minorHAnsi"/>
        </w:rPr>
        <w:t>- l’incremento e il consolidamento dell’attività del Centro unico di riferimento regionale per il corrispondente coordinamento delle sinergie tra Regione, Centro unico, Università;</w:t>
      </w:r>
    </w:p>
    <w:p w:rsidR="00190919" w:rsidRPr="00AB38A5" w:rsidRDefault="00190919" w:rsidP="00190919">
      <w:pPr>
        <w:autoSpaceDE w:val="0"/>
        <w:autoSpaceDN w:val="0"/>
        <w:adjustRightInd w:val="0"/>
        <w:spacing w:after="0" w:line="20" w:lineRule="atLeast"/>
        <w:jc w:val="both"/>
        <w:rPr>
          <w:rFonts w:cstheme="minorHAnsi"/>
        </w:rPr>
      </w:pPr>
      <w:r w:rsidRPr="00AB38A5">
        <w:rPr>
          <w:rFonts w:cstheme="minorHAnsi"/>
        </w:rPr>
        <w:t>- il consolidamento del processo di mappatura di percorsi ed edifici da parte dei Comuni, a seguito dell’adozione dello strumento informatico fornito da Insiel (sulla base di una convenzione Regione/Insiel), delle relative linee guida operative, nonché della somministrazione di specifica formazione agli operatori, da realizzarsi a cura del Centro unico;</w:t>
      </w:r>
    </w:p>
    <w:p w:rsidR="00190919" w:rsidRPr="00AB38A5" w:rsidRDefault="00190919" w:rsidP="00190919">
      <w:pPr>
        <w:autoSpaceDE w:val="0"/>
        <w:autoSpaceDN w:val="0"/>
        <w:adjustRightInd w:val="0"/>
        <w:spacing w:after="0" w:line="20" w:lineRule="atLeast"/>
        <w:jc w:val="both"/>
        <w:rPr>
          <w:rFonts w:cstheme="minorHAnsi"/>
        </w:rPr>
      </w:pPr>
      <w:r w:rsidRPr="00AB38A5">
        <w:rPr>
          <w:rFonts w:cstheme="minorHAnsi"/>
        </w:rPr>
        <w:t>- l’erogazione di contributi per la realizzazione di ulteriori interventi di abbattimento delle barriere architettoniche, in continuità con quanto verrà realizzato nel corso del corrente anno, a seguito dell’attivazione del nuovo specifico canale contributivo;</w:t>
      </w:r>
    </w:p>
    <w:p w:rsidR="00190919" w:rsidRPr="00AB38A5" w:rsidRDefault="00190919" w:rsidP="00190919">
      <w:pPr>
        <w:autoSpaceDE w:val="0"/>
        <w:autoSpaceDN w:val="0"/>
        <w:adjustRightInd w:val="0"/>
        <w:spacing w:after="0" w:line="20" w:lineRule="atLeast"/>
        <w:jc w:val="both"/>
        <w:rPr>
          <w:rFonts w:cstheme="minorHAnsi"/>
        </w:rPr>
      </w:pPr>
      <w:r w:rsidRPr="00AB38A5">
        <w:rPr>
          <w:rFonts w:cstheme="minorHAnsi"/>
        </w:rPr>
        <w:lastRenderedPageBreak/>
        <w:t>- la predisposizione di percorsi formativi specifici, dedicati ai professionisti e agli operatori dei Comuni in materia di progettazione universale.</w:t>
      </w:r>
    </w:p>
    <w:p w:rsidR="00190919" w:rsidRPr="00AB38A5" w:rsidRDefault="00190919" w:rsidP="00190919">
      <w:pPr>
        <w:autoSpaceDE w:val="0"/>
        <w:autoSpaceDN w:val="0"/>
        <w:adjustRightInd w:val="0"/>
        <w:spacing w:after="0" w:line="20" w:lineRule="atLeast"/>
        <w:jc w:val="both"/>
        <w:rPr>
          <w:rFonts w:cstheme="minorHAnsi"/>
        </w:rPr>
      </w:pPr>
      <w:r w:rsidRPr="00AB38A5">
        <w:rPr>
          <w:rFonts w:cstheme="minorHAnsi"/>
        </w:rPr>
        <w:t>Proseguiranno anche nel 2020, in tale contesto, le azioni avviate negli anni precedenti, sia relativamente alle infrastrutture di interscambio, sia ai mezzi di TPL ferroviario, automobilistico e marittimo, e volte al miglioramento dell’accessibilità ai servizi di trasporto pubblico locale da parte dei soggetti a ridotta mobilità.</w:t>
      </w:r>
    </w:p>
    <w:p w:rsidR="00190919" w:rsidRPr="00AB38A5" w:rsidRDefault="00190919" w:rsidP="00190919">
      <w:pPr>
        <w:spacing w:after="0" w:line="20" w:lineRule="atLeast"/>
        <w:jc w:val="both"/>
        <w:rPr>
          <w:rFonts w:cstheme="minorHAnsi"/>
        </w:rPr>
      </w:pPr>
    </w:p>
    <w:p w:rsidR="00190919" w:rsidRPr="00AB38A5" w:rsidRDefault="00190919" w:rsidP="00190919">
      <w:pPr>
        <w:autoSpaceDE w:val="0"/>
        <w:autoSpaceDN w:val="0"/>
        <w:adjustRightInd w:val="0"/>
        <w:spacing w:after="0" w:line="20" w:lineRule="atLeast"/>
        <w:jc w:val="both"/>
        <w:rPr>
          <w:rFonts w:cstheme="minorHAnsi"/>
          <w:b/>
          <w:bCs/>
          <w:i/>
          <w:iCs/>
          <w:color w:val="000000"/>
        </w:rPr>
      </w:pPr>
      <w:r w:rsidRPr="00AB38A5">
        <w:rPr>
          <w:rFonts w:cstheme="minorHAnsi"/>
          <w:b/>
          <w:bCs/>
          <w:i/>
          <w:iCs/>
          <w:color w:val="000000"/>
        </w:rPr>
        <w:t>Linea strategica 1: Famiglia e benessere delle persone</w:t>
      </w:r>
    </w:p>
    <w:p w:rsidR="00190919" w:rsidRPr="00AB38A5" w:rsidRDefault="00190919" w:rsidP="00190919">
      <w:pPr>
        <w:autoSpaceDE w:val="0"/>
        <w:autoSpaceDN w:val="0"/>
        <w:adjustRightInd w:val="0"/>
        <w:spacing w:after="0" w:line="20" w:lineRule="atLeast"/>
        <w:jc w:val="both"/>
        <w:rPr>
          <w:rFonts w:cstheme="minorHAnsi"/>
          <w:b/>
          <w:bCs/>
          <w:color w:val="000000"/>
        </w:rPr>
      </w:pPr>
      <w:r w:rsidRPr="00AB38A5">
        <w:rPr>
          <w:rFonts w:cstheme="minorHAnsi"/>
          <w:b/>
          <w:bCs/>
          <w:color w:val="000000"/>
        </w:rPr>
        <w:t>Programmi</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01 Interventi per l'infanzia e i minori e per asili nido</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02 Interventi per la disabilità</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03 Interventi per gli anziani</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04 Interventi per i soggetti a rischio di esclusione sociale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05 Interventi per le famiglie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06 Interventi per il diritto alla casa</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07 Programmazione e governo della rete dei servizi sociosanitari e sociali</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08 Cooperazione e associazionismo</w:t>
      </w:r>
    </w:p>
    <w:p w:rsidR="00190919" w:rsidRPr="00AB38A5" w:rsidRDefault="00190919" w:rsidP="00190919">
      <w:pPr>
        <w:autoSpaceDE w:val="0"/>
        <w:autoSpaceDN w:val="0"/>
        <w:adjustRightInd w:val="0"/>
        <w:spacing w:after="0" w:line="20" w:lineRule="atLeast"/>
        <w:jc w:val="both"/>
        <w:rPr>
          <w:rFonts w:cstheme="minorHAnsi"/>
          <w:b/>
          <w:bCs/>
          <w:color w:val="000000"/>
        </w:rPr>
      </w:pPr>
      <w:r w:rsidRPr="00AB38A5">
        <w:rPr>
          <w:rFonts w:cstheme="minorHAnsi"/>
          <w:b/>
          <w:bCs/>
          <w:color w:val="000000"/>
        </w:rPr>
        <w:t xml:space="preserve">Strutture organizzative </w:t>
      </w:r>
      <w:proofErr w:type="gramStart"/>
      <w:r w:rsidRPr="00AB38A5">
        <w:rPr>
          <w:rFonts w:cstheme="minorHAnsi"/>
          <w:b/>
          <w:bCs/>
          <w:color w:val="000000"/>
        </w:rPr>
        <w:t>interessate :</w:t>
      </w:r>
      <w:proofErr w:type="gramEnd"/>
    </w:p>
    <w:p w:rsidR="00190919" w:rsidRPr="00AB38A5" w:rsidRDefault="00190919" w:rsidP="00190919">
      <w:pPr>
        <w:autoSpaceDE w:val="0"/>
        <w:autoSpaceDN w:val="0"/>
        <w:adjustRightInd w:val="0"/>
        <w:spacing w:after="0" w:line="20" w:lineRule="atLeast"/>
        <w:jc w:val="both"/>
        <w:rPr>
          <w:rFonts w:cstheme="minorHAnsi"/>
          <w:i/>
          <w:iCs/>
          <w:color w:val="000000"/>
        </w:rPr>
      </w:pPr>
      <w:r w:rsidRPr="00AB38A5">
        <w:rPr>
          <w:rFonts w:cstheme="minorHAnsi"/>
          <w:color w:val="000000"/>
        </w:rPr>
        <w:t xml:space="preserve">Direzione centrale salute, politiche sociali e disabilità </w:t>
      </w:r>
      <w:r w:rsidRPr="00AB38A5">
        <w:rPr>
          <w:rFonts w:cstheme="minorHAnsi"/>
          <w:i/>
          <w:iCs/>
          <w:color w:val="000000"/>
        </w:rPr>
        <w:t>(Area politiche sociali)</w:t>
      </w:r>
    </w:p>
    <w:p w:rsidR="00190919" w:rsidRPr="00AB38A5" w:rsidRDefault="00190919" w:rsidP="00190919">
      <w:pPr>
        <w:autoSpaceDE w:val="0"/>
        <w:autoSpaceDN w:val="0"/>
        <w:adjustRightInd w:val="0"/>
        <w:spacing w:after="0" w:line="20" w:lineRule="atLeast"/>
        <w:jc w:val="both"/>
        <w:rPr>
          <w:rFonts w:cstheme="minorHAnsi"/>
          <w:i/>
          <w:iCs/>
          <w:color w:val="000000"/>
        </w:rPr>
      </w:pPr>
      <w:r w:rsidRPr="00AB38A5">
        <w:rPr>
          <w:rFonts w:cstheme="minorHAnsi"/>
          <w:color w:val="000000"/>
        </w:rPr>
        <w:t xml:space="preserve">Direzione centrale autonomie locali, sicurezza e politiche dell’immigrazione </w:t>
      </w:r>
      <w:r w:rsidRPr="00AB38A5">
        <w:rPr>
          <w:rFonts w:cstheme="minorHAnsi"/>
          <w:i/>
          <w:iCs/>
          <w:color w:val="000000"/>
        </w:rPr>
        <w:t>(Servizio volontariato, lingue minoritarie e corregionali all'estero; Servizio polizia locale, sicurezza e politiche dell’immigrazione)</w:t>
      </w:r>
    </w:p>
    <w:p w:rsidR="00190919" w:rsidRPr="00AB38A5" w:rsidRDefault="00190919" w:rsidP="00190919">
      <w:pPr>
        <w:autoSpaceDE w:val="0"/>
        <w:autoSpaceDN w:val="0"/>
        <w:adjustRightInd w:val="0"/>
        <w:spacing w:after="0" w:line="20" w:lineRule="atLeast"/>
        <w:jc w:val="both"/>
        <w:rPr>
          <w:rFonts w:cstheme="minorHAnsi"/>
          <w:i/>
          <w:iCs/>
          <w:color w:val="000000"/>
        </w:rPr>
      </w:pPr>
      <w:r w:rsidRPr="00AB38A5">
        <w:rPr>
          <w:rFonts w:cstheme="minorHAnsi"/>
          <w:color w:val="000000"/>
        </w:rPr>
        <w:t xml:space="preserve">Direzione centrale lavoro, formazione, istruzione e famiglia </w:t>
      </w:r>
      <w:r w:rsidRPr="00AB38A5">
        <w:rPr>
          <w:rFonts w:cstheme="minorHAnsi"/>
          <w:i/>
          <w:iCs/>
          <w:color w:val="000000"/>
        </w:rPr>
        <w:t>(Servizio politiche del lavoro, Servizio coordinamento politiche per la famiglia)</w:t>
      </w:r>
    </w:p>
    <w:p w:rsidR="00190919" w:rsidRPr="00AB38A5" w:rsidRDefault="00190919" w:rsidP="00190919">
      <w:pPr>
        <w:autoSpaceDE w:val="0"/>
        <w:autoSpaceDN w:val="0"/>
        <w:adjustRightInd w:val="0"/>
        <w:spacing w:after="0" w:line="20" w:lineRule="atLeast"/>
        <w:jc w:val="both"/>
        <w:rPr>
          <w:rFonts w:cstheme="minorHAnsi"/>
          <w:i/>
          <w:iCs/>
          <w:color w:val="000000"/>
        </w:rPr>
      </w:pPr>
      <w:r w:rsidRPr="00AB38A5">
        <w:rPr>
          <w:rFonts w:cstheme="minorHAnsi"/>
          <w:color w:val="000000"/>
        </w:rPr>
        <w:t xml:space="preserve">Direzione centrale infrastrutture e territorio </w:t>
      </w:r>
      <w:r w:rsidRPr="00AB38A5">
        <w:rPr>
          <w:rFonts w:cstheme="minorHAnsi"/>
          <w:i/>
          <w:iCs/>
          <w:color w:val="000000"/>
        </w:rPr>
        <w:t>(Servizio edilizia)</w:t>
      </w:r>
    </w:p>
    <w:p w:rsidR="00190919" w:rsidRPr="00AB38A5" w:rsidRDefault="00190919" w:rsidP="00190919">
      <w:pPr>
        <w:autoSpaceDE w:val="0"/>
        <w:autoSpaceDN w:val="0"/>
        <w:adjustRightInd w:val="0"/>
        <w:spacing w:after="0" w:line="20" w:lineRule="atLeast"/>
        <w:jc w:val="both"/>
        <w:rPr>
          <w:rFonts w:cstheme="minorHAnsi"/>
          <w:b/>
          <w:bCs/>
          <w:color w:val="000000"/>
        </w:rPr>
      </w:pPr>
      <w:r w:rsidRPr="00AB38A5">
        <w:rPr>
          <w:rFonts w:cstheme="minorHAnsi"/>
          <w:b/>
          <w:bCs/>
          <w:color w:val="000000"/>
        </w:rPr>
        <w:t>Politiche da adottare:</w:t>
      </w:r>
    </w:p>
    <w:p w:rsidR="00190919" w:rsidRPr="00AB38A5" w:rsidRDefault="00190919" w:rsidP="00190919">
      <w:pPr>
        <w:autoSpaceDE w:val="0"/>
        <w:autoSpaceDN w:val="0"/>
        <w:adjustRightInd w:val="0"/>
        <w:spacing w:after="0" w:line="20" w:lineRule="atLeast"/>
        <w:jc w:val="both"/>
        <w:rPr>
          <w:rFonts w:cstheme="minorHAnsi"/>
          <w:b/>
          <w:bCs/>
          <w:color w:val="000000"/>
        </w:rPr>
      </w:pPr>
      <w:r w:rsidRPr="00AB38A5">
        <w:rPr>
          <w:rFonts w:cstheme="minorHAnsi"/>
          <w:b/>
          <w:bCs/>
          <w:color w:val="000000"/>
        </w:rPr>
        <w:t>Direzione centrale salute, politiche sociali e disabilità</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Sul versante dell’integrazione sociosanitaria, le logiche di innovazione si orientano verso la personalizzazione degli interventi a favore di anziani, disabili, minori, persone con problemi di salute mentale e dipendenze, al fine di rendere il cittadino parte attiva nella scelta dei propri percorsi di cura.</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La personalizzazione è un modo peculiare di progettare, finanziare, erogare e valutare i </w:t>
      </w:r>
      <w:r w:rsidRPr="00AB38A5">
        <w:rPr>
          <w:rFonts w:cstheme="minorHAnsi"/>
          <w:b/>
          <w:bCs/>
          <w:i/>
          <w:iCs/>
          <w:color w:val="000000"/>
        </w:rPr>
        <w:t xml:space="preserve">servizi di welfare </w:t>
      </w:r>
      <w:r w:rsidRPr="00AB38A5">
        <w:rPr>
          <w:rFonts w:cstheme="minorHAnsi"/>
          <w:color w:val="000000"/>
        </w:rPr>
        <w:t>appropriati</w:t>
      </w:r>
      <w:r w:rsidR="00473F93">
        <w:rPr>
          <w:rFonts w:cstheme="minorHAnsi"/>
          <w:color w:val="000000"/>
        </w:rPr>
        <w:t xml:space="preserve"> </w:t>
      </w:r>
      <w:r w:rsidRPr="00AB38A5">
        <w:rPr>
          <w:rFonts w:cstheme="minorHAnsi"/>
          <w:color w:val="000000"/>
        </w:rPr>
        <w:t>rispetto ai bisogni, alle preferenze e alle aspirazioni di ogni singola persona.</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L’obiettivo ultimo di ogni azione deve essere centrato su un unico elemento: il benessere delle persone. Un benessere che va perseguito seguendo specifiche direttrici che corrispondono ad altrettanti diritti, uno dei quali è la protezione sociale. Devono, quindi, essere adottate azioni proattive all’avvio e alla conclusione di percorsi di sostegno sociale rivolto alle fasce più fragili della popolazione e di lotta alla povertà e all’emarginazione per restituire la piena dignità a tutti i cittadini, a mezzo di politiche propedeutiche a una positiva conclusione del percorso di sostegno ed al ritorno a una gestione autonoma della propria vita. Obiettivo è intervenire con più incisività per risolvere le difficoltà di chi, come nel caso degli anziani o dei disabili, richiede maggiori e più durevoli tutele, ridefinendo i criteri di accesso ai servizi sociali e promuovendo l’equità e l’uniformità territoriale del finanziamento regionale alle strutture residenziali per anziani e favorendo la domiciliarità delle persone anziane.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L’attività programmatoria e di regolazione nelle suindicate aree inciderà trasversalmente sul processo complessivo, costituito da:</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presa in carico proattiva e integrata;</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valutazione del profilo dei bisogni, delle capacità delle persone e delle risorse comunitarie;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progettazione personalizzata e budget individuale;</w:t>
      </w:r>
    </w:p>
    <w:p w:rsidR="00190919" w:rsidRPr="00AB38A5" w:rsidRDefault="00190919" w:rsidP="00190919">
      <w:pPr>
        <w:autoSpaceDE w:val="0"/>
        <w:autoSpaceDN w:val="0"/>
        <w:adjustRightInd w:val="0"/>
        <w:spacing w:after="0" w:line="20" w:lineRule="atLeast"/>
        <w:jc w:val="both"/>
        <w:rPr>
          <w:rFonts w:cstheme="minorHAnsi"/>
          <w:b/>
          <w:bCs/>
          <w:color w:val="FFFFFF"/>
        </w:rPr>
      </w:pPr>
      <w:r w:rsidRPr="00AB38A5">
        <w:rPr>
          <w:rFonts w:cstheme="minorHAnsi"/>
          <w:b/>
          <w:bCs/>
          <w:color w:val="FFFFFF"/>
        </w:rPr>
        <w:t>Missione 12: Diritti sociali, politiche sociali e famiglia</w:t>
      </w:r>
    </w:p>
    <w:p w:rsidR="00190919" w:rsidRPr="00473F93" w:rsidRDefault="00190919" w:rsidP="00190919">
      <w:pPr>
        <w:autoSpaceDE w:val="0"/>
        <w:autoSpaceDN w:val="0"/>
        <w:adjustRightInd w:val="0"/>
        <w:spacing w:after="0" w:line="20" w:lineRule="atLeast"/>
        <w:jc w:val="both"/>
        <w:rPr>
          <w:rFonts w:cstheme="minorHAnsi"/>
          <w:b/>
          <w:color w:val="000000"/>
        </w:rPr>
      </w:pPr>
      <w:r w:rsidRPr="00473F93">
        <w:rPr>
          <w:rFonts w:cstheme="minorHAnsi"/>
          <w:b/>
          <w:color w:val="000000"/>
        </w:rPr>
        <w:t>Missione 12: Diritti sociali, politiche sociali e famiglia</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sistema dell’offerta (regolazione e finanziamento), governo e valorizzazione delle reti territoriali;</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sperimentazioni e innovazione sociale;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gestione del flusso dati di monitoraggio e valutazione di impatto.</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Sul versante dei </w:t>
      </w:r>
      <w:r w:rsidRPr="00AB38A5">
        <w:rPr>
          <w:rFonts w:cstheme="minorHAnsi"/>
          <w:b/>
          <w:bCs/>
          <w:i/>
          <w:iCs/>
          <w:color w:val="000000"/>
        </w:rPr>
        <w:t xml:space="preserve">minori </w:t>
      </w:r>
      <w:r w:rsidRPr="00AB38A5">
        <w:rPr>
          <w:rFonts w:cstheme="minorHAnsi"/>
          <w:color w:val="000000"/>
        </w:rPr>
        <w:t xml:space="preserve">con problematiche sociali e sociosanitarie, nel 2020 si proseguirà nella definizione di percorsi di presa in carico integrata che garantiscano una risposta appropriata ai bisogni diversificati, in base </w:t>
      </w:r>
      <w:r w:rsidRPr="00AB38A5">
        <w:rPr>
          <w:rFonts w:cstheme="minorHAnsi"/>
          <w:color w:val="000000"/>
        </w:rPr>
        <w:lastRenderedPageBreak/>
        <w:t>alla complessità e gravità clinica, all’intensità assistenziale richiesta e alle diverse fasi evolutive dei minori stessi, anche attraverso l’accoglienza in strutture residenziali e semiresidenziali.</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Si intende inoltre proseguire nel percorso di revisione della regolamentazione relativa alle procedure per il rilascio dell’autorizzazione e dell’accreditamento e per la riclassificazione del sistema dell’offerta residenziale e semiresidenziale per l’accoglienza dei minori. </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A seguito dell’approvazione del nuovo regolamento per il rilascio delle procedure di autorizzazione e accreditamento delle strutture residenziali e semiresidenziali, verrà effettuata l’analisi del fabbisogno di residenzialità dei minori fuori famiglia e l’analisi delle rette delle strutture.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Verrà avviato lo studio e l’analisi degli strumenti e del processo di valutazione dei minori accolti in struttura residenziali e semiresidenziali e impostato il sistema di valutazione della rete di presa in carico.</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In particolare in quest’area l’obiettivo è la riduzione dei minori accolti in comunità fuori regione, la diminuzione dei tempi di permanenza dei minori in comunità e il favorire il loro rientro, laddove possibile, nella famiglia di origine.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Nell’area della </w:t>
      </w:r>
      <w:r w:rsidRPr="00AB38A5">
        <w:rPr>
          <w:rFonts w:cstheme="minorHAnsi"/>
          <w:b/>
          <w:bCs/>
          <w:i/>
          <w:iCs/>
          <w:color w:val="000000"/>
        </w:rPr>
        <w:t xml:space="preserve">disabilità </w:t>
      </w:r>
      <w:r w:rsidRPr="00AB38A5">
        <w:rPr>
          <w:rFonts w:cstheme="minorHAnsi"/>
          <w:color w:val="000000"/>
        </w:rPr>
        <w:t>si darà seguito alla riforma della normativa di riferimento. È inoltre in corso, in continuità con quanto già realizzato nella precedente annualità, una revisione complessiva del sistema di assistenza, avviata con la ricognizione dell’unità di offerta delle strutture residenziali e semi residenziali, basata su parametri quali lo stato delle strutture e degli ambienti, la tipologia delle persone ospitate, i livelli di assistenza esistenti e i processi di cura e presa in carico. Il nuovo strumento di valutazione della persona con disabilità, fondato non solo sulla misurazione del bisogno assistenziale, ma anche sulla previsione delle possibili condizioni atte a perseguire progetti di sviluppo, crescita e autodeterminazione è in fase di implementazione e permetterà una nuova analisi delle opportunità per le persone con disabilità, anche al fine di garantire l’appropriatezza degli interventi proposti.</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Verrà sviluppata l’attività di promozione e sostegno di iniziative innovative e sperimentali, al fine di facilitare i processi di welfare comunitario e modellizzare nuovi strumenti e modalità organizzative. In particolare verrà data continuità alle iniziative dedicate all’abitare inclusivo nell’area della disabilità sostenute dai fondi ministeriali “Dopo di noi” </w:t>
      </w:r>
      <w:proofErr w:type="gramStart"/>
      <w:r w:rsidRPr="00AB38A5">
        <w:rPr>
          <w:rFonts w:cstheme="minorHAnsi"/>
          <w:color w:val="000000"/>
        </w:rPr>
        <w:t>e ”Vita</w:t>
      </w:r>
      <w:proofErr w:type="gramEnd"/>
      <w:r w:rsidRPr="00AB38A5">
        <w:rPr>
          <w:rFonts w:cstheme="minorHAnsi"/>
          <w:color w:val="000000"/>
        </w:rPr>
        <w:t xml:space="preserve"> indipendente”, che offrono un contesto su cui realizzare progettualità personalizzate e flessibili, capaci di fornire risposte innovative, pertinenti e appropriate ai bisogni delle persone con disabilità.</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Si ritiene, inoltre, di intervenire su alcune misure regionali dedicate alle persone con gravissima disabilità, in particolare sul Fondo gravissimi e sul Fondo SLA, procedendo a una loro unificazione e modifica, alla luce degli orientamenti ministeriali sul tema.</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Sul versante dell’integrazione sociosanitaria il settore della </w:t>
      </w:r>
      <w:r w:rsidRPr="00AB38A5">
        <w:rPr>
          <w:rFonts w:cstheme="minorHAnsi"/>
          <w:b/>
          <w:bCs/>
          <w:i/>
          <w:iCs/>
          <w:color w:val="000000"/>
        </w:rPr>
        <w:t>non autosufficienza</w:t>
      </w:r>
      <w:r w:rsidRPr="00AB38A5">
        <w:rPr>
          <w:rFonts w:cstheme="minorHAnsi"/>
          <w:color w:val="000000"/>
        </w:rPr>
        <w:t xml:space="preserve">, nel quale sono ricomprese le aree relative alle </w:t>
      </w:r>
      <w:r w:rsidRPr="00AB38A5">
        <w:rPr>
          <w:rFonts w:cstheme="minorHAnsi"/>
          <w:b/>
          <w:bCs/>
          <w:i/>
          <w:iCs/>
          <w:color w:val="000000"/>
        </w:rPr>
        <w:t xml:space="preserve">persone anziane </w:t>
      </w:r>
      <w:r w:rsidRPr="00AB38A5">
        <w:rPr>
          <w:rFonts w:cstheme="minorHAnsi"/>
          <w:color w:val="000000"/>
        </w:rPr>
        <w:t>e alle persone con disabilità, viene affrontato dall’Amministrazione regionale nell’ottica di un’effettiva innovazione dei servizi attraverso misure che tengono conto del bisogno cui rispondere e delle condizioni degli assistiti.</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Il sostegno alla permanenza a domicilio comporta lo sviluppo di diverse azioni finalizzate al mantenimento delle persone anziane e di quelle con disabilità nel proprio contesto di appartenenza. In particolare, dopo l’approvazione della delibera che ha portato a compimento la revisione del sistema di valutazione multidimensionale Val.Graf.FVG, ora operativo su tutto il territorio regionale, sono in fase di predisposizione la delibera di aggiornamento delle linee guida relative alle sperimentazioni di “abitare inclusivo” e, in parallelo, quella sull’introduzione e l’utilizzo del budget personale sociosanitario di cui all’articolo 24 della L.R. 17/2014.</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Per quanto riguarda il “Fondo Autonomia Possibile” è in corso un lavoro di ricognizione e approfondimento con i portatori di interesse per individuare le eventuali criticità e apportare i necessari correttivi sia al regolamento di attuazione che a quello di riparto, in modo da giungere nel 2020 a una revisione complessiva dello strumento con l’obiettivo di renderlo sempre più funzionale ed efficiente.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Sempre nell’ambito delle politiche di sostegno agli anziani, verranno ulteriormente sviluppati progetti di promozione dell’invecchiamento attivo attraverso l’apposito tavolo, dove insieme ad altre direzioni della Regione, vengono delineate le diverse azioni volte a favorire il coinvolgimento attivo dell’anziano nella società e il suo benessere sociale.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A questo scopo è stato adottato il programma triennale sull’invecchiamento attivo 2019-2021, che ha fra i suoi temi più significativi la delineazione del profilo dell’anziano in Friuli Venezia Giulia. Sarà inoltre consolidato il portale informativo www.invecchiamentoattivo.fvg.it.</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lastRenderedPageBreak/>
        <w:t>Nel corso del 2020 continuerà l’attività attinente lo screening sulla fragilità rivolto alla popolazione anziana denominato “Prisma 7”.</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In particolare si intende analizzare i dati raccolti nel corso del 2019 e i casi di fragilità </w:t>
      </w:r>
    </w:p>
    <w:p w:rsidR="00190919" w:rsidRPr="00AB38A5" w:rsidRDefault="00190919" w:rsidP="00190919">
      <w:pPr>
        <w:autoSpaceDE w:val="0"/>
        <w:autoSpaceDN w:val="0"/>
        <w:adjustRightInd w:val="0"/>
        <w:spacing w:after="0" w:line="20" w:lineRule="atLeast"/>
        <w:jc w:val="both"/>
        <w:rPr>
          <w:rFonts w:cstheme="minorHAnsi"/>
          <w:color w:val="000000"/>
        </w:rPr>
      </w:pPr>
      <w:proofErr w:type="gramStart"/>
      <w:r w:rsidRPr="00AB38A5">
        <w:rPr>
          <w:rFonts w:cstheme="minorHAnsi"/>
          <w:color w:val="000000"/>
        </w:rPr>
        <w:t>riscontrati</w:t>
      </w:r>
      <w:proofErr w:type="gramEnd"/>
      <w:r w:rsidRPr="00AB38A5">
        <w:rPr>
          <w:rFonts w:cstheme="minorHAnsi"/>
          <w:color w:val="000000"/>
        </w:rPr>
        <w:t>, prima sconosciuti al sistema ed emersi dall’attività di screening svolta. Lo scopo è sostanzialmente quello di prevenire il manifestarsi di problemi di salute e ritardare in questo modo il decadimento psico-fisico e la perdita di autonomia delle persone anziane. Le conoscenze acquisite permetteranno inoltre di indirizzare le strategie e le politiche verso i reali bisogni dei cittadini.</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Il percorso di pianificazione regionale in materia di </w:t>
      </w:r>
      <w:r w:rsidRPr="00AB38A5">
        <w:rPr>
          <w:rFonts w:cstheme="minorHAnsi"/>
          <w:b/>
          <w:bCs/>
          <w:i/>
          <w:iCs/>
          <w:color w:val="000000"/>
        </w:rPr>
        <w:t xml:space="preserve">sistema integrato di interventi e servizi sociali </w:t>
      </w:r>
      <w:r w:rsidRPr="00AB38A5">
        <w:rPr>
          <w:rFonts w:cstheme="minorHAnsi"/>
          <w:color w:val="000000"/>
        </w:rPr>
        <w:t xml:space="preserve">proseguirà in continuità con gli anni precedenti e con l’intento di rafforzare ulteriormente l’ottica di progressivo perseguimento di livelli minimi delle prestazioni da garantire su tutto il territorio regionale. </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Assicurare uniformità nei livelli minimi di offerta e omogeneità di risposta ai bisogni della popolazione attraverso l’azione dei Servizi sociali dei Comuni (SSC) rappresentano obiettivi prioritari per l’efficacia delle politiche sociali messe in campo dalla Regione. </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Per il raggiungimento di questi obiettivi si intende operare attraverso i Piani di zona, che si dimostrano ormai essere strumento consolidato per la programmazione locale, come peraltro già avvenuto per il processo avviato per l’area povertà ed esclusione sociale con l’Atto di programmazione per la lotta alla povertà 2018-2020. Si tratta di proseguire nella determinazione di standard minimi di offerta all’utenza, di funzionamento dei servizi (accesso, presa in carico, valutazione) e degli interventi nelle diverse aree e di individuare una congrua scansione temporale che consenta il loro graduale conseguimento. </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Sarà necessario individuare gli indicatori di risultato con cui monitorare il loro grado di raggiungimento, per rilevare eventuali criticità e conseguenti azioni di correzione o miglioramento. </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Si procederà in particolare al monitoraggio degli indicatori già stabiliti dalla programmazione regionale e rilevati nei Piani attuativi territoriali dell’Atto di programmazione per la lotta alla povertà 2018-2020 presentati dai SSC.</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Per sostenere la funzione di programmazione sociale come sopra declinata si procederà nell’implementazione dell’Osservatorio di protezione sociale con particolare riferimento al sistema nel suo complesso (Relazione sociale annuale), all’area del contrasto alla povertà e all’esclusione sociale, anche mettendo a punto sistemi di rilevazione di dati e di indicatori per facilitare l’attività di monitoraggio e valutazione.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Parallelamente continuerà l’attività di supporto ai SSC per il rafforzamento del sistema e l’accompagnamento al processo di ampliamento e potenziamento delle funzioni sociali esercitate a livello associato con particolare riguardo agli aspetti relativi all’assetto istituzionale e organizzativo, alle problematiche del trasferimento del personale e delle funzioni e alle forme gestionali, anche attraverso l’adeguamento normativo. Nel corso 2020 le azioni messe in atto per l’accompagnamento agli ambiti territoriali di gestione associata assumeranno particolare rilievo in quanto dal 1 gennaio 2020, a seguito delle modifiche alla L.R. 6/2006 introdotte con L.R. 31/2018 dovranno essere operative le nuove gestioni associate dei SSC, per le quali è in atto la propedeutica riorganizzazione territoriale.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Con riferimento all’area del </w:t>
      </w:r>
      <w:r w:rsidRPr="00AB38A5">
        <w:rPr>
          <w:rFonts w:cstheme="minorHAnsi"/>
          <w:b/>
          <w:bCs/>
          <w:i/>
          <w:iCs/>
          <w:color w:val="000000"/>
        </w:rPr>
        <w:t xml:space="preserve">contrasto alla povertà </w:t>
      </w:r>
      <w:r w:rsidRPr="00AB38A5">
        <w:rPr>
          <w:rFonts w:cstheme="minorHAnsi"/>
          <w:color w:val="000000"/>
        </w:rPr>
        <w:t>e dell’esclusione sociale si proseguirà nelle azioni preordinate alla piena applicazione delle Linee guida per la predisposizione e attuazione dei progetti di presa in carico dei singoli e delle famiglie in situazioni di povertà e a rischio di esclusione sociale di cui all’Accordo Stato-Regioni dell’11 febbraio 2016 e nell’accompagnamento dei SSC per l’applicazione delle stesse e dei relativi strumenti di progettazione, valutazione e monitoraggio.</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In particolare a seguito della conclusione della sperimentazione della Misura attiva di sostegno al reddito e all’introduzione del Reddito di cittadinanza nazionale si tratta di fornire al sistema gli strumenti idonei a sostenere le persone e i nuclei più fragili nell’ambito dei patti di inclusione, implementando in particolare quelle aree di intervento che dai risultati emersi dal periodo di sperimentazione della MIA risultano particolarmente critiche. </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Si tratta di azioni di contrasto al disagio abitativo e di promuovere progetti territoriali di sviluppo di comunità capaci di attivare adeguate risposte e rafforzare la dimensione comunitaria con il coinvolgimento della società e dei cittadini in processi partecipati.</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Inoltre, particolare attenzione verrà riservata al contrasto alla povertà educativa nell’ambito della presa in carico dei nuclei con minori, beneficiari di interventi economici previsti dalle misure nazionali (Reddito di </w:t>
      </w:r>
      <w:r w:rsidRPr="00AB38A5">
        <w:rPr>
          <w:rFonts w:cstheme="minorHAnsi"/>
          <w:color w:val="000000"/>
        </w:rPr>
        <w:lastRenderedPageBreak/>
        <w:t>Cittadinanza) e dai Piani attuativi territoriali dell’Atto di programmazione regionale per la lotta alla povertà 2018-2020.</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Per sostenere la </w:t>
      </w:r>
      <w:r w:rsidRPr="00AB38A5">
        <w:rPr>
          <w:rFonts w:cstheme="minorHAnsi"/>
          <w:b/>
          <w:bCs/>
          <w:i/>
          <w:iCs/>
          <w:color w:val="000000"/>
        </w:rPr>
        <w:t>maternità e l’infanzia</w:t>
      </w:r>
      <w:r w:rsidRPr="00AB38A5">
        <w:rPr>
          <w:rFonts w:cstheme="minorHAnsi"/>
          <w:color w:val="000000"/>
        </w:rPr>
        <w:t xml:space="preserve">, continueranno le azioni dirette a promuovere e accompagnare i nuclei familiari con figli a carico, con particolare riguardo alle famiglie vulnerabili. </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In tal senso, uno fra gli obiettivi prioritari è il potenziamento degli interventi per il miglioramento della relazione del minore con la sua famiglia in un’ottica preventiva e riparativa. </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Verranno altresì riqualificati percorsi di presa in carico e interventi socio educativi mirati e specifici per consentire al minore la permanenza all’interno del proprio nucleo familiare, e ai genitori il recupero e/o ilrafforzamento delle competenze necessarie all’esercizio delle proprie funzioni. </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A tal fine quindi, proseguirà la sperimentazione del programma nazionale P.I.P.P.I. realizzato in diversi ambiti della regione e verrà promossa la diffusione delle Linee d’indirizzo nazionali per l’intervento con bambini e famiglie in situazione di vulnerabilità.</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Per le situazioni in cui è necessario ricorrere all’allontanamento del minore dalla propria famiglia d’origine, verrà potenziata la diffusione dell’affido familiare e forme leggere di affido, anche attraverso l’implementazione attiva delle Linee guida regionali sull’affido familiare.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Per quanto attiene alle adozioni nazionali e internazionali si proseguirà con le attività del tavolo di coordinamento regionale con l’obiettivo di accompagnare l’applicazione delle linee guida in materia adottiva e di approfondire le relative tematiche.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La Regione aderisce altresì al progetto sperimentale nazionale (Care Leavers) che prevede la definizione di progettualità personalizzate a favore di coloro che, al compimento della maggiore età, a seguito di esperienze di accoglienza fuori dal proprio contesto familiare di origine, dimostrano ancora di possedere risorse residuali che li rendono in grado di intraprendere percorsi individuali orientati all’autonomia.</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La Regione proseguirà nel sostegno degli interventi di </w:t>
      </w:r>
      <w:r w:rsidRPr="00AB38A5">
        <w:rPr>
          <w:rFonts w:cstheme="minorHAnsi"/>
          <w:b/>
          <w:bCs/>
          <w:i/>
          <w:iCs/>
          <w:color w:val="000000"/>
        </w:rPr>
        <w:t>contrasto alla violenza sulle donne e i loro figli minori</w:t>
      </w:r>
      <w:r w:rsidRPr="00AB38A5">
        <w:rPr>
          <w:rFonts w:cstheme="minorHAnsi"/>
          <w:color w:val="000000"/>
        </w:rPr>
        <w:t>.</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 In particolare si procederà al recepimento dell’accordo Stato Regioni anche mediante le necessarie modifiche normative.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Nel contempo si provvederà a sostenere lo sviluppo e il rafforzamento del sistema di rete preordinato a fornire adeguate risposte di contrasto alla violenza sulle donne in tutto il territorio regionale. Infine proseguiranno anche le azioni di contrasto alla pedofilia.</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Nell’ambito degli interventi a sostegno e tutela dei soggetti deboli, la revisione del Regolamento di attuazione della norma regionale che prevede interventi per la promozione e la diffusione dell’amministratore di sostegno consentirà di rendere operative le ultime modifiche legislative introdotte aventi la finalità di facilitare il reperimento di amministratori di sostegno volontari e di amministratori di sostegno a supporto di beneficiari incapienti.</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Per migliorare la coesione sociale e il benessere delle comunità locali, prosegue il sostegno alla </w:t>
      </w:r>
      <w:r w:rsidRPr="00AB38A5">
        <w:rPr>
          <w:rFonts w:cstheme="minorHAnsi"/>
          <w:b/>
          <w:bCs/>
          <w:i/>
          <w:iCs/>
          <w:color w:val="000000"/>
        </w:rPr>
        <w:t xml:space="preserve">cooperazione sociale </w:t>
      </w:r>
      <w:r w:rsidRPr="00AB38A5">
        <w:rPr>
          <w:rFonts w:cstheme="minorHAnsi"/>
          <w:color w:val="000000"/>
        </w:rPr>
        <w:t>con interventi di incentivazione sia nella forma di contributi ad attività, investimenti o a iniziative progettuali realizzate da imprese iscritte all’Albo delle cooperative sociali, sia mediante il finanziamento delle convenzioni stipulate dagli enti pubblici con tali cooperative per la realizzazione di progetti relativi a prestazioni di servizi che prevedono l’inserimento lavorativo di persone svantaggiate, appartenenti alle categorie previste dalla normativa di settore.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La Regione persegue in tal modo l’obiettivo di promozione e incentivazione del settore della cooperazione sociale, mediante azioni di potenziamento e adeguamento, rispetto alle esigenze espresse dal tessuto sociale regionale, dei propri interventi di politica sociale, dando sostegno ai servizi rivolti in particolare ai soggetti con disabilità.</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Nel corso del 2020 continuano le attività del Comitato regionale tecnico consultivo per la cooperazione sociale finalizzate, altresì, ad analizzare le criticità rilevate nel settore e a proporre misure di miglioramento. </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Nel corso dell’anno sono previsti interventi di modifica della normativa in materia di cooperazione sociale (L.R. 20/2006) e la revisione delle relative disposizioni attuative.</w:t>
      </w:r>
    </w:p>
    <w:p w:rsidR="00190919" w:rsidRPr="00AB38A5" w:rsidRDefault="00190919" w:rsidP="00190919">
      <w:pPr>
        <w:autoSpaceDE w:val="0"/>
        <w:autoSpaceDN w:val="0"/>
        <w:adjustRightInd w:val="0"/>
        <w:spacing w:after="0" w:line="20" w:lineRule="atLeast"/>
        <w:jc w:val="both"/>
        <w:rPr>
          <w:rFonts w:cstheme="minorHAnsi"/>
          <w:b/>
          <w:bCs/>
          <w:color w:val="000000"/>
        </w:rPr>
      </w:pPr>
      <w:r w:rsidRPr="00AB38A5">
        <w:rPr>
          <w:rFonts w:cstheme="minorHAnsi"/>
          <w:b/>
          <w:bCs/>
          <w:color w:val="000000"/>
        </w:rPr>
        <w:t>Direzione centrale autonomie locali, sicurezza e politiche dell’immigrazione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Gli indirizzi e le linee strategiche relative agli interventi in materia di </w:t>
      </w:r>
      <w:r w:rsidRPr="00AB38A5">
        <w:rPr>
          <w:rFonts w:cstheme="minorHAnsi"/>
          <w:b/>
          <w:bCs/>
          <w:i/>
          <w:iCs/>
          <w:color w:val="000000"/>
        </w:rPr>
        <w:t xml:space="preserve">immigrazione </w:t>
      </w:r>
      <w:r w:rsidRPr="00AB38A5">
        <w:rPr>
          <w:rFonts w:cstheme="minorHAnsi"/>
          <w:color w:val="000000"/>
        </w:rPr>
        <w:t xml:space="preserve">continueranno a svilupparsi sulla base di un approccio di tipo preventivo, finalizzato a garantire legalità e sicurezza, a contrastare la clandestinità, e </w:t>
      </w:r>
      <w:proofErr w:type="gramStart"/>
      <w:r w:rsidRPr="00AB38A5">
        <w:rPr>
          <w:rFonts w:cstheme="minorHAnsi"/>
          <w:color w:val="000000"/>
        </w:rPr>
        <w:t>in  generale</w:t>
      </w:r>
      <w:proofErr w:type="gramEnd"/>
      <w:r w:rsidRPr="00AB38A5">
        <w:rPr>
          <w:rFonts w:cstheme="minorHAnsi"/>
          <w:color w:val="000000"/>
        </w:rPr>
        <w:t xml:space="preserve"> a garantire la convivenza civile, agendo su quelle situazioni sociali che possono risultare foriere di un senso di insicurezza. In tale ottica è prevista una revisione della L.R. 31/2015 “Norme per l’integrazione sociale delle persone straniere immigrate”.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lastRenderedPageBreak/>
        <w:t xml:space="preserve">Ai principali strumenti di programmazione previsti dalla citata L.R. 31/2015 (il Piano triennale di cui all’art. 3 e il Programma annuale di cui all’art. 7), che resteranno utili per garantire una governance integrata del fenomeno migratorio e per definire le politiche di settore in modo organico, si affiancheranno altre iniziative per il potenziamento delle attività di Rimpatrio Volontario Assistito. </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Ai sensi del Programma Immigrazione 2019, approvato con DGR n. 838 del 24.05.2019, saranno sviluppati progetti contro la radicalizzazione e contro la tratta degli esseri umani, nonché a sostegno dell’integrazione scolastica. </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Saranno inoltre attivate esperienze di coordinamento con i diversi soggetti istituzionali coinvolti nella gestione dell’immigrazione, con l’obiettivo di governare efficacemente l’impatto dei flussi migratori sul territorio del Friuli Venezia Giulia.</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Il tema dei “Minori stranieri non accompagnati” (MSNA) continuerà ad essere particolarmente importante. </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Nell’ultimo decennio, infatti, questa componente dei flussi migratori ha assunto sempre maggior rilievo, costituendo un segmento importante della popolazione migrante. </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Per i Comuni, in qualità di soggetti deputati all’accoglienza del minore e all’attivazione della rete dei servizi sociali, il tema dei giovani stranieri non accompagnati è centrale per il forte impatto sul sistema di welfare locale, sia dal punto di vista economico che sociale e operativo.</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La Regione continuerà ad intervenire a supporto dei Comuni, finanziando le spese di accoglienza dei Minori stranieri non già rimborsate dal Ministero dell’Interno, esigendo tuttavia la garanzia che le strutture che ospitano i ragazzi rispettino alcune specifiche clausole di garanzia, e orientandosi verso una governance regionale del sistema di prima e seconda accoglienza. Proseguirà inoltre l’impegno alla qualificazione del sistema di accoglienza dei MSNA tramite la creazione di un tavolo interistituzionale, la proposta di corsi di formazione per gli educatori delle comunità e per gli stessi minori, il sostegno all’apertura di nuovi progetti SIPROIMI (ex SPRAR) per MSNA, lo studio dei vari aspetti della migrazione giovanile, e la progettazione di forme di cooperazione internazionale con alcuni dei paesi di provenienza.</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Nel quadro di riferimento costituito dalla L.R. 7/2002, la Regione adotta azioni per la valorizzazione e il coinvolgimento delle Comunità e delle Associazioni rappresentative di </w:t>
      </w:r>
      <w:r w:rsidRPr="00AB38A5">
        <w:rPr>
          <w:rFonts w:cstheme="minorHAnsi"/>
          <w:b/>
          <w:bCs/>
          <w:i/>
          <w:iCs/>
          <w:color w:val="000000"/>
        </w:rPr>
        <w:t>corregionali all’estero</w:t>
      </w:r>
      <w:r w:rsidRPr="00AB38A5">
        <w:rPr>
          <w:rFonts w:cstheme="minorHAnsi"/>
          <w:color w:val="000000"/>
        </w:rPr>
        <w:t>, anche promuovendo attività riservate ai giovani figli di corregionali finalizzate a mantenere i legami delle nuove generazioni con la regione d’origine e azioni di sostegno al rimpatrio e al reinserimento dei corregionali che rientrano in regione dopo una permanenza almeno quinquennale all’estero. Verrà altresì garantita la continuità dei finanziamenti destinati a incentivare la realizzazione di specifici progetti a valere sui Regolamenti vigenti.</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La disciplina attuativa della L.R. 23/2012, nel declinare i principi costituzionali di solidarietà sociale e di sussidiarietà in materia di </w:t>
      </w:r>
      <w:r w:rsidRPr="00AB38A5">
        <w:rPr>
          <w:rFonts w:cstheme="minorHAnsi"/>
          <w:b/>
          <w:bCs/>
          <w:i/>
          <w:iCs/>
          <w:color w:val="000000"/>
        </w:rPr>
        <w:t xml:space="preserve">volontariato </w:t>
      </w:r>
      <w:r w:rsidRPr="00AB38A5">
        <w:rPr>
          <w:rFonts w:cstheme="minorHAnsi"/>
          <w:color w:val="000000"/>
        </w:rPr>
        <w:t>e di promozione sociale, consentirà di garantire le linee contributive volte a sostenere le iniziative progettuali delle associazioni, l’acquisto di attrezzature e l’assicurazione dei volontari.</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Per il settore della promozione sociale si proseguirà nel finanziamento dei progetti di utilità sociale e delle attività di formazione e aggiornamento.</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Nel 2020, a seguito dell’emanazione dei decreti attuativi della L. 106/2016, verrà adeguata la normativa regionale alla Riforma del Terzo Settore prevedendo specifici canali contributivi per il finanziamento di iniziative e progetti di rilevanza regionale promossi da organizzazioni di volontariato e associazioni di promozione sociale.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Proseguiranno le sinergie con il Forum del Terzo Settore, il Comitato regionale del volontariato, nonché con il Centro Servizi Volontariato del FVG (CSV FVG) a sostegno del comparto regionale del volontariato. Sarà inoltre garantita la continuità delle vigenti convenzioni.</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In materia di servizio civile l’azione regionale, attuata ai sensi della L.R. 11/2007 secondo gli indirizzi della programmazione 2018-2020, proseguirà con l’emanazione di bandi per la presentazione dei progetti e il reclutamento dei volontari, tanto per il servizio civile universale, anche in collaborazione con la Protezione Civile, nonché tramite finanziamenti verso specifici progetti di informazione, promozione e formazione degli operatori.</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Si darà attuazione alla L.R. 2/2019, finalizzata al sostegno e alla valorizzazione dei distaccamenti volontari del Corpo Nazionale dei Vigili del Fuoco, nel riconoscimento dell'importante azione di tutela dei cittadini e del territorio e nella gestione di situazioni emergenziali.</w:t>
      </w:r>
    </w:p>
    <w:p w:rsidR="00190919" w:rsidRPr="00AB38A5" w:rsidRDefault="00190919" w:rsidP="00190919">
      <w:pPr>
        <w:autoSpaceDE w:val="0"/>
        <w:autoSpaceDN w:val="0"/>
        <w:adjustRightInd w:val="0"/>
        <w:spacing w:after="0" w:line="20" w:lineRule="atLeast"/>
        <w:jc w:val="both"/>
        <w:rPr>
          <w:rFonts w:cstheme="minorHAnsi"/>
          <w:b/>
          <w:bCs/>
          <w:color w:val="000000"/>
        </w:rPr>
      </w:pPr>
    </w:p>
    <w:p w:rsidR="00190919" w:rsidRPr="00AB38A5" w:rsidRDefault="00190919" w:rsidP="00190919">
      <w:pPr>
        <w:autoSpaceDE w:val="0"/>
        <w:autoSpaceDN w:val="0"/>
        <w:adjustRightInd w:val="0"/>
        <w:spacing w:after="0" w:line="20" w:lineRule="atLeast"/>
        <w:jc w:val="both"/>
        <w:rPr>
          <w:rFonts w:cstheme="minorHAnsi"/>
          <w:b/>
          <w:bCs/>
          <w:color w:val="000000"/>
        </w:rPr>
      </w:pPr>
      <w:r w:rsidRPr="00AB38A5">
        <w:rPr>
          <w:rFonts w:cstheme="minorHAnsi"/>
          <w:b/>
          <w:bCs/>
          <w:color w:val="000000"/>
        </w:rPr>
        <w:lastRenderedPageBreak/>
        <w:t>Direzione centrale lavoro, formazione, istruzione e famiglia</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La Regione FVG riconosce, tra i fondamenti antropologici della nostra società, l’importanza e la pervasività dei legami familiari nella vita delle persone. </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A tale scopo è intenzione della Regione di coordinare le politiche e gli interventi che</w:t>
      </w:r>
    </w:p>
    <w:p w:rsidR="00190919" w:rsidRPr="00AB38A5" w:rsidRDefault="00190919" w:rsidP="00190919">
      <w:pPr>
        <w:autoSpaceDE w:val="0"/>
        <w:autoSpaceDN w:val="0"/>
        <w:adjustRightInd w:val="0"/>
        <w:spacing w:after="0" w:line="20" w:lineRule="atLeast"/>
        <w:jc w:val="both"/>
        <w:rPr>
          <w:rFonts w:cstheme="minorHAnsi"/>
          <w:color w:val="000000"/>
        </w:rPr>
      </w:pPr>
      <w:proofErr w:type="gramStart"/>
      <w:r w:rsidRPr="00AB38A5">
        <w:rPr>
          <w:rFonts w:cstheme="minorHAnsi"/>
          <w:color w:val="000000"/>
        </w:rPr>
        <w:t>hanno</w:t>
      </w:r>
      <w:proofErr w:type="gramEnd"/>
      <w:r w:rsidRPr="00AB38A5">
        <w:rPr>
          <w:rFonts w:cstheme="minorHAnsi"/>
          <w:color w:val="000000"/>
        </w:rPr>
        <w:t xml:space="preserve"> diretta rilevanza per le </w:t>
      </w:r>
      <w:r w:rsidRPr="00AB38A5">
        <w:rPr>
          <w:rFonts w:cstheme="minorHAnsi"/>
          <w:b/>
          <w:bCs/>
          <w:i/>
          <w:iCs/>
          <w:color w:val="000000"/>
        </w:rPr>
        <w:t xml:space="preserve">famiglie </w:t>
      </w:r>
      <w:r w:rsidRPr="00AB38A5">
        <w:rPr>
          <w:rFonts w:cstheme="minorHAnsi"/>
          <w:color w:val="000000"/>
        </w:rPr>
        <w:t xml:space="preserve">(quella coniugale e genitoriale in primis, ma anche i legami solidaristici e intergenerazionali con la famiglia di origine), nonché di promuovere pari dignità tra donne e uomini e un’equa condivisione di poteri e responsabilità sia all’interno dei nuclei familiari e nel lavoro di cura (bambini e anziani) che nella vita economica e sociale. </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Tappa fondamentale di questo percorso è il rafforzamento della partecipazione</w:t>
      </w:r>
    </w:p>
    <w:p w:rsidR="00190919" w:rsidRPr="00AB38A5" w:rsidRDefault="00190919" w:rsidP="00190919">
      <w:pPr>
        <w:autoSpaceDE w:val="0"/>
        <w:autoSpaceDN w:val="0"/>
        <w:adjustRightInd w:val="0"/>
        <w:spacing w:after="0" w:line="20" w:lineRule="atLeast"/>
        <w:jc w:val="both"/>
        <w:rPr>
          <w:rFonts w:cstheme="minorHAnsi"/>
          <w:color w:val="000000"/>
        </w:rPr>
      </w:pPr>
      <w:proofErr w:type="gramStart"/>
      <w:r w:rsidRPr="00AB38A5">
        <w:rPr>
          <w:rFonts w:cstheme="minorHAnsi"/>
          <w:color w:val="000000"/>
        </w:rPr>
        <w:t>paritaria</w:t>
      </w:r>
      <w:proofErr w:type="gramEnd"/>
      <w:r w:rsidRPr="00AB38A5">
        <w:rPr>
          <w:rFonts w:cstheme="minorHAnsi"/>
          <w:color w:val="000000"/>
        </w:rPr>
        <w:t xml:space="preserve"> delle donne al mondo del lavoro con particolare riguardo alle opportunità di crescita professionale e ai percorsi di carriera. Inoltre, per quanto riguarda i giovani, particolare attenzione verrà data ai percorsi di uscita dalla famiglia di origine e la transizione dei giovani ragazzi e ragazze verso la vita adulta e il loro inserimento a pieno titolo nella cittadinanza responsabile e attiva.</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In tale cornice e in stretta condivisione con gli organismi previsti per la concertazione delle politiche regionali in materia e con la Commissione regionale per le pari opportunità tra donna e uomo, gli interventi previsti nell’ambito delle politiche a </w:t>
      </w:r>
      <w:r w:rsidRPr="00AB38A5">
        <w:rPr>
          <w:rFonts w:cstheme="minorHAnsi"/>
          <w:b/>
          <w:bCs/>
          <w:i/>
          <w:iCs/>
          <w:color w:val="000000"/>
        </w:rPr>
        <w:t xml:space="preserve">sostegno della genitorialità </w:t>
      </w:r>
      <w:r w:rsidRPr="00AB38A5">
        <w:rPr>
          <w:rFonts w:cstheme="minorHAnsi"/>
          <w:color w:val="000000"/>
        </w:rPr>
        <w:t xml:space="preserve">e della conciliazione tra vita lavorativa e impegni di cura dei propri cari sono volti ad accrescere la centralità della famiglia quale cardine della società, potenziando la gamma dei servizi per la prima infanzia e facilitando l’accesso a tali servizi, con particolare riguardo – al fine di incontrare le esigenze di quei nuclei familiari che richiedono maggior flessibilità di utilizzo e tenuto conto delle esigenze e delle peculiarità dei territori - a quelli a carattere innovativo o sperimentale, compresi quelli che contemplano il ricorso a prestazioni di </w:t>
      </w:r>
      <w:r w:rsidRPr="00AB38A5">
        <w:rPr>
          <w:rFonts w:cstheme="minorHAnsi"/>
          <w:i/>
          <w:iCs/>
          <w:color w:val="000000"/>
        </w:rPr>
        <w:t xml:space="preserve">baby sitting </w:t>
      </w:r>
      <w:r w:rsidRPr="00AB38A5">
        <w:rPr>
          <w:rFonts w:cstheme="minorHAnsi"/>
          <w:color w:val="000000"/>
        </w:rPr>
        <w:t>mirato.</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Proseguiranno inoltre, anche attraverso l’utilizzo di fondi europei per l’anno educativo 2019/2020, gli interventi di sostegno alle famiglie per l’accesso ai servizi. Per rendere più incisivo l’effetto del sostegno regionale alle famiglie, con una modifica al regolamento sull’abbattimento delle rette a carico delle famiglie e con decorrenza dall’anno educativo 2019-2020, sono state introdotte nuove modalità di intervento per l’ottenimento del beneficio. </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Lo scopo è quello di permettere la frequenza ai servizi per la prima infanzia al maggior numero possibile di bambini. </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La misura si rivolge soprattutto ai nuclei famigliari con più figli minori a carico, che necessitano di un sostegno maggiore e una prima stima sull’efficacia dell’intervento si avrà alla fine dell’anno educativo 2019-2020 e, tracciato un primo bilancio, potranno eventualmente essere ripensate le misure di sostegno alle famiglie per l’accesso ai servizi.</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A conclusione della sperimentazione del nuovo Incentivo alla Natalità e al lavoro femminile, attivato nel contesto di Carta Famiglia, che prevede un sostegno triennale alle famiglie per nascite e adozioni avvenute negli anni 2018-2019, potrebbe eventualmente essere valutata la proposizione di ulteriori benefici mirati.</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Saranno monitorati i progetti promossi dalle associazioni familiari, che nel 2019 riceveranno un finanziamento regionale e avranno una tempistica di realizzazione biennale, nonché le attività a carattere più spiccatamente sociale dei consultori familiari, implementate attraverso le risorse a valere sul fondo nazionale per la famiglia che sono state loro dedicate.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Sono, inoltre, confermati per il triennio 2019-2021:</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i contributi ai famigliari di vittime degli incidenti sul lavoro, finalizzati ad alleviare le conseguenze e i disagi economici dei familiari delle persone che siano decedute a seguito di incidenti avvenuti per ragioni di lavoro;</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 i contributi a favore degli istituti di patronato e di assistenza sociale, previsti dalla L.R. 12/1998, che, a riconoscimento dell'importanza della funzione degli Istituti di patronato e di assistenza sociale che operano sul territorio regionale a favore di lavoratori e famiglie, sono previsti in due diverse tipologie. </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La prima, destinata alle sedi provinciali degli Istituti di patronato e di assistenza sociale, è integrativa dei finanziamenti nazionali concessi per la realizzazione delle attività istituzionali degli istituti stessi. </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La seconda, destinata alle sedi regionali degli Istituti medesimi, è finalizzata a sostenere iniziative di formazione, informazione, studio e ricerca.</w:t>
      </w:r>
    </w:p>
    <w:p w:rsidR="00190919" w:rsidRPr="00AB38A5" w:rsidRDefault="00190919" w:rsidP="00190919">
      <w:pPr>
        <w:autoSpaceDE w:val="0"/>
        <w:autoSpaceDN w:val="0"/>
        <w:adjustRightInd w:val="0"/>
        <w:spacing w:after="0" w:line="20" w:lineRule="atLeast"/>
        <w:jc w:val="both"/>
        <w:rPr>
          <w:rFonts w:cstheme="minorHAnsi"/>
          <w:b/>
          <w:bCs/>
          <w:color w:val="000000"/>
        </w:rPr>
      </w:pPr>
      <w:r w:rsidRPr="00AB38A5">
        <w:rPr>
          <w:rFonts w:cstheme="minorHAnsi"/>
          <w:b/>
          <w:bCs/>
          <w:color w:val="000000"/>
        </w:rPr>
        <w:t>Direzione centrale infrastrutture e territorio</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Con riguardo al settore dell’</w:t>
      </w:r>
      <w:r w:rsidRPr="00AB38A5">
        <w:rPr>
          <w:rFonts w:cstheme="minorHAnsi"/>
          <w:b/>
          <w:bCs/>
          <w:i/>
          <w:iCs/>
          <w:color w:val="000000"/>
        </w:rPr>
        <w:t xml:space="preserve">alloggio sociale </w:t>
      </w:r>
      <w:r w:rsidRPr="00AB38A5">
        <w:rPr>
          <w:rFonts w:cstheme="minorHAnsi"/>
          <w:color w:val="000000"/>
        </w:rPr>
        <w:t xml:space="preserve">è auspicabile che nel corso del 2020, così come avvenuto nel 2019, lo Stato prosegua con il trasferimento delle tranche spettanti alla Regione FVG in relazione alle risorse </w:t>
      </w:r>
      <w:r w:rsidRPr="00AB38A5">
        <w:rPr>
          <w:rFonts w:cstheme="minorHAnsi"/>
          <w:color w:val="000000"/>
        </w:rPr>
        <w:lastRenderedPageBreak/>
        <w:t>stanziate ai sensi della L. 80/2014 per l’immediato recupero di alloggi da destinare alle fasce più deboli della popolazione.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Si continuerà, con particolare riferimento agli interventi fino a 50.000 euro per alloggio, ad erogare le risorse spettanti alle ATER sulla base delle graduatorie già validate dal Ministero con provvedimento del 12 ottobre 2015, successivamente modificato. A integrazione del programma di recupero si ritiene di poter erogare, sempre nell’anno 2019, gli stanziamenti regionali programmati per l’edilizia sovvenzionata già concessi nel 2017 e da concedere nel 2018 oltre al fondo sociale di cui alla L.R. 1/2016. </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Nel 2020 si prevede la stipula dei contratti relativi alle assegnazioni degli alloggi ATER avvenute nel 2019.</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In osservanza della L.R. 1/2016 (Riforma organica delle politiche abitative e riordino delle ATER) con la quale si è operata anche una riorganizzazione delle ATER, si prevede di proseguire anche nel corso del 2020 nella definizione degli strumenti operativi con i quali la Giunta regionale darà attuazione alle linee di indirizzo definite, ai sensi dell’articolo 4 della legge medesima, nel Programma regionale per le politiche abitative.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In merito alle risorse per le case ATER verranno valorizzati gli anni di residenza, anche a seguito dell’entrata in vigore a novembre 2018 della normativa recante modifiche ai criteri di accesso all’edilizia residenziale pubblica, per la concessione dei finanziamenti e per dare una precedenza ai cittadini con maggior periodo di residenza nella regione Friuli Venezia Giulia.</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Con l’operatività a regime dei Tavoli territoriali - istituiti dall’articolo 8 della L.R. 1/2016 proprio allo scopo di “riscontrare le necessità abitative emergenti sul territorio regionale, avuto riguardo alle necessità che i diversi territori esprimono in ragione delle loro peculiari caratteristiche socio-demografiche, economiche, urbanistiche” – le proposte che sono e saranno avanzate in tali sedi dagli Enti locali e dagli operatori del settore diventano e diventeranno le</w:t>
      </w:r>
    </w:p>
    <w:p w:rsidR="00190919" w:rsidRPr="00AB38A5" w:rsidRDefault="00190919" w:rsidP="00190919">
      <w:pPr>
        <w:autoSpaceDE w:val="0"/>
        <w:autoSpaceDN w:val="0"/>
        <w:adjustRightInd w:val="0"/>
        <w:spacing w:after="0" w:line="20" w:lineRule="atLeast"/>
        <w:jc w:val="both"/>
        <w:rPr>
          <w:rFonts w:cstheme="minorHAnsi"/>
          <w:color w:val="000000"/>
        </w:rPr>
      </w:pPr>
      <w:proofErr w:type="gramStart"/>
      <w:r w:rsidRPr="00AB38A5">
        <w:rPr>
          <w:rFonts w:cstheme="minorHAnsi"/>
          <w:color w:val="000000"/>
        </w:rPr>
        <w:t>istanze</w:t>
      </w:r>
      <w:proofErr w:type="gramEnd"/>
      <w:r w:rsidRPr="00AB38A5">
        <w:rPr>
          <w:rFonts w:cstheme="minorHAnsi"/>
          <w:color w:val="000000"/>
        </w:rPr>
        <w:t xml:space="preserve"> del territorio oggetto di successiva attività di sintesi che la Giunta regionale valuterà ai fini della definizione del richiamato Programma regionale per le politiche abitative.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Inoltre, con riguardo all’edilizia scolastica e universitaria, nell’anno 2020 si prevede di continuare con le attività connesse alla programmazione territoriale degli investimenti a valere sul Piano Nazionale 0 – 6, relativo agli innovativi asili nido integrati con le scuole materne.</w:t>
      </w:r>
    </w:p>
    <w:p w:rsidR="00190919" w:rsidRPr="00AB38A5" w:rsidRDefault="00190919" w:rsidP="00190919">
      <w:pPr>
        <w:autoSpaceDE w:val="0"/>
        <w:autoSpaceDN w:val="0"/>
        <w:adjustRightInd w:val="0"/>
        <w:spacing w:after="0" w:line="20" w:lineRule="atLeast"/>
        <w:jc w:val="both"/>
        <w:rPr>
          <w:rFonts w:cstheme="minorHAnsi"/>
          <w:color w:val="000000"/>
        </w:rPr>
      </w:pPr>
    </w:p>
    <w:p w:rsidR="00190919" w:rsidRPr="00AB38A5" w:rsidRDefault="00190919" w:rsidP="00190919">
      <w:pPr>
        <w:autoSpaceDE w:val="0"/>
        <w:autoSpaceDN w:val="0"/>
        <w:adjustRightInd w:val="0"/>
        <w:spacing w:after="0" w:line="20" w:lineRule="atLeast"/>
        <w:jc w:val="both"/>
        <w:rPr>
          <w:rFonts w:cstheme="minorHAnsi"/>
          <w:b/>
          <w:bCs/>
          <w:color w:val="000000"/>
        </w:rPr>
      </w:pPr>
      <w:r w:rsidRPr="00AB38A5">
        <w:rPr>
          <w:rFonts w:cstheme="minorHAnsi"/>
          <w:b/>
          <w:bCs/>
          <w:color w:val="000000"/>
        </w:rPr>
        <w:t>Direzione centrale salute, politiche sociali e disabilità</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La salute, intesa come condizione di completo benessere fisico, psichico e sociale, la cui tutela è costituzionalmente garantita quale diritto inviolabile dell’individuo e interesse della collettività, deve rappresentare il principale elemento guida su cui costruire le finalità di ogni azione politica. </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Per assicurare la tutela del diritto alla salute in condizioni di universalità ed omogeneità sull’intero territorio regionale è necessario conferire piena funzionalità al sistema sanitario, affiancando alla revisione dell’attuale assetto organizzativo un’equilibrata e coerente integrazione tra i processi delle strutture ospedaliere e quelli del servizio territoriale, che devono mantenere la loro complementarità.</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Tutto ciò potrà avvenire grazie ad un chiaro impegno politico, prevedendo un unico punto di governo per la pianificazione, il coordinamento e il controllo del Servizio Sanitario Regionale e una precisa quantificazione delle risorse economiche da destinare al sistema per l’erogazione di servizi adeguati.</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In merito alla </w:t>
      </w:r>
      <w:r w:rsidRPr="00AB38A5">
        <w:rPr>
          <w:rFonts w:cstheme="minorHAnsi"/>
          <w:b/>
          <w:bCs/>
          <w:i/>
          <w:iCs/>
          <w:color w:val="000000"/>
        </w:rPr>
        <w:t>nuova governance del Servizio Sanitario Regionale</w:t>
      </w:r>
      <w:r w:rsidRPr="00AB38A5">
        <w:rPr>
          <w:rFonts w:cstheme="minorHAnsi"/>
          <w:color w:val="000000"/>
        </w:rPr>
        <w:t>, il contesto demografico, epidemiologico, sociale ed economico europeo, italiano e in particolare regionale pone nuove e significative sfide al sistema sanitario che, per garantire risposte concrete in tema di salute, deve adeguare nel tempo il proprio assetto organizzativo, tenendo ben presenti alcune costanti, considerate valori essenziali da perseguire.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Infatti, qualsiasi valutazione in ordine all’ottimale assetto istituzionale del Servizio sanitario regionale (SSR) deve fondarsi sulla centralità della persona nel sistema dei servizi, sulla valorizzazione della prevenzione tarata in base alle mutevoli esigenze della popolazione, sulla personalizzazione, continuità, appropriatezza, uniformità e sostenibilità delle cure sul territorio, sulla continuità dei percorsi diagnostici, terapeutici ed assistenziali, sui processi di integrazione sia all’interno della rete ospedaliera, sia tra ospedali e area territoriale, sia tra l’area sanitaria, socio-sanitaria e del sociale, sia all’interno delle reti clinico-professionali, sia tra i livelli gestionali del sistema.</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La Regione Autonoma Friuli Venezia Giulia, dopo aver attuato la riforma degli anni novanta caratterizzata dall’applicazione dei provvedimenti governativi incentrati sull’aziendalizzazione della sanità, ha posto mano al sistema con una legge regionale che, a distanza di quattro anni dalla sua adozione, ha richiesto un </w:t>
      </w:r>
      <w:r w:rsidRPr="00AB38A5">
        <w:rPr>
          <w:rFonts w:cstheme="minorHAnsi"/>
          <w:color w:val="000000"/>
        </w:rPr>
        <w:lastRenderedPageBreak/>
        <w:t>intervento di riforma deciso e coraggioso, proprio a partire dalle criticità che il precedente sistema avrebbe voluto superare senza tuttavia essere riuscito appieno nell’intento.</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Partendo proprio dalla grande opportunità offerta dalla specialità e autonomia che costituiscono una prerogativa dell’ordinamento giuridico della Regione Autonoma FVG, con l’obiettivo di chiarire mandati e responsabilità tra la funzione politico – strategica e la funzione gestionale, rafforzando il ruolo della Direzione centrale competente nel settore sanitario, si è dato vita ad un processo di riforma del SSR, esitato nell’approvazione della L.R. n. 27/2018, per superare le ridondanze degli assetti organizzativi precedenti adeguandoli ai parametri nazionali e soprattutto rendendoli congruenti rispetto ai territori di afferenza ed ai flussi naturali della popolazione.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La predetta legge di riforma trae le mosse dallo sviluppo di una cultura condivisa dell’integrazione, dalla presenza di professionisti formati, motivati e incentivati anche grazie alla creazione di percorsi formativi adatti alla gestione del cambiamento, dal governo dei processi sia a livello regionale (per garantirne uniformità ed efficacia) sia a livello locale (per assicurare personalizzazione e appropriatezza) e dal potenziamento dei rapporti tra il SSR e l’Università per lo sviluppo delle funzioni di didattica e ricerca. </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A ciò si è aggiunta la necessità di definire obiettivi e indicatori </w:t>
      </w:r>
      <w:proofErr w:type="gramStart"/>
      <w:r w:rsidRPr="00AB38A5">
        <w:rPr>
          <w:rFonts w:cstheme="minorHAnsi"/>
          <w:color w:val="000000"/>
        </w:rPr>
        <w:t>misurabili,  attraverso</w:t>
      </w:r>
      <w:proofErr w:type="gramEnd"/>
      <w:r w:rsidRPr="00AB38A5">
        <w:rPr>
          <w:rFonts w:cstheme="minorHAnsi"/>
          <w:color w:val="000000"/>
        </w:rPr>
        <w:t xml:space="preserve"> l’implementazione di validi sistemi di monitoraggio, di lettura e di interpretazione dei dati.</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Con la suddetta riforma, quindi, dopo aver dato ascolto con rispetto, attenzione ed interesse a tutti gli attori della salute, è stato semplificato l’assetto di governo del SSR, rendendolo coerente con le finalità enunciate ed in particolare prevedendo:</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a decorrere dall’1.1.2019 l’istituzione di un’azienda (l’Azienda regionale per il coordinamento della salute) che assicura la duplice finalità di garantire il supporto alla Direzione Centrale Salute, Politiche sociali e Disabilità (DCS) e alle Aziende sanitarie/Enti nel governo del sistema e di coordinare e sviluppare i servizi condivisi,</w:t>
      </w:r>
      <w:r w:rsidR="00473F93">
        <w:rPr>
          <w:rFonts w:cstheme="minorHAnsi"/>
          <w:color w:val="000000"/>
        </w:rPr>
        <w:t xml:space="preserve"> </w:t>
      </w:r>
      <w:r w:rsidRPr="00AB38A5">
        <w:rPr>
          <w:rFonts w:cstheme="minorHAnsi"/>
          <w:color w:val="000000"/>
        </w:rPr>
        <w:t>nell’ambito del progressivo trasferimento in capo al predetto Ente delle funzioni previste nella L.R. n. 27/2018;</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a conclusione dell’intero processo riformatore tre aziende di area vasta che recuperino i percorsi virtuosi realizzati negli anni dalla nostra Regione, ricompongano l’omogeneità dei territori di riferimento e comprendano al loro interno sia l’area territoriale sia quella ospedaliera, a garanzia di quella auspicata integrazione che tutti gli attori del sistema, in ogni sede, hanno richiesto e valutato come elemento strategico per il raggiungimento degli obiettivi posti dalla riforma. Impegno di ciascuna di queste aziende, infatti, sarà:</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o garantire una piena valorizzazione dell’area territoriale, con attenzione alla complessità, diversità e specificità dei servizi che fanno riferimento alla stessa (Salute Mentale, Prevenzione, Dipendenze, Veterinaria, Servizi di continuità assistenziale, Medici di medicina generale (MMG) e Pediatri di libera scelta (PLS), Case di riposo, Hospice, Residenze Sanitarie Assistenziali (RSA), rapporti con la Sanità privata che, da sempre, ha logiche, dinamiche, tempi e strumenti certamente differenti dai servizi ospedalieri. L’obiettivo è quello di assicurare alla persona la pertinente e globale risposta ai suoi bisogni di salute, l’effettiva continuità delle cure e un’articolazione organizzativa e di servizi strutturata in base alle effettive esigenze del territorio e fortemente coordinata con le autonomie locali e le rispettive aggregazioni;</w:t>
      </w:r>
    </w:p>
    <w:p w:rsidR="00190919" w:rsidRPr="00AB38A5" w:rsidRDefault="00190919" w:rsidP="00190919">
      <w:pPr>
        <w:autoSpaceDE w:val="0"/>
        <w:autoSpaceDN w:val="0"/>
        <w:adjustRightInd w:val="0"/>
        <w:spacing w:after="0" w:line="20" w:lineRule="atLeast"/>
        <w:jc w:val="both"/>
        <w:rPr>
          <w:rFonts w:cstheme="minorHAnsi"/>
          <w:color w:val="000000"/>
        </w:rPr>
      </w:pPr>
      <w:proofErr w:type="gramStart"/>
      <w:r w:rsidRPr="00AB38A5">
        <w:rPr>
          <w:rFonts w:cstheme="minorHAnsi"/>
          <w:color w:val="000000"/>
        </w:rPr>
        <w:t>o</w:t>
      </w:r>
      <w:proofErr w:type="gramEnd"/>
      <w:r w:rsidRPr="00AB38A5">
        <w:rPr>
          <w:rFonts w:cstheme="minorHAnsi"/>
          <w:color w:val="000000"/>
        </w:rPr>
        <w:t xml:space="preserve"> definire una rete ospedaliera che, coordinata con i due IRCCS regionali (Burlo Garofolo e CRO di Aviano), consenta l’effettiva realizzazione del modello “hub and spoke” fondato su un’organizzazione strutturata secondo il principio delle reti cliniche integrate e che, a sua volta, concentri l’affidamento della casistica più complessa, o che necessita di più complessi sistemi produttivi, in un numero limitato di presidi hub. Questo presuppone che l’attività dei presidi hub sia fortemente integrata con quella dei presidi spoke. Il rapporto che si deve creare tra hub e spoke è forte e diretto in quanto gli uni hanno assoluto bisogno degli altri per adempiere in sicurezza e senza eccessivi sovraccarichi ai loro rispettivi e sinergici mandati.</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In merito alla </w:t>
      </w:r>
      <w:r w:rsidRPr="00AB38A5">
        <w:rPr>
          <w:rFonts w:cstheme="minorHAnsi"/>
          <w:b/>
          <w:bCs/>
          <w:i/>
          <w:iCs/>
          <w:color w:val="000000"/>
        </w:rPr>
        <w:t>promozione della salute e della prevenzione</w:t>
      </w:r>
      <w:r w:rsidRPr="00AB38A5">
        <w:rPr>
          <w:rFonts w:cstheme="minorHAnsi"/>
          <w:color w:val="000000"/>
        </w:rPr>
        <w:t>, la prossimità del Sistema alle persone non può manifestarsi solo nel momento del bisogno, ma deve essere il risultato di un corollario di azioni quotidiane mirate alla tutela del benessere fisico psichico e sociale dell’individuo, a promuovere la salute e a prevenire la malattia e l’infortunio. In quest’ottica, diventano fattori propulsivi la promozione di stili di vita sani e la prevenzione nei singoli, ma anche la tutela dell’ambiente, dove il recupero di siti inquinati e la dismissione di attività impattanti presuppone la ricerca partecipata di un punto di equilibrio tra la tutela della salute della popolazione e dell’ambiente e la libertà dell’iniziativa economica, superando le contrapposizioni, pur garantendo i diritti di tutti i portatori di interesse.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lastRenderedPageBreak/>
        <w:t xml:space="preserve">In tema di salute il vigente Piano Regionale della Prevenzione (PRP) 2014-2018, prorogato e rimodulato fino al 2019, definisce le linee di attività nell’ambito della promozione della salute e della prevenzione delle malattie. </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Nel corso del 2020 è prevista l’adozione a livello ministeriale del nuovo Piano Nazionale della Prevenzione 2020-2025, cui seguirà l’approvazione del Piano Regionale. Fondamentalmente le linee di lavoro previste dal PRP 2014-2019, descritte successivamente, verranno riprese nel nuovo Piano, per il superamento di un sistema e di una metodologia operativa di stretta vigilanza e assistenza in favore di un sistema e di una metodologia operativa proattivi ed integrati, attraverso azioni, attività e interventi di tipo intersettoriale al fine di promuovere la salute, gli stili di vita sani e una presa in carico “su misura” delle persone. </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Cruciali diventano, quindi, sia il ruolo della promozione della salute e della prevenzione come fattori di sviluppo della società e di sostenibilità del welfare, in particolare alla luce delle attuali dinamiche demografiche, sia un approccio di salute pubblica in tutte le politiche adottate, che garantisca equità e contrasto alle diseguaglianze.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Dato l’obiettivo, è necessaria un’ottica trasversale in cui creare e potenziare reti e alleanze con un approccio</w:t>
      </w:r>
    </w:p>
    <w:p w:rsidR="00190919" w:rsidRPr="00AB38A5" w:rsidRDefault="00190919" w:rsidP="00190919">
      <w:pPr>
        <w:autoSpaceDE w:val="0"/>
        <w:autoSpaceDN w:val="0"/>
        <w:adjustRightInd w:val="0"/>
        <w:spacing w:after="0" w:line="20" w:lineRule="atLeast"/>
        <w:jc w:val="both"/>
        <w:rPr>
          <w:rFonts w:cstheme="minorHAnsi"/>
          <w:color w:val="000000"/>
        </w:rPr>
      </w:pPr>
      <w:proofErr w:type="gramStart"/>
      <w:r w:rsidRPr="00AB38A5">
        <w:rPr>
          <w:rFonts w:cstheme="minorHAnsi"/>
          <w:color w:val="000000"/>
        </w:rPr>
        <w:t>interistituzionale</w:t>
      </w:r>
      <w:proofErr w:type="gramEnd"/>
      <w:r w:rsidRPr="00AB38A5">
        <w:rPr>
          <w:rFonts w:cstheme="minorHAnsi"/>
          <w:color w:val="000000"/>
        </w:rPr>
        <w:t xml:space="preserve"> e multisettoriale, al fine di integrare tutti i settori istituzionali della politica e dell’associazionismo in funzione della salute. In tale prospettiva i Dipartimenti di Prevenzione sono al centro del sistema e operano in stretta collaborazione con i Distretti, i Dipartimenti di Salute Mentale, i Centri per le Dipendenze, i MMG ed i PLS, gli Ambiti socio-assistenziali, le strutture intermedie sociosanitarie e le strutture ospedaliere.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Le linee di attività declinano i seguenti filoni programmatici: promozione di stili di vita sani, programmi organizzati di prevenzione oncologica, profilassi delle malattie infettive (incremento dell’offerta vaccinale e lotta ai vettori, es. zanzare e zecche), tutela della donna nelle varie fasce d’età, medicina di iniziativa (su chiamata attiva dei soggetti con aumentato rischio di malattie), tutela ambientale, tutela e sicurezza alimentare, sicurezza nei luoghi di lavoro e nei luoghi di vita.</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Si darà impulso, inoltre, ad iniziative specifiche per l’identificazione precoce delle persone con aumentato rischio di malattie croniche non trasmissibili e con disturbi d’ansia e depressivi; incremento della partecipazione della popolazione ai 3 programmi organizzati di screening oncologici (mammella, colon-retto, cervice) garantendo il rigoroso rispetto degli standard qualitativi di erogazione di programmi di salute pubblica che interessano ogni anno 350.000 persone della regione, presidiando la presa in carico delle donne non negative allo screening mammografico coerentemente con quanto previsto dall'Atto d'Intesa del 18 dicembre 2014 della Conferenza Stato-Regioni sulle "Linee di indirizzo sulle modalità organizzative ed assistenziali della rete dei Centri di Senologia”, approvando un protocollo, con relative prestazioni in esenzione di quota di compartecipazione, per l’identificazione delle donne con profilo di rischio eredo-familiare per tumore della mammella. </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Continuano le attività di riconversione del programma cervice basato sul laboratorio unico regionale dell’Anatomia Patologica di Trieste, in uno sforzo collaborativo che coinvolge tutti gli enti del SSR che concorrono alla formazione degli operatori, alle dotazioni dei propri presidi, alla logistica di supporto. Proseguono gli screening audiologico, oftalmologico e metabolico ai nuovi nati.</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Nell’ambito della Cabina di regia, organismo istituito con Decreto 695/SPS del 19 maggio 2017, saranno effettuate attività di ricerca finalizzate alla </w:t>
      </w:r>
      <w:r w:rsidRPr="00AB38A5">
        <w:rPr>
          <w:rFonts w:cstheme="minorHAnsi"/>
          <w:b/>
          <w:bCs/>
          <w:i/>
          <w:iCs/>
          <w:color w:val="000000"/>
        </w:rPr>
        <w:t xml:space="preserve">valutazione dell’incidenza dei rischi ambientali sullo stato di salute </w:t>
      </w:r>
      <w:r w:rsidRPr="00AB38A5">
        <w:rPr>
          <w:rFonts w:cstheme="minorHAnsi"/>
          <w:color w:val="000000"/>
        </w:rPr>
        <w:t>della popolazione residente in prossimità delle aree regionali soggette a maggiore pressione ambientale. Continueranno le attività finalizzate a garantire la sicurezza e la salubrità degli alimenti, compresi gli interventi volti a favorire una sana nutrizione. Proseguirà il programma di monitoraggio della radioattività nelle acque destinate al consumo umano così come previsto dal D.Lgs. n. 28 del 15 febbraio 2016. Saranno realizzate attività di sostegno alle persone affette da malattie amianto correlate e di contenimento dei rischi da amianto attraverso l’attività di prevenzione, nonché la sorveglianza ex esposti ad amianto con attività di formazione e informazione. Sarà organizzato in collaborazione con ARPA FVG un percorso formativo destinato agli ordini professionali (ingegneri, geometri, ecc.) per la diffusione di una maggiore conoscenza delle buone pratiche di costruzione/ristrutturazione in relazione al rischio radon.</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La </w:t>
      </w:r>
      <w:r w:rsidRPr="00AB38A5">
        <w:rPr>
          <w:rFonts w:cstheme="minorHAnsi"/>
          <w:b/>
          <w:bCs/>
          <w:i/>
          <w:iCs/>
          <w:color w:val="000000"/>
        </w:rPr>
        <w:t xml:space="preserve">gestione sanitaria dei migranti </w:t>
      </w:r>
      <w:r w:rsidRPr="00AB38A5">
        <w:rPr>
          <w:rFonts w:cstheme="minorHAnsi"/>
          <w:color w:val="000000"/>
        </w:rPr>
        <w:t>sarà affrontata con la realizzazione di un protocollo regionale.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 Su questo tema particolare attenzione verrà posta al tema dei soggetti particolarmente fragili e vulnerabili (fisicamente e psichicamente).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lastRenderedPageBreak/>
        <w:t>Si supporteranno i programmi di cooperazione internazionale e transfrontaliera che coinvolgono le strutture sanitarie regionali, con valorizzazione della ricerca scientifica in campo biomedico nel quadro della cooperazione internazionale, con creazione di itinerari di formazione/informazione/interscambio nell’area balcanica e in altre aree geografiche extra UE per sostenere lo sviluppo dei servizi sanitari.</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Con riferimento ai </w:t>
      </w:r>
      <w:r w:rsidRPr="00AB38A5">
        <w:rPr>
          <w:rFonts w:cstheme="minorHAnsi"/>
          <w:b/>
          <w:bCs/>
          <w:i/>
          <w:iCs/>
          <w:color w:val="000000"/>
        </w:rPr>
        <w:t>servizi di assistenza primaria</w:t>
      </w:r>
      <w:r w:rsidRPr="00AB38A5">
        <w:rPr>
          <w:rFonts w:cstheme="minorHAnsi"/>
          <w:color w:val="000000"/>
        </w:rPr>
        <w:t xml:space="preserve">, l’assistenza territoriale ha per sua natura caratteristiche di organizzazione a rete, geometrie e modalità di approccio non necessariamente piramidali. </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Semplificando, il “territorio” (inteso in senso lato come “tutto ciò che esula da un ricovero per acuti”) ha due direttrici di azione principali, che presuppongono una forte interazione tra dimensioni clinico-assistenziali e socio-assistenziali:</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mantenere le persone nel miglior stato di salute possibile, anche attraverso politiche di prevenzione e di promozione della salute;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mantenere il più a lungo possibile le persone nel loro ambiente di vita abituale, creando valide alternative al ricovero ospedaliero.</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Entrambe le direttrici costituiscono l’asse portante dei contenuti del Piano Nazionale della Cronicità (PNC) del 15 settembre 2016, atto di indirizzo governativo che trova la sua declinazione all’interno della programmazione regionale.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Il PNC definisce non solo i macroprocessi di </w:t>
      </w:r>
      <w:r w:rsidRPr="00AB38A5">
        <w:rPr>
          <w:rFonts w:cstheme="minorHAnsi"/>
          <w:b/>
          <w:bCs/>
          <w:i/>
          <w:iCs/>
          <w:color w:val="000000"/>
        </w:rPr>
        <w:t>gestione della persona con cronicità</w:t>
      </w:r>
      <w:r w:rsidRPr="00AB38A5">
        <w:rPr>
          <w:rFonts w:cstheme="minorHAnsi"/>
          <w:color w:val="000000"/>
        </w:rPr>
        <w:t>, ma riposiziona anche il paradigma del segmento di cure ospedaliero: “L’ospedale va quindi concepito come uno snodo di alta specializzazione del sistema di cure per la cronicità, che interagisca con la specialistica ambulatoriale e con l’assistenza primaria, attraverso nuove formule organizzative che prevedano la creazione di reti multispecialistiche dedicate e “dimissioni assistite” nel territorio, finalizzate a ridurre il drop-out dalla rete assistenziale, causa frequente di ri-ospedalizzazione a</w:t>
      </w:r>
    </w:p>
    <w:p w:rsidR="00190919" w:rsidRPr="00AB38A5" w:rsidRDefault="00190919" w:rsidP="00190919">
      <w:pPr>
        <w:autoSpaceDE w:val="0"/>
        <w:autoSpaceDN w:val="0"/>
        <w:adjustRightInd w:val="0"/>
        <w:spacing w:after="0" w:line="20" w:lineRule="atLeast"/>
        <w:jc w:val="both"/>
        <w:rPr>
          <w:rFonts w:cstheme="minorHAnsi"/>
          <w:color w:val="000000"/>
        </w:rPr>
      </w:pPr>
      <w:proofErr w:type="gramStart"/>
      <w:r w:rsidRPr="00AB38A5">
        <w:rPr>
          <w:rFonts w:cstheme="minorHAnsi"/>
          <w:color w:val="000000"/>
        </w:rPr>
        <w:t>breve</w:t>
      </w:r>
      <w:proofErr w:type="gramEnd"/>
      <w:r w:rsidRPr="00AB38A5">
        <w:rPr>
          <w:rFonts w:cstheme="minorHAnsi"/>
          <w:color w:val="000000"/>
        </w:rPr>
        <w:t xml:space="preserve"> termine e di outcome negativi nei pazienti con cronicità…”.</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Il tema del governo della cronicità, della complessità e della fragilità è pertanto prioritario per orientare le scelte di sistema a livello dell’attività distrettuale: considerando che rispetto al momento “ricovero” c’è un “dopo” ma anche un “prima” e spesso un “invece”, quest’ultimo rappresentato da forme di assistenza sanitaria alternative. Il paradigma di riferimento è il Chronic Care Model, logica secondo la quale poter ipoteticamente posizionare ogni singola persona in base a una gravità non solo clinica, ma di fragilità e di complessità anche sociale.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I temi prioritari che il sistema, nella sua organizzazione, deve affrontare, sono sia la ricomposizione della frammentarietà dell’offerta assistenziale, attraverso una revisione dei percorsi e dei flussi del paziente nella logica della continuità, che la ricomposizione di tutte quelle situazioni di complessità clinica e assistenziale legate alla polipatologia, in cui l’applicazione dei percorsi diagnostico-terapeutici-assistenziali (PDTA) per singola patologia non garantisce la soddisfazione dei bisogni di salute della persona.</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In particolare, si tratta di armonizzare la logica prevalentemente clinica che privilegia la stesura di PDTA per singola patologia con la logica complessa – non solo clinica - delle situazioni multiproblematiche che caratterizzano l’approccio ai fenomeni della cronicità e della fragilità. </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Gli strumenti informatici dovranno favorire queste analisi, a supporto delle conseguenti decisioni.</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Va inoltre considerato come la cronicità non sia più da considerare prerogativa quasi esclusiva della popolazione over 65: malattie rare, disabilità e cronicità nelle fasce giovanili sono un nuovo target che va adeguatamente considerato anche nel riposizionamento dell’offerta del SSR.</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Nella gestione della cronicità assumono un ruolo estremamente importante le professioni sanitarie al fine di una presa in carico globale della persona portatrice della malattia cronica e del care giver. </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È pertanto necessario lavorare sulla costruzione di team multi professionali che operino con una metodologia di lavoro multidisciplinare e integrata</w:t>
      </w:r>
      <w:r w:rsidR="00204050">
        <w:rPr>
          <w:rFonts w:cstheme="minorHAnsi"/>
          <w:color w:val="000000"/>
        </w:rPr>
        <w:t xml:space="preserve"> </w:t>
      </w:r>
      <w:r w:rsidRPr="00AB38A5">
        <w:rPr>
          <w:rFonts w:cstheme="minorHAnsi"/>
          <w:color w:val="000000"/>
        </w:rPr>
        <w:t>sempre in coerenza con il concetto dell’appropriatezza delle risorse. Il modello dell’infermiere di comunità, di concerto con il medico di medicina generale (MMG), ha ben interpretato questa esigenza nel dare risposte prossimali, globali e continuative ai nostri cittadini. Al MMG (e al pediatra di libera scelta, PLS, per le situazioni di sua competenza), esperto della complessità dei fenomeni legati alla cronicità, va demandata la gestione clinica della comorbilità.</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Nel 2020, alla luce del riassetto organizzativo e culturale del sistema sanitario regionale, si intende realizzare – anche mediante la sottoscrizione di un nuovo Accordo Integrativo Regionale con le rappresentanze sindacali della medicina generale - un riorientamento delle nuove forme organizzative dell’assistenza primaria e dell’organizzazione delle attività distrettuali in coerenza con il nuovo assetto di governance.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lastRenderedPageBreak/>
        <w:t xml:space="preserve">Nell’ambito dell’integrazione sociosanitaria il </w:t>
      </w:r>
      <w:r w:rsidRPr="00AB38A5">
        <w:rPr>
          <w:rFonts w:cstheme="minorHAnsi"/>
          <w:b/>
          <w:bCs/>
          <w:i/>
          <w:iCs/>
          <w:color w:val="000000"/>
        </w:rPr>
        <w:t xml:space="preserve">processo di innovazione del sistema di welfare </w:t>
      </w:r>
      <w:r w:rsidRPr="00AB38A5">
        <w:rPr>
          <w:rFonts w:cstheme="minorHAnsi"/>
          <w:color w:val="000000"/>
        </w:rPr>
        <w:t>si orienta sempre di più verso una maggiore personalizzazione dei percorsi di cura e inclusione e verso un riordino del sistema di offerta, per differenziare e flessibilizzare quanto più possibile la risposta ai bisogni di anziani, disabili, minori, persone con problemi di salute mentale e di dipendenza. La Regione intende organizzare la propria attività di programmazione al fine di garantire uniformità sul proprio territorio nelle modalità, nelle procedure e negli strumenti di valutazione multidimensionale in tutte le fasi del progetto di assistenza alla persona, definendo percorsi di riforma che si propongono di innovare e sviluppare la rete dei servizi a favore delle persone con bisogni afferenti alle aree ad elevata integrazione sociosanitaria e di rafforzare l’integrazione tra i servizi sociali e sanitari, in conformità ai LEA sociosanitari approvati con DPCM 12 gennaio 2017. In particolare si rende necessaria la ridefinizione dell’impianto istituzionale, organizzativo e professionale indispensabile per garantire l’erogazione di prestazioni in condizioni di equità, accessibilità e appropriatezza clinica. La strategia regionale necessaria per garantire tale obiettivo deve essere basata sulla definizione e classificazione dei fabbisogni e sulla regolamentazione del sistema di offerta, con definizione degli standard strutturali, organizzativi e tecnologici, delle tariffe sociosanitarie e della quota a carico del sistema sanitario.</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Proseguirà l’attuazione del Piano regionale salute mentale per l’età evolutiva e l’età adulta 2018-2020, soprattutto attraverso interventi che riguardano l’integrazione tra cure primarie e specialistiche, con particolare riferimento alla presa in carico dei disturbi mentali comuni e alla definizione dei percorsi aziendali per la transizione delle cure dall’età evolutiva all’età adulta. </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Nell’ambito dei percorsi e dell’organizzazione dei servizi per la salute mentale si avvierà un processo di autorizzazione e accreditamento, adeguato alla cultura e allo sviluppo delle buone pratiche implementate a livello regionale, prevedendo anche momenti di confronto con gli stakeholders.</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In tema di </w:t>
      </w:r>
      <w:r w:rsidRPr="00AB38A5">
        <w:rPr>
          <w:rFonts w:cstheme="minorHAnsi"/>
          <w:b/>
          <w:bCs/>
          <w:i/>
          <w:iCs/>
          <w:color w:val="000000"/>
        </w:rPr>
        <w:t>dipendenze</w:t>
      </w:r>
      <w:r w:rsidRPr="00AB38A5">
        <w:rPr>
          <w:rFonts w:cstheme="minorHAnsi"/>
          <w:color w:val="000000"/>
        </w:rPr>
        <w:t>, il quadro di riferimento dell’azione regionale trova sviluppo nel nuovo Piano d’Azione Regionale (PARD), in corso di adozione per il triennio 2019-2021, che orienta le attività dei servizi verso obiettivi e azioni declinati nelle seguenti aree strategiche: promozione e prevenzione, rete, interventi di recovery, oltre a due focus specifici dedicati rispettivamente ai giovani ed alle patologie infettive correlate.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Sul fronte della prevenzione, si punta all’intercettazione precoce, alla promozione di stili di vita sani e alla riduzione dei comportamenti a rischio, attraverso la costruzione di strategie basate sia sulla potenzialità delle capacità personali sia su azioni di conferma e di rinforzo dell’ambiente di vita. Centralità strategica assume la </w:t>
      </w:r>
      <w:r w:rsidRPr="00AB38A5">
        <w:rPr>
          <w:rFonts w:cstheme="minorHAnsi"/>
          <w:b/>
          <w:bCs/>
          <w:i/>
          <w:iCs/>
          <w:color w:val="000000"/>
        </w:rPr>
        <w:t>rete</w:t>
      </w:r>
      <w:r w:rsidRPr="00AB38A5">
        <w:rPr>
          <w:rFonts w:cstheme="minorHAnsi"/>
          <w:color w:val="000000"/>
        </w:rPr>
        <w:t>, quale snodo organizzativo/gestionale per il radicamento dei servizi sul territorio, con obiettivi di costruzione di reti cliniche di continuità ospedale-territorio; di sviluppo delle competenze della rete territoriale in tema di misure alternative alla detenzione, attraverso la collaborazione con UDEPE e Magistratura,</w:t>
      </w:r>
      <w:r w:rsidR="00204050">
        <w:rPr>
          <w:rFonts w:cstheme="minorHAnsi"/>
          <w:color w:val="000000"/>
        </w:rPr>
        <w:t xml:space="preserve"> </w:t>
      </w:r>
      <w:r w:rsidRPr="00AB38A5">
        <w:rPr>
          <w:rFonts w:cstheme="minorHAnsi"/>
          <w:color w:val="000000"/>
        </w:rPr>
        <w:t>anche con momenti di formazione condivisa; di incentivazione del coinvolgimento del Terzo settore, dando applicazione al Protocollo d’intesa in materia di problematiche alcolcorrelate; di miglioramento della gestione dei casi di comorbilità psichiatrica, attraverso l’adozione di procedure condivise con il Dipartimento di salute mentale.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Di qui si assumono obiettivi di incremento dell’appropriatezza dei Percorsi Diagnostico Terapeutici Assistenziali o Percorsi Integrati di Cura; di sperimentazione per l’introduzione di strumenti di valutazione multidimensionale; di riqualificazione dell’offerta residenziale e semiresidenziale, portando a compimento il processo di accreditamento delle strutture; di rafforzamento dell’utilizzo di strumenti volti a sostenere l’autonomia e l’autodeterminazione delle persone, valorizzando strumenti di co-progettazione, con particolare attenzione all’introduzione del budget personale di salute (o budget di progetto), per il raccordo dell’impiego di tutte le risorse da attivare nei percorsi personalizzati terapeutico-riabilitativi di assistenza alla persona, così rafforzando nella concretezza della risposta l’integrazione fra servizi sanitari e servizi sociali.</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Saranno definiti indirizzi regionali per l’abitare inclusivo nell’ambito della salute mentale e delle dipendenze.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Continueranno i lavori del gruppo tecnico per l’accompagnamento delle procedure Budget di salute (BdS) sia in età adulta che evolutiva. </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Per quanto riguarda l’età evolutiva, è prevista anche l’implementazione della rete della neuropsichiatria infanzia e adolescenza, in particolare con l’avvio delle attività dei centri diurni NPIA e della rete diabetologica legata all’età evolutiva ed alla transizione.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Continueranno le attività del Comitato percorso nascita regionale volte al miglioramento della qualità delle cure del percorso gravidanza, parto e puerperio, con particolare riguardo a percorsi con livelli di cura in base ai bisogni.</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lastRenderedPageBreak/>
        <w:t>In materia di autismo, il tavolo tecnico regionale composto da professionisti esperti sia nell’ambito dell’età pediatrica che adulta e rappresentanti del terzo settore continuerà i lavori finalizzati alla stesura delle Linee di indirizzo regionali sui disturbi dello spettro autistico in età adulta, con il supporto dell’attività dell’Osservatorio epidemiologico regionale.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Il tema dei disturbi del comportamento alimentare (DCA) prevede l’attuazione del percorso diagnostico terapeutico assistenziale specifico, di cui alla DGR 668/2017, la messa a regime degli ambulatori aziendali DCA con la disponibilità di un’equipe funzionale e l’operatività dei Centri diurni per l’età evolutiva e l’età adulta e la funzione di Osservatorio epidemiologico svolta dall’IRCCS Burlo Garofolo per i minori e dall’ASUIUD per gli adulti.</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Proseguirà l’attività dell’Osservatorio regionale sanità penitenziaria, al fine di analizzare e monitorare con i referenti aziendali, l’amministrazione penitenziaria e la Magistratura di sorveglianza percorsi e interventi.</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In tema di riabilitazione è previsto lo sviluppo delle attività di un gruppo di lavoro regionale che porterà al Piano Regionale della Riabilitazione. Inoltre, i gruppi integrati neuromuscolari (GIN) con la finalità della presa in carico della persona con malattia neuromuscolare nell’ambito territoriale di competenza verranno attivati in tutte le Aziende.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Proseguiranno i lavori di formazione e monitoraggio del Percorsi Diagnostico-Terapeutici Assistenziali (PDTA) sulla sclerosi multipla e inizieranno i lavori di attivazione del PDTA sulla SLA. I PDTA riabilitativi attualmente presenti in regione saranno integrati con i PDTA della riabilitazione oncologica.</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Continueranno le attività finalizzate all'attivazione dei nuovi percorsi di assistenza protesica e le attività formative per la diffusione delle nuove linee guida regionali.</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Prosegue la regolamentazione dell’accesso e si svilupperanno le reti delle </w:t>
      </w:r>
      <w:r w:rsidRPr="00AB38A5">
        <w:rPr>
          <w:rFonts w:cstheme="minorHAnsi"/>
          <w:b/>
          <w:bCs/>
          <w:i/>
          <w:iCs/>
          <w:color w:val="000000"/>
        </w:rPr>
        <w:t xml:space="preserve">cure palliative </w:t>
      </w:r>
      <w:r w:rsidRPr="00AB38A5">
        <w:rPr>
          <w:rFonts w:cstheme="minorHAnsi"/>
          <w:color w:val="000000"/>
        </w:rPr>
        <w:t>e della terapia del dolore sia per l’età adulta che pediatrica e l’erogazione delle prestazioni nell’ambito dei LEA nel rispetto della dignità e dell’autonomia del malato senza alcuna discriminazione, nella tutela e promozione della qualità della vita fino al suo termine. Fra gli obiettivi deve rientrare anche l’accompagno alla morte nel rispetto e nella tutela della dignità del vivere e del morire, con la presenza degli affetti sia a domicilio (territorio) sia in struttura protetta (Hospice, RSA) e con la garanzia di trovare un posto letto in struttura adeguata a garantire le terapie per il controllo del dolore.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Proseguirà il programma di </w:t>
      </w:r>
      <w:r w:rsidRPr="00AB38A5">
        <w:rPr>
          <w:rFonts w:cstheme="minorHAnsi"/>
          <w:b/>
          <w:bCs/>
          <w:i/>
          <w:iCs/>
          <w:color w:val="000000"/>
        </w:rPr>
        <w:t>odontoiatria pubblica</w:t>
      </w:r>
      <w:r w:rsidRPr="00AB38A5">
        <w:rPr>
          <w:rFonts w:cstheme="minorHAnsi"/>
          <w:color w:val="000000"/>
        </w:rPr>
        <w:t>, che ha come punti cardine l’attuazione di programmi di prevenzione destinati alla popolazione pediatrica, la gestione delle urgenze odontostomatologiche, l’assistenza odontoiatrica a soggetti in condizioni di vulnerabilità sanitaria e/o sociale e l’erogazione di prestazioni EXTRA LEA aggiuntive per i soggetti residenti in regione. Tale programma, coordinato dal centro hub dell’ASUI di Trieste, ha lo scopo di garantire a tutti i cittadini accessibilità, continuità ed efficacia delle cure attraverso la razionalizzazione dei servizi, l’adeguatezza strutturale e strumentale e la condivisione di procedure e protocolli a garanzia della qualità e della sicurezza delle cure.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Per quanto riguarda i </w:t>
      </w:r>
      <w:r w:rsidRPr="00AB38A5">
        <w:rPr>
          <w:rFonts w:cstheme="minorHAnsi"/>
          <w:b/>
          <w:bCs/>
          <w:i/>
          <w:iCs/>
          <w:color w:val="000000"/>
        </w:rPr>
        <w:t xml:space="preserve">servizi residenziali e semiresidenziali per anziani non autosufficienti </w:t>
      </w:r>
      <w:r w:rsidRPr="00AB38A5">
        <w:rPr>
          <w:rFonts w:cstheme="minorHAnsi"/>
          <w:color w:val="000000"/>
        </w:rPr>
        <w:t>è già stato avviato e proseguirà per arrivare a regime entro un triennio, il processo di riqualificazione della rete dei servizi residenziali per anziani con la finalità di incrementare i livelli di assistenza, garantendo maggiore equità e appropriatezza e riorientando il sistema di finanziamento da un approccio basato sull’offerta a un approccio fondato sui bisogni degli utenti. In proposito, nel 2018 si è concluso il processo di riclassificazione delle strutture residenziali per anziani, prima fase di un iter che ha portato alla ri-autorizzazione all’esercizio secondo i nuovi requisiti previsti dal DPReg. 144/2015 di circa 170 strutture in tutta la Regione. Nel 2020 si procederà all’avvio del processo di accreditamento dei servizi semiresidenziali e delle residenze per anziani non autosufficienti, alla definizione delle nuove modalità di finanziamento e all’introduzione delle regole di finanziamento previste per la fase transitoria.</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Per quanto attiene all’</w:t>
      </w:r>
      <w:r w:rsidRPr="00AB38A5">
        <w:rPr>
          <w:rFonts w:cstheme="minorHAnsi"/>
          <w:b/>
          <w:bCs/>
          <w:i/>
          <w:iCs/>
          <w:color w:val="000000"/>
        </w:rPr>
        <w:t xml:space="preserve">assistenza farmaceutica e integrativa </w:t>
      </w:r>
      <w:r w:rsidRPr="00AB38A5">
        <w:rPr>
          <w:rFonts w:cstheme="minorHAnsi"/>
          <w:color w:val="000000"/>
        </w:rPr>
        <w:t>vanno assicurate nell’ambito dei LEA, e nel rispetto della cornice finanziaria fissata, i medicinali dal miglior profilo costo-efficacia, quelli cioè che a parità di efficacia, sicurezza e tollerabilità hanno ricadute economicamente più vantaggiose per il Servizio Sanitario Regionale favorendo comportamenti omogenei sul territorio regionale.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Sarà ricostituita la Commissione regionale per l’assistenza farmaceutica al fine di supportare gli Enti del SSR nella</w:t>
      </w:r>
      <w:r w:rsidR="00473F93">
        <w:rPr>
          <w:rFonts w:cstheme="minorHAnsi"/>
          <w:color w:val="000000"/>
        </w:rPr>
        <w:t xml:space="preserve"> </w:t>
      </w:r>
      <w:r w:rsidRPr="00AB38A5">
        <w:rPr>
          <w:rFonts w:cstheme="minorHAnsi"/>
          <w:color w:val="000000"/>
        </w:rPr>
        <w:t>definizione di linee di indirizzo comuni secondo le migliori evidenze scientifiche disponibili.</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Relativamente alle modalità di distribuzione dei medicinali, prosegue l’erogazione in forma diretta nell’ambito dell’assistenza domiciliare, residenziale e semiresidenziale e trovano applicazione, e saranno consolidate, le disposizioni di cui alla DGR 12/2018, con cui è stato rinnovato l’accordo con le farmacie aperte </w:t>
      </w:r>
      <w:r w:rsidRPr="00AB38A5">
        <w:rPr>
          <w:rFonts w:cstheme="minorHAnsi"/>
          <w:color w:val="000000"/>
        </w:rPr>
        <w:lastRenderedPageBreak/>
        <w:t>al pubblico in merito alla distribuzione per conto dei medicinali e con cui sono state ridefinite le modalità di erogazione dei medicinali erogati come primo ciclo in seguito a dimissione ospedaliera o dopo visita specialistica ambulatoriale. Le farmacie aperte al pubblico rappresentano un punto importante nell’ambito del SSR, per cui appare prioritario implementare nuove sinergie promuovendo uno sviluppo effettivo della “farmacia dei servizi”.</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È importante che sia fortemente potenziata l’attività di un ente aggregatore della domanda, nel coordinamento e stesura di capitolati tecnici, al fine di perseguire un governo sulle politiche regionali di acquisto dei farmaci e dei dispositivi medici. Dovrà quindi essere superata un’impostazione orientata prevalentemente all’acquisizione dei fabbisogni da parte degli Enti del SSR a favore di un ruolo più pro-attivo nella stesura dei capitolati e nelle politiche di acquisto in linea con le evidenze scientifiche e con i principi dell’HTA e favorendo al contempo una minore variabilità della domanda.</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Le Aziende potenzieranno il monitoraggio e la verifica dell’appropriatezza d’uso dei dispositivi per l’assistenza integrativa, al fine di porre in essere ogni azione utile ad un efficientamento della spesa ed una razionalizzazione dei consumi di tali prodotti.</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Nell’ambito delle azioni volte ad aumentare l’efficienza del sistema sanitario, sarà ulteriormente implementato il sistema di monitoraggio dei consumi farmaceutici a livello distrettuale, dei MMG e delle Aggregazioni Funzionali Territoriali (AFT), già integrato con gli indicatori fissati dall’accordo collettivo nazionale e regionale con la medicina generale, per consentire un’analisi dei consumi farmaceutici (quantità e spesa) dei medicinali erogati tramite le farmacie territoriali, favorendo azioni di benchmarking tra medici, AFT, distretti e aziende sanitarie.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Sul versante specialistico ospedaliero, sarà promosso e condiviso l’impiego dei medicinali dal miglior profilo costoefficacia, in stretto raccordo con le reti di patologia, così da assicurare uniformità di trattamento ai pazienti del territorio regionale. I centri di riferimento per la prescrizione di determinate categorie di medicinali innovativi saranno individuati con l’obiettivo di favorire percorsi prescrittivi in linea con l’organizzazione a rete “hub&amp;spoke”, tenendo conto della struttura organizzativa, del bacino d’utenza e della casistica. </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Appare inoltre prioritario, in collaborazione con il centro di coordinamento regionale per le malattie rare, attuare una regolamentazione dell’assistenza farmaceutica a tutela dei pazienti affetti da tali patologie.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Le attività volte a promuovere un uso sicuro e appropriato dei medicinali (farmacovigilanza) saranno potenziate sia attraverso iniziative formative che attraverso progettualità specifiche proposte dalla Regione e approvate dall’Agenzia</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Italiana del Farmaco in collaborazione con gli Enti del SSR. Inoltre, oltre alle attività del centro regionale di farmacovigilanza, nel 2020 prosegue il progetto regionale pluriennale sulla sicurezza dei medicinali avviato nel corso del 2018 e finanziato con i fondi statali per la farmacovigilanza e che vede coinvolti tutti gli Enti del SSR.</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La Regione continuerà a partecipare al </w:t>
      </w:r>
      <w:r w:rsidRPr="00AB38A5">
        <w:rPr>
          <w:rFonts w:cstheme="minorHAnsi"/>
          <w:b/>
          <w:bCs/>
          <w:i/>
          <w:iCs/>
          <w:color w:val="000000"/>
        </w:rPr>
        <w:t xml:space="preserve">programma di accreditamento </w:t>
      </w:r>
      <w:r w:rsidRPr="00AB38A5">
        <w:rPr>
          <w:rFonts w:cstheme="minorHAnsi"/>
          <w:color w:val="000000"/>
        </w:rPr>
        <w:t>nazionale degli organismi tecnicamente accreditanti (OTA), come previsto dal Ministero della Salute quale presupposto di garanzia della qualità delle cure.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Tale attività coinvolgerà sia la Direzione Centrale competente sia i referenti degli Enti del SSR che fanno parte dell’OTA regionale. La predetta Direzione Centrale avvierà il percorso per gli adempimenti previsti dall’Accordo Stato Regioni n. 16 CSR, del 24 gennaio 2018, in materia di attività di trapianto.</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Sarà avviato il percorso per l’adozione dell’accordo regionale quadro riguardante le strutture intermedie, propedeutico alla stipula degli accordi contrattuali con gli erogatori privati, definiti in coerenza con la programmazione regionale, che determina il fabbisogno e le risorse sulla base di requisiti e valutazioni di comparazione della qualità e dei costi.</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L’</w:t>
      </w:r>
      <w:r w:rsidRPr="00AB38A5">
        <w:rPr>
          <w:rFonts w:cstheme="minorHAnsi"/>
          <w:b/>
          <w:bCs/>
          <w:i/>
          <w:iCs/>
          <w:color w:val="000000"/>
        </w:rPr>
        <w:t xml:space="preserve">assistenza ospedaliera </w:t>
      </w:r>
      <w:r w:rsidRPr="00AB38A5">
        <w:rPr>
          <w:rFonts w:cstheme="minorHAnsi"/>
          <w:color w:val="000000"/>
        </w:rPr>
        <w:t xml:space="preserve">garantisce il ricovero in ospedale per la diagnosi e cura delle malattie che richiedono interventi di urgenza, emergenza, acuzie e, ove necessario, di riabilitazione. Il processo di dimissione inizia con la valutazione accurata del paziente per definire le modalità di passaggio tra ospedale e territorio nel setting assistenziale appropriato, irrinunciabile elemento di qualità del servizio fornito che riduce i disagi di paziente e familiari e limita i ricoveri ospedalieri ripetuti ai casi di effettiva necessità. Una regia flessibile tempestiva e competente, centrata sulla valutazione multidimensionale del “bisogno di salute” della persona, accoglie la domanda, elabora il piano di assistenza, individua un percorso mirato, attiva l’erogazione </w:t>
      </w:r>
      <w:r w:rsidRPr="00AB38A5">
        <w:rPr>
          <w:rFonts w:cstheme="minorHAnsi"/>
          <w:color w:val="000000"/>
        </w:rPr>
        <w:lastRenderedPageBreak/>
        <w:t xml:space="preserve">delle cure e dei servizi necessari nel setting assistenziale più appropriato e valuta i risultati attraverso la gestione delle informazioni. </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È, quindi, fondamentale considerare modalità organizzative nell’erogazione delle prestazioni che evitino il disagio del cittadino determinato dalla frammentazione delle prestazioni e che garantiscano un più elevato livello di sicurezza, con un’attenzione particolare alla valorizzazione delle competenze professionali degli operatori.</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Nell’ottica delineata sono attivati interventi per la riduzione dei posti letto ospedalieri per acuti e incremento della rete dei posti letto di riabilitazione estensiva extra-ospedaliera, lo sviluppo delle strutture intermedie e la riqualificazione delle residenze sanitarie assistenziali, l’implementazione del modello organizzativo per l’assistenza domiciliare, l’accesso alle prestazioni di specialistica ambulatoriale e la gestione dei tempi d'attesa. </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Nel contesto della revisione del sistema trovano, inoltre, realizzazione gli interventi per la riqualificazione delle strutture sanitarie esistenti, la realizzazione di nuove strutture e l’acquisizione di beni e nuove tecnologie.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Proseguiranno le opere per il riordino della rete ospedaliera triestina, quelle per la riqualificazione del polo ospedaliero udinese con realizzazione del nuovo edificio per degenze e servizi sanitari III e IV lotto e per la realizzazione del nuovo Ospedale e Cittadella della salute di Pordenone.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L’attività del Comitato regionale di coordinamento HPH (rete degli ospedali e servizi sanitari che promuovono salute) continuerà secondo un percorso teso ad aumentare il contributo degli ospedali e dei servizi sanitari per migliorare il guadagno di salute attraverso la promozione della salute, in sinergia e in coerenza con quanto strutturato nella rete Cure Sicure.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Si punta ad ottimizzare il tasso di ospedalizzazione, dei ricoveri in day-hospital per acuti con finalità diagnostica e utilizzo del day-surgery, con recupero della fuga extra-regionale di ricovero e di specialistica ambulatoriale.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Le Aziende proseguiranno nella realizzazione dei controlli di verifica dell’appropriatezza delle prestazioni effettuate dagli erogatori pubblici e privati, secondo il piano dei controlli programmato. Proseguiranno le attività dei vari tavoli di lavoro dei professionisti finalizzati alla stesura di documenti tecnico—scientifici di livello regionale; in particolare si intende rivisitare il documento relativo alla rete oncologica al fine di addivenire all’approvazione formale dello stesso.</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Per </w:t>
      </w:r>
      <w:r w:rsidRPr="00AB38A5">
        <w:rPr>
          <w:rFonts w:cstheme="minorHAnsi"/>
          <w:i/>
          <w:iCs/>
          <w:color w:val="000000"/>
        </w:rPr>
        <w:t>l’</w:t>
      </w:r>
      <w:r w:rsidRPr="00AB38A5">
        <w:rPr>
          <w:rFonts w:cstheme="minorHAnsi"/>
          <w:b/>
          <w:bCs/>
          <w:i/>
          <w:iCs/>
          <w:color w:val="000000"/>
        </w:rPr>
        <w:t>analisi economico finanziarie e sulle risorse umane</w:t>
      </w:r>
      <w:r w:rsidRPr="00AB38A5">
        <w:rPr>
          <w:rFonts w:cstheme="minorHAnsi"/>
          <w:color w:val="000000"/>
        </w:rPr>
        <w:t>, in una prospettiva proattiva del controllo si colloca l’adeguamento delle attività di programmazione e controllo del SSR alle esigenze conoscitive funzionali al sistema attraverso la modifica dei contenuti e della tempistica dei report utilizzati.</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Nell’ambito del percorso del riassetto complessivo del SSR delineato dalla recente legge di riforma si intende rimodulare il riparto del finanziamento della spesa sanitaria al fine di tener conto del mutato assetto delle Aziende.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Proseguiranno le attività di monitoraggio sugli enti del SSR, anche al fine di coordinare e uniformare gli interventi relativi alla gestione dei processi amministrativi di maggior rilevanza, nell’ottica dell’introduzione nelle Aziende/Enti di procedure standard e di aggiornamento dei gestionali informativo-amministrativi in uso agli enti del SSR.</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Gli interventi di riordino delle funzioni amministrative verranno condotti e definiti, avvalendosi dell’Azienda regionale di coordinamento per la salute, secondo una regia coordinata e concertata, con l’obiettivo di ridurre la variabilità e la personalizzazione dei comportamenti e favorire l'integrazione professionale ed il coordinamento delle strutture.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Dovrà essere rafforzata la governance coordinata del sistema per le funzioni di programmazione aziendale, gestione e controllo dei costi al fine di assicurare la sostenibilità economica del sistema in rapporto alla garanzia del rispetto dei principi di universalità dell’assistenza sanitaria, accessibilità ed equità delle cure. In tale prospettiva, in particolare, sarà garantita l’operatività di un centro di responsabilità per la gestione accentrata del sistema di finanziamento del SSR (GSA) e le Direzioni generali delle Aziende/Enti saranno ulteriormente responsabilizzate nella governance dei fattori di spesa aziendali attraverso il perfezionamento dell’applicazione del criterio di finanziamento per costi standard.</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A seguito del completamento del nuovo assetto istituzionale e organizzativo del servizio sanitario regionale, la programmazione e la gestione delle politiche assunzionali assumono un ruolo di primo piano nell’ottica di perseguire una più efficiente allocazione delle risorse umane disponibili. In tale ambito si intende provvedere </w:t>
      </w:r>
      <w:r w:rsidRPr="00AB38A5">
        <w:rPr>
          <w:rFonts w:cstheme="minorHAnsi"/>
          <w:color w:val="000000"/>
        </w:rPr>
        <w:lastRenderedPageBreak/>
        <w:t>all’elaborazione di specifiche linee di indirizzo ai fini della predisposizione da parte delle aziende ed enti del SSR del piano triennale dei fabbisogni di personale.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Anche la formazione, considerata come una delle leve manageriali necessarie a gestire e sviluppare le risorse umane di un sistema, come quello sanitario, connotato da elevati tassi di innovazione, costituirà elemento imprescindibile per il</w:t>
      </w:r>
      <w:r w:rsidR="00204050">
        <w:rPr>
          <w:rFonts w:cstheme="minorHAnsi"/>
          <w:color w:val="000000"/>
        </w:rPr>
        <w:t xml:space="preserve"> </w:t>
      </w:r>
      <w:r w:rsidRPr="00AB38A5">
        <w:rPr>
          <w:rFonts w:cstheme="minorHAnsi"/>
          <w:color w:val="000000"/>
        </w:rPr>
        <w:t>change management all’interno del Servizio sanitario regionale.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Sul versante </w:t>
      </w:r>
      <w:r w:rsidRPr="00AB38A5">
        <w:rPr>
          <w:rFonts w:cstheme="minorHAnsi"/>
          <w:b/>
          <w:bCs/>
          <w:i/>
          <w:iCs/>
          <w:color w:val="000000"/>
        </w:rPr>
        <w:t>professioni sanitarie</w:t>
      </w:r>
      <w:r w:rsidRPr="00AB38A5">
        <w:rPr>
          <w:rFonts w:cstheme="minorHAnsi"/>
          <w:color w:val="000000"/>
        </w:rPr>
        <w:t xml:space="preserve">, la Regione formulerà, come ogni anno, le proposte per la determinazione del fabbisogno del personale sanitario sul quale sarà basata la programmazione degli accessi ai corsi di laurea e alle scuole di formazione specialistica da parte del Ministero. </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Conseguentemente, e in coerenza con le necessità espresse, saranno attivati e finanziati corsi di studio delle professioni sanitarie, contratti aggiuntivi regionali di formazione specialistica dei medici e borse di studio per laureati di area sanitaria non medici. Il processo di programmazione e finanziamento richiedono lo svolgimento di attività di controllo e monitoraggio che avranno ad oggetto l’impegno delle risorse e dei costi di partecipazione del SSR alla formazione universitaria integrata delle professioni sanitarie, il sistema di flussi informativi dei professionisti di area sanitaria presenti e attivi sul territorio regionale, nonché le iscrizioni ai corsi di studio universitari ad essi correlati.</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Da ultimo, l’Osservatorio regionale per la formazione medico-specialistica regolerà la formazione medico specialistica con le Università.</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In tale contesto è decisivo il </w:t>
      </w:r>
      <w:r w:rsidRPr="00AB38A5">
        <w:rPr>
          <w:rFonts w:cstheme="minorHAnsi"/>
          <w:b/>
          <w:bCs/>
          <w:i/>
          <w:iCs/>
          <w:color w:val="000000"/>
        </w:rPr>
        <w:t>sistema informativo sulla salute e sulle politiche sociali</w:t>
      </w:r>
      <w:r w:rsidRPr="00AB38A5">
        <w:rPr>
          <w:rFonts w:cstheme="minorHAnsi"/>
          <w:color w:val="000000"/>
        </w:rPr>
        <w:t>.</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In tema di efficienza del Sistema sanitario, i piani di intervento sono principalmente due: l’appropriatezza prescrittiva, clinica e organizzativa, con particolare attenzione al mantenimento ed incremento dei livelli qualitativi e di sicurezza per il paziente/cittadino, e l’impiego efficace delle risorse disponibili.</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Tutto questo in una logica di recupero e riutilizzo di ogni informazione necessaria al corretto svolgimento delle funzioni, che si dividono secondo due tipologie: informazioni sul sistema e informazioni per il sistema.</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Per rispondere alla necessità di “Informazione sul Sistema”, si completerà progressivamente il Data WareHouse sanitario esistente con i dati rilevati sul campo (survey) tanto di livello nazionale che regionale. </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Gli strumenti di Business Intelligence saranno in grado di far ottenere analisi secondo un profilo stratificato conseguente alle specifiche rappresentazioni necessarie (retrospettive, prospettiche, ipotesi alternative, ecc.).</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Lo sviluppo del Sistema Informativo è strategico per il SSR non solo per gli operatori sanitari, ma per la diffusione sul territorio di servizi e funzioni finora riservate agli ospedali, puntando sui percorsi di cura e salute. </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Lo sviluppo del Sistema Informativo Integrato Regionale (SIIR) si articola nell’ambito della Sanità Digitale (SD), che ha come linee guida l’Agenda Digitale Italiana (ADI), coerente con l’Agenda Digitale Europea, ed il Patto per la sanità digitale.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xml:space="preserve">Nell’attuale contesto, che vede il potenziamento dell’assistenza primaria e l’articolazione della rete ospedaliera in hub&amp;spoke, la </w:t>
      </w:r>
      <w:r w:rsidRPr="00AB38A5">
        <w:rPr>
          <w:rFonts w:cstheme="minorHAnsi"/>
          <w:b/>
          <w:bCs/>
          <w:i/>
          <w:iCs/>
          <w:color w:val="000000"/>
        </w:rPr>
        <w:t xml:space="preserve">Sanità Digitale </w:t>
      </w:r>
      <w:r w:rsidRPr="00AB38A5">
        <w:rPr>
          <w:rFonts w:cstheme="minorHAnsi"/>
          <w:color w:val="000000"/>
        </w:rPr>
        <w:t>svolge un ruolo chiave nell’evoluzione dei modelli assistenziali ed organizzativi quale fattore facilitante e abilitante per la loro realizzazione, diventando quindi uno strumento efficiente per garantire la continuità di cura e la semplificazione dei rapporti con i cittadini.</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Tenendo quindi presenti i temi chiave della “Sanità Digitale”, particolare impegno verrà rivolto a:</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rinnovamento delle principali procedure amministrative in utilizzo presso le Aziende/Enti del SSR negli ambiti della Gestione Risorse Umane, Gestione Economico Finanziaria e Formazione: per la parte finanziaria si potenzieranno le attività di monitoraggio e di verifica delle procedure esistenti nell’ottica dell’introduzione nelle aziende di procedure standard in relazione al percorso di certificabilità di bilancio;</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rinnovamento della Cartella Clinica Elettronica in uso presso le Aziende/Enti del SSR attraverso una revisione puntuale dei sistemi informatici specialistici (ad esempio la cartella oncologica);</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predisposizione delle opportune soluzioni informatiche atte a supportare in maniera uniforme la maggior parte dei processi di cura che si svolgono in ambito ospedaliero-territoriale in modo da far circolare le informazioni del paziente fra tutti i soggetti coinvolti nel processo come se fossero parte di uno stesso reparto virtuale (ad esempio la gestione dei distretti);</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potenziamento delle soluzioni multicanale tecnologicamente avanzate, attraverso la piattaforma digitale denominata SE.SA.MO. in modo tale da ridurre la distanza tra cittadino e SSR;</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lastRenderedPageBreak/>
        <w:t>- ampliamento delle funzionalità del Fascicolo Sanitario Elettronico (FSE) per l’intera popolazione residente in FVG, per favorire l’autonomia del cittadino nella scelta delle informazioni da rendere disponibili agli operatori che lo assistono o lo assisteranno in futuro nel percorso di assistenza e cura;</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fruibilità del FSE da parte degli operatori sanitari coinvolti nel percorso clinico-assistenziale dei cittadini: medici di medicina generale e pediatri di libera scelta, operatori della continuità assistenziale, specialisti ospedalieri, ecc.;</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analisi, progettazione e configurazione dei percorsi diagnostico terapeutici assistenziale, cosiddetti PDTA, attraverso dei modelli specifici per il territorio che contestualizzano le Linee Guida rispetto all'organizzazione di un’azienda sanitaria/regione, tenendo conto delle risorse disponibili e garantendo i Livelli Essenziali di Assistenza (LEA) emanati dal governo;</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sviluppo delle sinergie con le farmacie per una maggiore integrazione delle stesse nel SSR, al fine di ampliare l’offerta dei servizi rivolta ai cittadini;</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rinnovamento della soluzione informatica del Sistema dell’Emergenza Sanitaria della Regione, collegato con il Numero Unico per le Emergenze (NUE);</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completamento del Sistema Informativo per l’Assistenza veterinaria della Regione Autonoma FVG;</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estensione del modello dati e Data WareHouse (inclusi ETL) finalizzati ad un ampliamento degli ambiti d’uso dei sistemi di Business Intelligence a supporto delle analisi dati in modalità dinamica su tutto il patrimonio informativo del Sistema Informativo del SSR;</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potenziamento dell’l’infrastruttura di Information and Communication Technology (ICT) esistente, in particolare per la parte clinico/sanitaria;</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implementazione della Business Continuity e del Disaster Recovery al fine di garantire la continuità dei servizi informatici delle Aziende del SSR e degli strumenti gestionali sanitari messi a disposizione dei cittadini;</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 verifica della compliance delle soluzioni informatiche e informative disponibili in ambito SIIR ai dettami della Circolare 18 aprile 2017, n. 2, recante Misure minime di sicurezza ICT per le Pubbliche Amministrazioni (Direttiva del Presidente del Consiglio dei ministri 1° agosto 2015) ed al Regolamento generale per la protezione dei dati personali n. 2016/679 (General Data Protection Regulation o GDPR) entrato in vigore in data 25 maggio 2018.</w:t>
      </w:r>
    </w:p>
    <w:p w:rsidR="00190919" w:rsidRPr="00AB38A5" w:rsidRDefault="00190919" w:rsidP="00190919">
      <w:pPr>
        <w:autoSpaceDE w:val="0"/>
        <w:autoSpaceDN w:val="0"/>
        <w:adjustRightInd w:val="0"/>
        <w:spacing w:after="0" w:line="20" w:lineRule="atLeast"/>
        <w:jc w:val="both"/>
        <w:rPr>
          <w:rFonts w:cstheme="minorHAnsi"/>
          <w:color w:val="000000"/>
        </w:rPr>
      </w:pPr>
      <w:r w:rsidRPr="00AB38A5">
        <w:rPr>
          <w:rFonts w:cstheme="minorHAnsi"/>
          <w:color w:val="000000"/>
        </w:rPr>
        <w:t>Si devono prevedere anche azioni di revisione e supporto dei sistemi informativi esistenti nel SSR alla luce del riassetto organizzativo derivante dall’applicazione delle legge di riordino del SSR.</w:t>
      </w:r>
    </w:p>
    <w:p w:rsidR="00190919" w:rsidRDefault="00190919" w:rsidP="00190919">
      <w:pPr>
        <w:spacing w:after="0" w:line="20" w:lineRule="atLeast"/>
        <w:jc w:val="both"/>
        <w:rPr>
          <w:rFonts w:cstheme="minorHAnsi"/>
        </w:rPr>
      </w:pPr>
      <w:r w:rsidRPr="00AB38A5">
        <w:rPr>
          <w:rFonts w:cstheme="minorHAnsi"/>
          <w:color w:val="000000"/>
        </w:rPr>
        <w:t>Tutti gli sviluppi dei nuovi sistemi o di nuove funzioni devono tenere conto della continua evoluzione delle tecnologie informatiche, adeguandosi agli standard di interoperabilità più avanzati tra i diversi sistemi, per consentire una visione integrata ed immediata delle informazioni da parte dell’utente finale</w:t>
      </w:r>
    </w:p>
    <w:p w:rsidR="00BC1888" w:rsidRDefault="00BC1888" w:rsidP="002D3826">
      <w:pPr>
        <w:spacing w:after="0" w:line="20" w:lineRule="atLeast"/>
        <w:jc w:val="both"/>
        <w:rPr>
          <w:rFonts w:eastAsia="Times New Roman" w:cstheme="minorHAnsi"/>
          <w:b/>
          <w:bCs/>
          <w:color w:val="515151"/>
          <w:kern w:val="36"/>
          <w:lang w:eastAsia="it-IT"/>
        </w:rPr>
      </w:pPr>
    </w:p>
    <w:p w:rsidR="006306B5" w:rsidRDefault="006306B5" w:rsidP="006306B5">
      <w:pPr>
        <w:spacing w:after="0" w:line="20" w:lineRule="atLeast"/>
        <w:jc w:val="center"/>
        <w:rPr>
          <w:rFonts w:ascii="Broadway" w:hAnsi="Broadway" w:cstheme="majorHAnsi"/>
          <w:b/>
          <w:sz w:val="40"/>
          <w:szCs w:val="40"/>
        </w:rPr>
      </w:pPr>
      <w:r>
        <w:rPr>
          <w:rFonts w:ascii="Broadway" w:hAnsi="Broadway" w:cstheme="majorHAnsi"/>
          <w:b/>
          <w:sz w:val="40"/>
          <w:szCs w:val="40"/>
        </w:rPr>
        <w:t>LAZIO</w:t>
      </w:r>
    </w:p>
    <w:p w:rsidR="006306B5" w:rsidRDefault="006306B5" w:rsidP="002D3826">
      <w:pPr>
        <w:spacing w:after="0" w:line="20" w:lineRule="atLeast"/>
        <w:jc w:val="both"/>
        <w:rPr>
          <w:rFonts w:eastAsia="Times New Roman" w:cstheme="minorHAnsi"/>
          <w:b/>
          <w:bCs/>
          <w:color w:val="515151"/>
          <w:kern w:val="36"/>
          <w:lang w:eastAsia="it-IT"/>
        </w:rPr>
      </w:pPr>
    </w:p>
    <w:p w:rsidR="006306B5" w:rsidRDefault="006306B5" w:rsidP="006306B5">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eastAsia="Times New Roman" w:cstheme="minorHAnsi"/>
          <w:b/>
          <w:bCs/>
          <w:color w:val="515151"/>
          <w:kern w:val="36"/>
          <w:lang w:eastAsia="it-IT"/>
        </w:rPr>
      </w:pPr>
      <w:r>
        <w:rPr>
          <w:rFonts w:eastAsia="Times New Roman" w:cstheme="minorHAnsi"/>
          <w:b/>
          <w:bCs/>
          <w:color w:val="515151"/>
          <w:kern w:val="36"/>
          <w:lang w:eastAsia="it-IT"/>
        </w:rPr>
        <w:t>AMMINISTRAZIONE REGIONALE</w:t>
      </w:r>
    </w:p>
    <w:p w:rsidR="006306B5" w:rsidRDefault="006306B5" w:rsidP="006306B5">
      <w:pPr>
        <w:autoSpaceDE w:val="0"/>
        <w:autoSpaceDN w:val="0"/>
        <w:adjustRightInd w:val="0"/>
        <w:spacing w:after="0" w:line="20" w:lineRule="atLeast"/>
        <w:jc w:val="both"/>
        <w:rPr>
          <w:rFonts w:cstheme="minorHAnsi"/>
          <w:b/>
          <w:color w:val="000000"/>
        </w:rPr>
      </w:pP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cstheme="minorHAnsi"/>
          <w:b/>
          <w:color w:val="000000"/>
        </w:rPr>
        <w:t>DGR 23 luglio 2019, n. 491</w:t>
      </w:r>
      <w:r w:rsidRPr="00B73FD1">
        <w:rPr>
          <w:rFonts w:cstheme="minorHAnsi"/>
          <w:color w:val="000000"/>
        </w:rPr>
        <w:t xml:space="preserve">, Piano della performance 2019 - 2021. (BUR n. </w:t>
      </w:r>
      <w:proofErr w:type="gramStart"/>
      <w:r w:rsidRPr="00B73FD1">
        <w:rPr>
          <w:rFonts w:cstheme="minorHAnsi"/>
          <w:color w:val="000000"/>
        </w:rPr>
        <w:t>65  del</w:t>
      </w:r>
      <w:proofErr w:type="gramEnd"/>
      <w:r w:rsidRPr="00B73FD1">
        <w:rPr>
          <w:rFonts w:cstheme="minorHAnsi"/>
          <w:color w:val="000000"/>
        </w:rPr>
        <w:t xml:space="preserve"> 13.8.19)</w:t>
      </w:r>
    </w:p>
    <w:p w:rsidR="006306B5" w:rsidRPr="00B73FD1" w:rsidRDefault="006306B5" w:rsidP="006306B5">
      <w:pPr>
        <w:autoSpaceDE w:val="0"/>
        <w:autoSpaceDN w:val="0"/>
        <w:adjustRightInd w:val="0"/>
        <w:spacing w:after="0" w:line="20" w:lineRule="atLeast"/>
        <w:jc w:val="both"/>
        <w:rPr>
          <w:rFonts w:cstheme="minorHAnsi"/>
          <w:b/>
          <w:color w:val="000000"/>
        </w:rPr>
      </w:pPr>
      <w:r w:rsidRPr="00B73FD1">
        <w:rPr>
          <w:rFonts w:cstheme="minorHAnsi"/>
          <w:b/>
          <w:color w:val="000000"/>
        </w:rPr>
        <w:t>Note</w:t>
      </w: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cstheme="minorHAnsi"/>
          <w:color w:val="000000"/>
        </w:rPr>
        <w:t>Nelle more dell</w:t>
      </w:r>
      <w:r>
        <w:rPr>
          <w:rFonts w:cstheme="minorHAnsi"/>
          <w:color w:val="000000"/>
        </w:rPr>
        <w:t>’</w:t>
      </w:r>
      <w:r w:rsidRPr="00B73FD1">
        <w:rPr>
          <w:rFonts w:cstheme="minorHAnsi"/>
          <w:color w:val="000000"/>
        </w:rPr>
        <w:t>adozione del presente provvedimento, i dirigenti apicali hanno indirizzato le attività delle proprie articolazioni organizzative verso il raggiungimento di</w:t>
      </w:r>
    </w:p>
    <w:p w:rsidR="006306B5" w:rsidRPr="00B73FD1" w:rsidRDefault="006306B5" w:rsidP="006306B5">
      <w:pPr>
        <w:autoSpaceDE w:val="0"/>
        <w:autoSpaceDN w:val="0"/>
        <w:adjustRightInd w:val="0"/>
        <w:spacing w:after="0" w:line="20" w:lineRule="atLeast"/>
        <w:jc w:val="both"/>
        <w:rPr>
          <w:rFonts w:cstheme="minorHAnsi"/>
          <w:color w:val="000000"/>
        </w:rPr>
      </w:pPr>
      <w:proofErr w:type="gramStart"/>
      <w:r w:rsidRPr="00B73FD1">
        <w:rPr>
          <w:rFonts w:cstheme="minorHAnsi"/>
          <w:color w:val="000000"/>
        </w:rPr>
        <w:t>finalità</w:t>
      </w:r>
      <w:proofErr w:type="gramEnd"/>
      <w:r w:rsidRPr="00B73FD1">
        <w:rPr>
          <w:rFonts w:cstheme="minorHAnsi"/>
          <w:color w:val="000000"/>
        </w:rPr>
        <w:t xml:space="preserve"> rilevabili dai suindicati atti programmatici.</w:t>
      </w: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cstheme="minorHAnsi"/>
          <w:color w:val="000000"/>
        </w:rPr>
        <w:t>Rispetto alla definizione degli obiettivi di cui all</w:t>
      </w:r>
      <w:r>
        <w:rPr>
          <w:rFonts w:cstheme="minorHAnsi"/>
          <w:color w:val="000000"/>
        </w:rPr>
        <w:t>’</w:t>
      </w:r>
      <w:r w:rsidRPr="00B73FD1">
        <w:rPr>
          <w:rFonts w:cstheme="minorHAnsi"/>
          <w:color w:val="000000"/>
        </w:rPr>
        <w:t xml:space="preserve">Allegato tecnico del Piano della </w:t>
      </w:r>
      <w:r w:rsidRPr="00B73FD1">
        <w:rPr>
          <w:rFonts w:cstheme="minorHAnsi"/>
          <w:i/>
          <w:iCs/>
          <w:color w:val="000000"/>
        </w:rPr>
        <w:t xml:space="preserve">performance </w:t>
      </w:r>
      <w:r w:rsidRPr="00B73FD1">
        <w:rPr>
          <w:rFonts w:cstheme="minorHAnsi"/>
          <w:color w:val="000000"/>
        </w:rPr>
        <w:t>2019 – 2021, è stata effettuata, in data 5 luglio 2019, la verifica di coerenza</w:t>
      </w:r>
    </w:p>
    <w:p w:rsidR="006306B5" w:rsidRPr="00B73FD1" w:rsidRDefault="006306B5" w:rsidP="006306B5">
      <w:pPr>
        <w:autoSpaceDE w:val="0"/>
        <w:autoSpaceDN w:val="0"/>
        <w:adjustRightInd w:val="0"/>
        <w:spacing w:after="0" w:line="20" w:lineRule="atLeast"/>
        <w:jc w:val="both"/>
        <w:rPr>
          <w:rFonts w:cstheme="minorHAnsi"/>
          <w:color w:val="000000"/>
        </w:rPr>
      </w:pPr>
      <w:proofErr w:type="gramStart"/>
      <w:r w:rsidRPr="00B73FD1">
        <w:rPr>
          <w:rFonts w:cstheme="minorHAnsi"/>
          <w:color w:val="000000"/>
        </w:rPr>
        <w:t>interna</w:t>
      </w:r>
      <w:proofErr w:type="gramEnd"/>
      <w:r w:rsidRPr="00B73FD1">
        <w:rPr>
          <w:rFonts w:cstheme="minorHAnsi"/>
          <w:color w:val="000000"/>
        </w:rPr>
        <w:t xml:space="preserve"> ed esterna da parte dell</w:t>
      </w:r>
      <w:r>
        <w:rPr>
          <w:rFonts w:cstheme="minorHAnsi"/>
          <w:color w:val="000000"/>
        </w:rPr>
        <w:t>’</w:t>
      </w:r>
      <w:r w:rsidRPr="00B73FD1">
        <w:rPr>
          <w:rFonts w:cstheme="minorHAnsi"/>
          <w:color w:val="000000"/>
        </w:rPr>
        <w:t>Organismo Indipendente di Valutazione, di cui al Decreto del Presidente della Regione Lazio 4 novembre 2016, n. T00215.</w:t>
      </w: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cstheme="minorHAnsi"/>
          <w:color w:val="000000"/>
        </w:rPr>
        <w:t xml:space="preserve">Vine adottato il “Piano della </w:t>
      </w:r>
      <w:r w:rsidRPr="00B73FD1">
        <w:rPr>
          <w:rFonts w:cstheme="minorHAnsi"/>
          <w:i/>
          <w:iCs/>
          <w:color w:val="000000"/>
        </w:rPr>
        <w:t xml:space="preserve">performance </w:t>
      </w:r>
      <w:r w:rsidRPr="00B73FD1">
        <w:rPr>
          <w:rFonts w:cstheme="minorHAnsi"/>
          <w:color w:val="000000"/>
        </w:rPr>
        <w:t>2019 – 2021” con il relativo “Allegato Tecnico” che costituisce parte integrante e sostanziale della presente deliberazione.</w:t>
      </w:r>
    </w:p>
    <w:p w:rsidR="006306B5" w:rsidRPr="00B73FD1" w:rsidRDefault="006306B5" w:rsidP="006306B5">
      <w:pPr>
        <w:autoSpaceDE w:val="0"/>
        <w:autoSpaceDN w:val="0"/>
        <w:adjustRightInd w:val="0"/>
        <w:spacing w:after="0" w:line="20" w:lineRule="atLeast"/>
        <w:jc w:val="both"/>
        <w:rPr>
          <w:rFonts w:cstheme="minorHAnsi"/>
          <w:b/>
          <w:bCs/>
          <w:color w:val="1C70BA"/>
        </w:rPr>
      </w:pPr>
      <w:r w:rsidRPr="00B73FD1">
        <w:rPr>
          <w:rFonts w:cstheme="minorHAnsi"/>
          <w:b/>
          <w:bCs/>
          <w:color w:val="1C70BA"/>
        </w:rPr>
        <w:t>1. Sintesi delle informazioni di interesse</w:t>
      </w:r>
    </w:p>
    <w:p w:rsidR="006306B5" w:rsidRPr="00B73FD1" w:rsidRDefault="006306B5" w:rsidP="006306B5">
      <w:pPr>
        <w:autoSpaceDE w:val="0"/>
        <w:autoSpaceDN w:val="0"/>
        <w:adjustRightInd w:val="0"/>
        <w:spacing w:after="0" w:line="20" w:lineRule="atLeast"/>
        <w:jc w:val="both"/>
        <w:rPr>
          <w:rFonts w:cstheme="minorHAnsi"/>
          <w:b/>
          <w:bCs/>
          <w:color w:val="1C70BA"/>
        </w:rPr>
      </w:pPr>
      <w:r w:rsidRPr="00B73FD1">
        <w:rPr>
          <w:rFonts w:cstheme="minorHAnsi"/>
          <w:b/>
          <w:bCs/>
          <w:color w:val="1C70BA"/>
        </w:rPr>
        <w:t>1.1</w:t>
      </w:r>
      <w:r w:rsidRPr="00B73FD1">
        <w:rPr>
          <w:rFonts w:ascii="Calibri" w:hAnsi="Calibri" w:cs="Calibri"/>
          <w:b/>
          <w:bCs/>
          <w:color w:val="1C70BA"/>
        </w:rPr>
        <w:t>􀀃</w:t>
      </w:r>
      <w:r w:rsidRPr="00B73FD1">
        <w:rPr>
          <w:rFonts w:cstheme="minorHAnsi"/>
          <w:b/>
          <w:bCs/>
          <w:color w:val="1C70BA"/>
        </w:rPr>
        <w:t xml:space="preserve"> Chi siamo</w:t>
      </w: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cstheme="minorHAnsi"/>
          <w:color w:val="000000"/>
        </w:rPr>
        <w:t>La Regione Lazio costituisce un’articolazione territoriale della Repubblica Italiana.</w:t>
      </w: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cstheme="minorHAnsi"/>
          <w:color w:val="000000"/>
        </w:rPr>
        <w:lastRenderedPageBreak/>
        <w:t>Si tratta di un Ente autonomo con proprio Statuto e con poteri e funzioni da esercitarsi in base ai principi fissati dalla Costituzione. L’autonomia della Regione si manifesta nell’esercizio della potestà legislativa, regolamentare e amministrativa, oltre che nell’attribuzione di tributi ed entrate proprie, nel disporre di un proprio demanio e di un</w:t>
      </w:r>
      <w:r>
        <w:rPr>
          <w:rFonts w:cstheme="minorHAnsi"/>
          <w:color w:val="000000"/>
        </w:rPr>
        <w:t xml:space="preserve"> </w:t>
      </w:r>
      <w:r w:rsidRPr="00B73FD1">
        <w:rPr>
          <w:rFonts w:cstheme="minorHAnsi"/>
          <w:color w:val="000000"/>
        </w:rPr>
        <w:t>proprio patrimonio.</w:t>
      </w: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cstheme="minorHAnsi"/>
          <w:color w:val="000000"/>
        </w:rPr>
        <w:t>Lo Statuto determina la forma di governo ed i principi fondamentali di organizzazione e funzionamento della Regione Lazio. In particolare, gli organi della Regione sono:</w:t>
      </w: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ascii="Calibri" w:hAnsi="Calibri" w:cs="Calibri"/>
          <w:color w:val="000000"/>
        </w:rPr>
        <w:t>􀂃􀀃</w:t>
      </w:r>
      <w:r w:rsidRPr="00B73FD1">
        <w:rPr>
          <w:rFonts w:cstheme="minorHAnsi"/>
          <w:color w:val="000000"/>
        </w:rPr>
        <w:t xml:space="preserve"> Consiglio regionale, che esercita la funzione legislativa attribuita dalla Costituzione alla Regione; concorre a determinare l’indirizzo politico regionale e svolge le funzioni di</w:t>
      </w:r>
      <w:r>
        <w:rPr>
          <w:rFonts w:cstheme="minorHAnsi"/>
          <w:color w:val="000000"/>
        </w:rPr>
        <w:t xml:space="preserve"> </w:t>
      </w:r>
      <w:r w:rsidRPr="00B73FD1">
        <w:rPr>
          <w:rFonts w:cstheme="minorHAnsi"/>
          <w:color w:val="000000"/>
        </w:rPr>
        <w:t>controllo sull’attività dell’esecutivo.</w:t>
      </w: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ascii="Calibri" w:hAnsi="Calibri" w:cs="Calibri"/>
          <w:color w:val="000000"/>
        </w:rPr>
        <w:t>􀂃􀀃</w:t>
      </w:r>
      <w:r w:rsidRPr="00B73FD1">
        <w:rPr>
          <w:rFonts w:cstheme="minorHAnsi"/>
          <w:color w:val="000000"/>
        </w:rPr>
        <w:t xml:space="preserve"> Presidente della Regione, che rappresenta la Regione, dirige la politica dell’Esecutivo, convoca, presiede e dirige la Giunta regionale della cui azione è responsabile.</w:t>
      </w: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ascii="Calibri" w:hAnsi="Calibri" w:cs="Calibri"/>
          <w:color w:val="000000"/>
        </w:rPr>
        <w:t>􀂃􀀃</w:t>
      </w:r>
      <w:r w:rsidRPr="00B73FD1">
        <w:rPr>
          <w:rFonts w:cstheme="minorHAnsi"/>
          <w:color w:val="000000"/>
        </w:rPr>
        <w:t xml:space="preserve"> Giunta regionale, che è l’organo esecutivo della Regione, realizza gli obiettivi stabiliti nel programma politico e amministrativo del Presidente della Regione e negli atti di indirizzo del Consiglio regionale ed esercita la funzione regolamentare nelle materie di competenza legislativa della Regione e le funzioni amministrative riservate o conferite alla Regione.</w:t>
      </w: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cstheme="minorHAnsi"/>
          <w:color w:val="000000"/>
        </w:rPr>
        <w:t>Lo Statuto prevede, inoltre, che la Giunta regionale eserciti le funzioni amministrative concernenti:</w:t>
      </w: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ascii="Calibri" w:hAnsi="Calibri" w:cs="Calibri"/>
          <w:color w:val="000000"/>
        </w:rPr>
        <w:t>􀁸􀀃</w:t>
      </w:r>
      <w:r w:rsidRPr="00B73FD1">
        <w:rPr>
          <w:rFonts w:cstheme="minorHAnsi"/>
          <w:color w:val="000000"/>
        </w:rPr>
        <w:t xml:space="preserve"> adozione dei provvedimenti generali attuativi degli strumenti della programmazione</w:t>
      </w:r>
      <w:r>
        <w:rPr>
          <w:rFonts w:cstheme="minorHAnsi"/>
          <w:color w:val="000000"/>
        </w:rPr>
        <w:t xml:space="preserve"> </w:t>
      </w:r>
      <w:r w:rsidRPr="00B73FD1">
        <w:rPr>
          <w:rFonts w:cstheme="minorHAnsi"/>
          <w:color w:val="000000"/>
        </w:rPr>
        <w:t>economico-sociale e della pianificazione territoriale regionale approvati dal Consiglio;</w:t>
      </w: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ascii="Calibri" w:hAnsi="Calibri" w:cs="Calibri"/>
          <w:color w:val="000000"/>
        </w:rPr>
        <w:t>􀁸􀀃</w:t>
      </w:r>
      <w:r w:rsidRPr="00B73FD1">
        <w:rPr>
          <w:rFonts w:cstheme="minorHAnsi"/>
          <w:color w:val="000000"/>
        </w:rPr>
        <w:t xml:space="preserve"> direttive per la raccolta e l’elaborazione, con la collaborazione degli enti locali, delle</w:t>
      </w:r>
      <w:r>
        <w:rPr>
          <w:rFonts w:cstheme="minorHAnsi"/>
          <w:color w:val="000000"/>
        </w:rPr>
        <w:t xml:space="preserve"> </w:t>
      </w:r>
      <w:r w:rsidRPr="00B73FD1">
        <w:rPr>
          <w:rFonts w:cstheme="minorHAnsi"/>
          <w:color w:val="000000"/>
        </w:rPr>
        <w:t>informazioni utili all’esercizio delle funzioni amministrative o derivanti da esso;</w:t>
      </w: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ascii="Calibri" w:hAnsi="Calibri" w:cs="Calibri"/>
          <w:color w:val="000000"/>
        </w:rPr>
        <w:t>􀁸􀀃</w:t>
      </w:r>
      <w:r w:rsidRPr="00B73FD1">
        <w:rPr>
          <w:rFonts w:cstheme="minorHAnsi"/>
          <w:color w:val="000000"/>
        </w:rPr>
        <w:t xml:space="preserve"> verifica complessiva dell’efficacia e dell’efficienza dell’azione amministrativa nell’ambito del territorio laziale, in relazione al perseguimento degli obiettivi della programmazione regionale ed alla realizzazione di interventi finanziati dalla Regione.</w:t>
      </w:r>
    </w:p>
    <w:p w:rsidR="006306B5" w:rsidRPr="00B73FD1" w:rsidRDefault="006306B5" w:rsidP="006306B5">
      <w:pPr>
        <w:autoSpaceDE w:val="0"/>
        <w:autoSpaceDN w:val="0"/>
        <w:adjustRightInd w:val="0"/>
        <w:spacing w:after="0" w:line="20" w:lineRule="atLeast"/>
        <w:jc w:val="both"/>
        <w:rPr>
          <w:rFonts w:cstheme="minorHAnsi"/>
          <w:b/>
          <w:bCs/>
          <w:color w:val="1C70BA"/>
        </w:rPr>
      </w:pPr>
      <w:r w:rsidRPr="00B73FD1">
        <w:rPr>
          <w:rFonts w:cstheme="minorHAnsi"/>
          <w:b/>
          <w:bCs/>
          <w:color w:val="1C70BA"/>
        </w:rPr>
        <w:t>ORGANIZZAZIONE INTERNA</w:t>
      </w: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cstheme="minorHAnsi"/>
          <w:color w:val="000000"/>
        </w:rPr>
        <w:t>Il sistema organizzativo della Giunta regionale è disciplinato dalla legge regionale 18 febbraio 2002, n. 6,6 e dal regolamento regionale 6 settembre 2002, n. 1.7 La citata legge regionale n. 6/2002 prevede la distribuzione delle attività amministrative fra organi di governo e dirigenza regionale, distinguendo le attività attinenti all’indirizzo e al controllo dalle attività attinenti alla gestione. Tale concetto viene ribadito nel regolamento di organizzazione, che all’articolo 2 stabilisce: “Le attività amministrative della Regione sono esercitate dagli organi di governo e dai dirigenti secondo le competenze e le responsabilità a questi attribuite dallo Statuto, dalla legge e dal presente regolamento”.</w:t>
      </w: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cstheme="minorHAnsi"/>
          <w:color w:val="000000"/>
        </w:rPr>
        <w:t>Le attività attinenti all’indirizzo ed al controllo sono attribuite agli organi di governo, che le esercitano con atti di programmazione, di indirizzo e direttiva e mediante controlli e valutazioni.</w:t>
      </w: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cstheme="minorHAnsi"/>
          <w:color w:val="000000"/>
        </w:rPr>
        <w:t>In particolare, l’attività di indirizzo consiste nella determinazione degli obiettivi e delle finalità, dei tempi e dei risultati attesi dall’azione amministrativa e nell’allocazione delle risorse in relazione ai programmi ed agli obiettivi.</w:t>
      </w: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cstheme="minorHAnsi"/>
          <w:color w:val="000000"/>
        </w:rPr>
        <w:t>L’attività di controllo consiste nella comparazione tra obiettivi, tempi e risultati programmati e quelli effettivamente conseguiti, tenuto conto delle condizioni organizzative e delle risorse disponibili.</w:t>
      </w: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cstheme="minorHAnsi"/>
          <w:color w:val="000000"/>
        </w:rPr>
        <w:t>Le attività attinenti alla gestione sono, invece, attribuite ai dirigenti che le esercitano mediante atti/provvedimenti amministrativi, nonché atti di diritto privato.</w:t>
      </w: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cstheme="minorHAnsi"/>
          <w:color w:val="000000"/>
        </w:rPr>
        <w:t>Al fine di garantire l’esercizio dell’attività di indirizzo politico-amministrativo e di verifica dei risultati della Giunta regionale, ai sensi dell’articolo 12 della legge di</w:t>
      </w:r>
    </w:p>
    <w:p w:rsidR="006306B5" w:rsidRPr="00B73FD1" w:rsidRDefault="006306B5" w:rsidP="006306B5">
      <w:pPr>
        <w:autoSpaceDE w:val="0"/>
        <w:autoSpaceDN w:val="0"/>
        <w:adjustRightInd w:val="0"/>
        <w:spacing w:after="0" w:line="20" w:lineRule="atLeast"/>
        <w:jc w:val="both"/>
        <w:rPr>
          <w:rFonts w:cstheme="minorHAnsi"/>
          <w:color w:val="1C70BA"/>
        </w:rPr>
      </w:pPr>
      <w:proofErr w:type="gramStart"/>
      <w:r w:rsidRPr="00B73FD1">
        <w:rPr>
          <w:rFonts w:cstheme="minorHAnsi"/>
          <w:color w:val="000000"/>
        </w:rPr>
        <w:t>organizzazione</w:t>
      </w:r>
      <w:proofErr w:type="gramEnd"/>
      <w:r w:rsidRPr="00B73FD1">
        <w:rPr>
          <w:rFonts w:cstheme="minorHAnsi"/>
          <w:color w:val="000000"/>
        </w:rPr>
        <w:t xml:space="preserve">, sono istituite </w:t>
      </w:r>
      <w:r w:rsidRPr="00B73FD1">
        <w:rPr>
          <w:rFonts w:cstheme="minorHAnsi"/>
          <w:color w:val="1C70BA"/>
        </w:rPr>
        <w:t>le strutture di diretta collaborazione:8</w:t>
      </w: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cstheme="minorHAnsi"/>
          <w:b/>
          <w:bCs/>
          <w:color w:val="1C70BA"/>
        </w:rPr>
        <w:t xml:space="preserve">a) Ufficio di gabinetto del Presidente, </w:t>
      </w:r>
      <w:r w:rsidRPr="00B73FD1">
        <w:rPr>
          <w:rFonts w:cstheme="minorHAnsi"/>
          <w:color w:val="000000"/>
        </w:rPr>
        <w:t>nel cui ambito sono organizzate le seguenti</w:t>
      </w:r>
    </w:p>
    <w:p w:rsidR="006306B5" w:rsidRPr="00B73FD1" w:rsidRDefault="006306B5" w:rsidP="006306B5">
      <w:pPr>
        <w:autoSpaceDE w:val="0"/>
        <w:autoSpaceDN w:val="0"/>
        <w:adjustRightInd w:val="0"/>
        <w:spacing w:after="0" w:line="20" w:lineRule="atLeast"/>
        <w:jc w:val="both"/>
        <w:rPr>
          <w:rFonts w:cstheme="minorHAnsi"/>
          <w:color w:val="000000"/>
        </w:rPr>
      </w:pPr>
      <w:proofErr w:type="gramStart"/>
      <w:r w:rsidRPr="00B73FD1">
        <w:rPr>
          <w:rFonts w:cstheme="minorHAnsi"/>
          <w:color w:val="000000"/>
        </w:rPr>
        <w:t>strutture</w:t>
      </w:r>
      <w:proofErr w:type="gramEnd"/>
      <w:r w:rsidRPr="00B73FD1">
        <w:rPr>
          <w:rFonts w:cstheme="minorHAnsi"/>
          <w:color w:val="000000"/>
        </w:rPr>
        <w:t xml:space="preserve"> autonome:</w:t>
      </w: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ascii="Calibri" w:hAnsi="Calibri" w:cs="Calibri"/>
          <w:color w:val="000000"/>
        </w:rPr>
        <w:t>􀀃</w:t>
      </w: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cstheme="minorHAnsi"/>
          <w:color w:val="000000"/>
        </w:rPr>
        <w:t>1. cerimoniale;</w:t>
      </w: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cstheme="minorHAnsi"/>
          <w:color w:val="000000"/>
        </w:rPr>
        <w:t>2. relazioni internazionali e affari comunitari;</w:t>
      </w: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cstheme="minorHAnsi"/>
          <w:color w:val="000000"/>
        </w:rPr>
        <w:t>3. rapporti istituzionali, conferenza delle regioni e politiche territoriali;</w:t>
      </w: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cstheme="minorHAnsi"/>
          <w:color w:val="000000"/>
        </w:rPr>
        <w:t xml:space="preserve">3bis. </w:t>
      </w:r>
      <w:proofErr w:type="gramStart"/>
      <w:r w:rsidRPr="00B73FD1">
        <w:rPr>
          <w:rFonts w:cstheme="minorHAnsi"/>
          <w:color w:val="000000"/>
        </w:rPr>
        <w:t>ufficio</w:t>
      </w:r>
      <w:proofErr w:type="gramEnd"/>
      <w:r w:rsidRPr="00B73FD1">
        <w:rPr>
          <w:rFonts w:cstheme="minorHAnsi"/>
          <w:color w:val="000000"/>
        </w:rPr>
        <w:t xml:space="preserve"> legislativo;</w:t>
      </w: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cstheme="minorHAnsi"/>
          <w:color w:val="000000"/>
        </w:rPr>
        <w:t>4. struttura tecnica permanente per le funzioni di programmazione, valutazione e controllo;</w:t>
      </w: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cstheme="minorHAnsi"/>
          <w:color w:val="000000"/>
        </w:rPr>
        <w:t>5. coordinamento dei fondi comunitari fesr, fse e feasr e delle relative attivita’di comunicazione;</w:t>
      </w: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cstheme="minorHAnsi"/>
          <w:color w:val="000000"/>
        </w:rPr>
        <w:t>6. progetti speciali;</w:t>
      </w: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cstheme="minorHAnsi"/>
          <w:color w:val="000000"/>
        </w:rPr>
        <w:t>7. agenda digitale;</w:t>
      </w: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cstheme="minorHAnsi"/>
          <w:color w:val="000000"/>
        </w:rPr>
        <w:lastRenderedPageBreak/>
        <w:t>8. servizi documentazioni;</w:t>
      </w: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cstheme="minorHAnsi"/>
          <w:color w:val="000000"/>
        </w:rPr>
        <w:t>10. social media;</w:t>
      </w: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cstheme="minorHAnsi"/>
          <w:color w:val="000000"/>
        </w:rPr>
        <w:t>11. autoparco regionale.</w:t>
      </w: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cstheme="minorHAnsi"/>
          <w:color w:val="000000"/>
        </w:rPr>
        <w:t>b) Segreteria della Giunta</w:t>
      </w: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cstheme="minorHAnsi"/>
          <w:color w:val="000000"/>
        </w:rPr>
        <w:t>c) Portavoce del Presidente</w:t>
      </w: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cstheme="minorHAnsi"/>
          <w:color w:val="000000"/>
        </w:rPr>
        <w:t>d) Ufficio stampa</w:t>
      </w: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cstheme="minorHAnsi"/>
          <w:color w:val="000000"/>
        </w:rPr>
        <w:t>e) Comunicazione istituzionale</w:t>
      </w: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cstheme="minorHAnsi"/>
          <w:color w:val="000000"/>
        </w:rPr>
        <w:t>L’Avvocatura regionale, posta alle dirette dipendenze del Presidente, rappresenta e difende la Regione dinanzi alle giurisdizioni di ogni ordine e grado.</w:t>
      </w: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cstheme="minorHAnsi"/>
          <w:color w:val="000000"/>
        </w:rPr>
        <w:t>Per quanto riguarda l’attività di attuazione e gestione, il sistema organizzativo della Giunta Regionale è articolato come segue:</w:t>
      </w: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ascii="Calibri" w:hAnsi="Calibri" w:cs="Calibri"/>
          <w:color w:val="000000"/>
        </w:rPr>
        <w:t>􀁸􀀃</w:t>
      </w:r>
      <w:r w:rsidRPr="00B73FD1">
        <w:rPr>
          <w:rFonts w:cstheme="minorHAnsi"/>
          <w:color w:val="000000"/>
        </w:rPr>
        <w:t xml:space="preserve"> </w:t>
      </w:r>
      <w:r w:rsidRPr="00B73FD1">
        <w:rPr>
          <w:rFonts w:cstheme="minorHAnsi"/>
          <w:b/>
          <w:bCs/>
          <w:i/>
          <w:iCs/>
          <w:color w:val="000000"/>
        </w:rPr>
        <w:t>Segretario generale</w:t>
      </w:r>
      <w:r w:rsidRPr="00B73FD1">
        <w:rPr>
          <w:rFonts w:cstheme="minorHAnsi"/>
          <w:color w:val="000000"/>
        </w:rPr>
        <w:t>, vertice dell’amministrazione regionale per lo svolgimento delle</w:t>
      </w:r>
      <w:r>
        <w:rPr>
          <w:rFonts w:cstheme="minorHAnsi"/>
          <w:color w:val="000000"/>
        </w:rPr>
        <w:t xml:space="preserve"> </w:t>
      </w:r>
      <w:r w:rsidRPr="00B73FD1">
        <w:rPr>
          <w:rFonts w:cstheme="minorHAnsi"/>
          <w:color w:val="000000"/>
        </w:rPr>
        <w:t>attività amministrative-gestionali, preposto a garantire la conformità dell’azione amministrativa agli indirizzi formulati dagli organi di indirizzo politico.coordina la pianificazione strategica e dirige, coordina e controlla l’attività dei dirigenti, preposti alle direzioni regionali, anche con potere sostitutivo in caso di inerzia.</w:t>
      </w: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ascii="Calibri" w:hAnsi="Calibri" w:cs="Calibri"/>
          <w:color w:val="000000"/>
        </w:rPr>
        <w:t>􀁸􀀃</w:t>
      </w:r>
      <w:r w:rsidRPr="00B73FD1">
        <w:rPr>
          <w:rFonts w:cstheme="minorHAnsi"/>
          <w:color w:val="000000"/>
        </w:rPr>
        <w:t xml:space="preserve"> </w:t>
      </w:r>
      <w:r w:rsidRPr="00B73FD1">
        <w:rPr>
          <w:rFonts w:cstheme="minorHAnsi"/>
          <w:b/>
          <w:bCs/>
          <w:color w:val="000000"/>
        </w:rPr>
        <w:t>Direzioni/Agenzie regionali</w:t>
      </w:r>
      <w:r w:rsidRPr="00B73FD1">
        <w:rPr>
          <w:rFonts w:cstheme="minorHAnsi"/>
          <w:color w:val="000000"/>
        </w:rPr>
        <w:t>, strutture amministrative di I° livello, preposte all’assolvimento di funzioni di direzione, coordinamento e verifica delle strutture organizzative subordinate, in ordine al raggiungimento degli obiettivi assegnati, garantendo la gestione organica ed integrata di materie omogenee.</w:t>
      </w: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ascii="Calibri" w:hAnsi="Calibri" w:cs="Calibri"/>
          <w:color w:val="000000"/>
        </w:rPr>
        <w:t>􀁸􀀃</w:t>
      </w:r>
      <w:r w:rsidRPr="00B73FD1">
        <w:rPr>
          <w:rFonts w:cstheme="minorHAnsi"/>
          <w:color w:val="000000"/>
        </w:rPr>
        <w:t xml:space="preserve"> </w:t>
      </w:r>
      <w:r w:rsidRPr="00B73FD1">
        <w:rPr>
          <w:rFonts w:cstheme="minorHAnsi"/>
          <w:b/>
          <w:bCs/>
          <w:color w:val="000000"/>
        </w:rPr>
        <w:t xml:space="preserve">Aree/Uffici, </w:t>
      </w:r>
      <w:r w:rsidRPr="00B73FD1">
        <w:rPr>
          <w:rFonts w:cstheme="minorHAnsi"/>
          <w:color w:val="000000"/>
        </w:rPr>
        <w:t>strutture di II° livello, preposte all’assolvimento di funzioni di direzione,</w:t>
      </w:r>
      <w:r>
        <w:rPr>
          <w:rFonts w:cstheme="minorHAnsi"/>
          <w:color w:val="000000"/>
        </w:rPr>
        <w:t xml:space="preserve"> </w:t>
      </w:r>
      <w:r w:rsidRPr="00B73FD1">
        <w:rPr>
          <w:rFonts w:cstheme="minorHAnsi"/>
          <w:color w:val="000000"/>
        </w:rPr>
        <w:t>coordinamento e verifica delle attività della struttura e delle eventuali articolazioni organizzative interne.</w:t>
      </w:r>
    </w:p>
    <w:p w:rsidR="006306B5" w:rsidRPr="00B73FD1" w:rsidRDefault="006306B5" w:rsidP="006306B5">
      <w:pPr>
        <w:autoSpaceDE w:val="0"/>
        <w:autoSpaceDN w:val="0"/>
        <w:adjustRightInd w:val="0"/>
        <w:spacing w:after="0" w:line="20" w:lineRule="atLeast"/>
        <w:jc w:val="both"/>
        <w:rPr>
          <w:rFonts w:cstheme="minorHAnsi"/>
          <w:color w:val="000000"/>
        </w:rPr>
      </w:pPr>
      <w:r w:rsidRPr="00B73FD1">
        <w:rPr>
          <w:rFonts w:cstheme="minorHAnsi"/>
          <w:color w:val="000000"/>
        </w:rPr>
        <w:t xml:space="preserve">Per quanto riguarda l’esercizio dell’attività di gestione, l’amministrazione della Giunta regionale è organizzata in </w:t>
      </w:r>
      <w:r w:rsidRPr="00B73FD1">
        <w:rPr>
          <w:rFonts w:cstheme="minorHAnsi"/>
          <w:color w:val="1C70BA"/>
        </w:rPr>
        <w:t xml:space="preserve">18 direzioni regionali </w:t>
      </w:r>
      <w:r w:rsidRPr="00B73FD1">
        <w:rPr>
          <w:rFonts w:cstheme="minorHAnsi"/>
          <w:color w:val="000000"/>
        </w:rPr>
        <w:t xml:space="preserve">ed in </w:t>
      </w:r>
      <w:r w:rsidRPr="00B73FD1">
        <w:rPr>
          <w:rFonts w:cstheme="minorHAnsi"/>
          <w:color w:val="1C70BA"/>
        </w:rPr>
        <w:t xml:space="preserve">2 agenzie regionali,10 </w:t>
      </w:r>
      <w:r w:rsidRPr="00B73FD1">
        <w:rPr>
          <w:rFonts w:cstheme="minorHAnsi"/>
          <w:color w:val="000000"/>
        </w:rPr>
        <w:t>articolate al loro interno in “aree” e “uffici”. La titolarità delle direzioni regionali e delle agenzie regionali è affidata alla dirigenza apicale, mentre le articolazioni organizzative interne sono affidate alla responsabilità di dirigenti di II livello.</w:t>
      </w:r>
    </w:p>
    <w:p w:rsidR="006306B5" w:rsidRPr="00B73FD1" w:rsidRDefault="006306B5" w:rsidP="006306B5">
      <w:pPr>
        <w:autoSpaceDE w:val="0"/>
        <w:autoSpaceDN w:val="0"/>
        <w:adjustRightInd w:val="0"/>
        <w:spacing w:after="0" w:line="20" w:lineRule="atLeast"/>
        <w:jc w:val="both"/>
        <w:rPr>
          <w:rFonts w:cstheme="minorHAnsi"/>
          <w:b/>
          <w:bCs/>
          <w:color w:val="1C70BA"/>
        </w:rPr>
      </w:pPr>
      <w:r w:rsidRPr="00B73FD1">
        <w:rPr>
          <w:rFonts w:cstheme="minorHAnsi"/>
          <w:b/>
          <w:bCs/>
          <w:color w:val="1C70BA"/>
        </w:rPr>
        <w:t>1.2</w:t>
      </w:r>
      <w:r w:rsidRPr="00B73FD1">
        <w:rPr>
          <w:rFonts w:ascii="Calibri" w:hAnsi="Calibri" w:cs="Calibri"/>
          <w:b/>
          <w:bCs/>
          <w:color w:val="1C70BA"/>
        </w:rPr>
        <w:t>􀀃</w:t>
      </w:r>
      <w:r w:rsidRPr="00B73FD1">
        <w:rPr>
          <w:rFonts w:cstheme="minorHAnsi"/>
          <w:b/>
          <w:bCs/>
          <w:color w:val="1C70BA"/>
        </w:rPr>
        <w:t xml:space="preserve"> Cosa facciamo</w:t>
      </w:r>
    </w:p>
    <w:p w:rsidR="006306B5" w:rsidRPr="00B73FD1"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Al fine di illustrare i principali ambiti di intervento dell’amministrazione regionale si</w:t>
      </w:r>
    </w:p>
    <w:p w:rsidR="006306B5" w:rsidRPr="00B73FD1" w:rsidRDefault="006306B5" w:rsidP="006306B5">
      <w:pPr>
        <w:autoSpaceDE w:val="0"/>
        <w:autoSpaceDN w:val="0"/>
        <w:adjustRightInd w:val="0"/>
        <w:spacing w:after="0" w:line="20" w:lineRule="atLeast"/>
        <w:jc w:val="both"/>
        <w:rPr>
          <w:rFonts w:cstheme="minorHAnsi"/>
          <w:b/>
          <w:bCs/>
          <w:color w:val="000000"/>
        </w:rPr>
      </w:pPr>
      <w:proofErr w:type="gramStart"/>
      <w:r w:rsidRPr="00B73FD1">
        <w:rPr>
          <w:rFonts w:cstheme="minorHAnsi"/>
          <w:b/>
          <w:bCs/>
          <w:color w:val="000000"/>
        </w:rPr>
        <w:t>riportano</w:t>
      </w:r>
      <w:proofErr w:type="gramEnd"/>
      <w:r w:rsidRPr="00B73FD1">
        <w:rPr>
          <w:rFonts w:cstheme="minorHAnsi"/>
          <w:b/>
          <w:bCs/>
          <w:color w:val="000000"/>
        </w:rPr>
        <w:t xml:space="preserve"> di seguito le competenze attribuite alle strutture amministrative apicali.</w:t>
      </w:r>
    </w:p>
    <w:p w:rsidR="006306B5" w:rsidRPr="00B73FD1" w:rsidRDefault="006306B5" w:rsidP="006306B5">
      <w:pPr>
        <w:autoSpaceDE w:val="0"/>
        <w:autoSpaceDN w:val="0"/>
        <w:adjustRightInd w:val="0"/>
        <w:spacing w:after="0" w:line="20" w:lineRule="atLeast"/>
        <w:jc w:val="both"/>
        <w:rPr>
          <w:rFonts w:cstheme="minorHAnsi"/>
          <w:b/>
          <w:bCs/>
          <w:color w:val="1C70BA"/>
        </w:rPr>
      </w:pPr>
      <w:r w:rsidRPr="00B73FD1">
        <w:rPr>
          <w:rFonts w:cstheme="minorHAnsi"/>
          <w:b/>
          <w:bCs/>
          <w:color w:val="1C70BA"/>
        </w:rPr>
        <w:t>SEGRETARIO GENERALE</w:t>
      </w:r>
    </w:p>
    <w:p w:rsidR="006306B5" w:rsidRPr="00B73FD1"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Struttura di vertice dell’amministrazione e garante della conformità dell’azione amministrativa agli indirizzi formulati dagli organi di indirizzo politico. Coordinamento dell’attività amministrativa e raccordo delle direzioni con gli assessorati di riferimento.</w:t>
      </w:r>
    </w:p>
    <w:p w:rsidR="006306B5" w:rsidRPr="00B73FD1"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Coordinamento della pianificazione strategica e attuazione, da parte delle direzioni</w:t>
      </w:r>
      <w:r>
        <w:rPr>
          <w:rFonts w:cstheme="minorHAnsi"/>
          <w:b/>
          <w:bCs/>
          <w:color w:val="000000"/>
        </w:rPr>
        <w:t xml:space="preserve"> </w:t>
      </w:r>
      <w:r w:rsidRPr="00B73FD1">
        <w:rPr>
          <w:rFonts w:cstheme="minorHAnsi"/>
          <w:b/>
          <w:bCs/>
          <w:color w:val="000000"/>
        </w:rPr>
        <w:t>regionali, dei piani, dei programmi e delle direttive generali definite dall’organo politico.</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Coordinamento e controllo dell’attività dei dirigenti preposti alle direzioni regionali anche con potere sostitutivo in caso di inerzia.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Svolgimento attività istruttoria delle procedure per il conferimento degli incarichi di direttore regionale, nonché per gli incarichi di dirigente delle strutture organizzative di base e delle loro eventuali articolazioni, affidati a soggetti esterni all’amministrazione regionale.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Cura dei rapporti con gli uffici dell’Unione europea e con gli organismi internazionali nelle materie di competenza, secondo le specifiche direttive dell’organo politico.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Emanazione di direttive ai direttori regionali per l’istituzione delle strutture organizzative di base.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Supporto tecnico all’attività di indirizzo politico e di controllo, nonché all’attività di alta amministrazione. Collaborazione alle iniziative concernenti i rapporti tra gli organi di governo regionali e gli organi istituzionali dell’Unione europea, dello Stato e delle altre Regioni, nonché con il Consiglio regionale. Assistenza al Presidente nell’esercizio delle sue attribuzioni in materia di rapporti con gli enti politico-istituzionali presenti sul territorio regionale, le formazioni economico-sociali e le confessioni religiose. Assistenza al Presidente ed alla Giunta nell’attività di relazione nazionale ed internazionale. Raccordo con le strutture organizzative mediante la convocazione della Conferenza interdirezionale; partecipazione alla Conferenza di coordinamento.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Cura del ciclo della gestione delle prestazioni e dei risultati di cui alla legge regionale 16 marzo 2011, n. 1. Garanzia del regolare svolgimento delle funzioni di competenza dell’Autorità di Audit dei programmi FESR e FSE, cofinanziati dall’Unione europea per le programmazioni 2007-2013 e 2014-2020. </w:t>
      </w:r>
    </w:p>
    <w:p w:rsidR="006306B5" w:rsidRPr="00B73FD1"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lastRenderedPageBreak/>
        <w:t>Promozione dei processi di innovazione ed attuazione delle politiche di semplificazione normativa e amministrativa. Adempimenti connessi allo svolgimento della conferenza di servizi interna nonché alla partecipazione della Regione Lazio alle conferenze di servizi. Attuazione delle politiche di genere e promozione della diffusione delle condizioni di parità e della cultura delle pari opportunità.</w:t>
      </w:r>
    </w:p>
    <w:p w:rsidR="006306B5" w:rsidRPr="00B73FD1" w:rsidRDefault="006306B5" w:rsidP="006306B5">
      <w:pPr>
        <w:autoSpaceDE w:val="0"/>
        <w:autoSpaceDN w:val="0"/>
        <w:adjustRightInd w:val="0"/>
        <w:spacing w:after="0" w:line="20" w:lineRule="atLeast"/>
        <w:jc w:val="both"/>
        <w:rPr>
          <w:rFonts w:cstheme="minorHAnsi"/>
          <w:b/>
          <w:bCs/>
          <w:color w:val="1C70BA"/>
        </w:rPr>
      </w:pPr>
      <w:r w:rsidRPr="00B73FD1">
        <w:rPr>
          <w:rFonts w:cstheme="minorHAnsi"/>
          <w:b/>
          <w:bCs/>
          <w:color w:val="1C70BA"/>
        </w:rPr>
        <w:t>DIREZIONI REGIONALI:11</w:t>
      </w:r>
    </w:p>
    <w:p w:rsidR="006306B5" w:rsidRPr="00B73FD1" w:rsidRDefault="006306B5" w:rsidP="006306B5">
      <w:pPr>
        <w:autoSpaceDE w:val="0"/>
        <w:autoSpaceDN w:val="0"/>
        <w:adjustRightInd w:val="0"/>
        <w:spacing w:after="0" w:line="20" w:lineRule="atLeast"/>
        <w:jc w:val="both"/>
        <w:rPr>
          <w:rFonts w:cstheme="minorHAnsi"/>
          <w:b/>
          <w:bCs/>
          <w:i/>
          <w:iCs/>
          <w:color w:val="1C70BA"/>
        </w:rPr>
      </w:pPr>
      <w:r w:rsidRPr="00B73FD1">
        <w:rPr>
          <w:rFonts w:cstheme="minorHAnsi"/>
          <w:b/>
          <w:bCs/>
          <w:i/>
          <w:iCs/>
          <w:color w:val="1C70BA"/>
        </w:rPr>
        <w:t>Affari istituzionali, personale e sistemi informativi</w:t>
      </w:r>
    </w:p>
    <w:p w:rsidR="006306B5" w:rsidRPr="00B73FD1"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Supporta la Giunta nella definizione delle politiche del personale e ne cura</w:t>
      </w:r>
    </w:p>
    <w:p w:rsidR="006306B5" w:rsidRDefault="006306B5" w:rsidP="006306B5">
      <w:pPr>
        <w:autoSpaceDE w:val="0"/>
        <w:autoSpaceDN w:val="0"/>
        <w:adjustRightInd w:val="0"/>
        <w:spacing w:after="0" w:line="20" w:lineRule="atLeast"/>
        <w:jc w:val="both"/>
        <w:rPr>
          <w:rFonts w:cstheme="minorHAnsi"/>
          <w:b/>
          <w:bCs/>
          <w:color w:val="000000"/>
        </w:rPr>
      </w:pPr>
      <w:proofErr w:type="gramStart"/>
      <w:r w:rsidRPr="00B73FD1">
        <w:rPr>
          <w:rFonts w:cstheme="minorHAnsi"/>
          <w:b/>
          <w:bCs/>
          <w:color w:val="000000"/>
        </w:rPr>
        <w:t>l’attuazione</w:t>
      </w:r>
      <w:proofErr w:type="gramEnd"/>
      <w:r w:rsidRPr="00B73FD1">
        <w:rPr>
          <w:rFonts w:cstheme="minorHAnsi"/>
          <w:b/>
          <w:bCs/>
          <w:color w:val="000000"/>
        </w:rPr>
        <w:t xml:space="preserve">; dispone organizzazione e dimensionamento degli organici dell’ente.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Cura selezione, reclutamento, formazione e sviluppo professionale, valutazione del personale, organizzazione delle competenze; provvede alla mobilità del personale interna ed esterna, al trattamento giuridico, economico, anche accessorio e pensionistico.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Disciplina le procedure relative alla gestione delle partite stipendiali con il sistema informatico MEFSPT cedolino unico.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Provvede alla tenuta della banca dati, del ruolo unico e anagrafe degli incarichi.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Cura gli adempimenti relativi al rapporto di lavoro a tempo parziale e delle forme flessibili di lavoro, le relazioni sindacali e la gestione della contrattazione integrativa; l’attuazione delle politiche di benessere organizzativo.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Provvede alla misurazione e valutazione della performance organizzativa ed individuale del personale. Cura i procedimenti disciplinari e il monitoraggio dei procedimenti penali e il contenzioso del lavoro. Supporta la Giunta nella definizione delle politiche relative all’organizzazione e alla gestione del personale degli enti e aziende regionali e ne attua il monitoraggio.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Provvede, in raccordo con la direzione regionale Centrale acquisti, alla rilevazione dei fabbisogni informativi ed infrastrutturali di rete delle strutture interne alla Regione, pianificando di conseguenza lo sviluppo del Sistema Informativo Regionale (SIR).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Promuove azioni di semplificazione amministrativa finalizzati al miglioramento dei servizi offerti dalla pubblica amministrazione. Gestisce le attività istituzionali della Presidenza in raccordo con la struttura del Segretario generale.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Svolge attività di supporto tecnicoamministrativo alla struttura della Segreteria della Giunta.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Cura, anche su indirizzo degli organi di governo tramite la struttura del Segretario generale, i rapporti con il sistema delle autonomie locali.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Sovrintende ai programmi a favore dei comuni gravati da servitù militari.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Attua le politiche regionali finalizzate a favorire lo sviluppo socioeconomico degli enti locali e relative forme associative, cura le attività connesse ai processi di decentramento amministrativo e alla gestione associata di funzioni e servizi comunali.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Provvede a tutti gli adempimenti amministrativo-contabili attinenti alle elezioni regionali e ai referendum regionali. Svolge attività connesse al controllo in materia di politiche del personale degli enti pubblici ed organismi non economici dipendenti dalla Regione e delle società.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Cura, in collaborazione con le direzioni regionali competenti, le attività di controllo analogo sulle società </w:t>
      </w:r>
      <w:r w:rsidRPr="00B73FD1">
        <w:rPr>
          <w:rFonts w:cstheme="minorHAnsi"/>
          <w:b/>
          <w:bCs/>
          <w:i/>
          <w:iCs/>
          <w:color w:val="000000"/>
        </w:rPr>
        <w:t xml:space="preserve">in house </w:t>
      </w:r>
      <w:r w:rsidRPr="00B73FD1">
        <w:rPr>
          <w:rFonts w:cstheme="minorHAnsi"/>
          <w:b/>
          <w:bCs/>
          <w:color w:val="000000"/>
        </w:rPr>
        <w:t xml:space="preserve">in materia di personale. Attua politiche finalizzate a garantire il corretto funzionamento degli Enti agrari del Lazio e cura tutti gli adempimenti connessi al rinnovo dei rispettivi organismi elettivi e all’erogazione dei relativi finanziamenti.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Attua le politiche regionali in materia di polizia.</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 Attua le politiche regionali finalizzate a favorire un sistema integrato di sicurezza, anche in raccordo con l’Osservatorio tecnico-scientifico per la sicurezza e la legalità, e cura i rapporti con tutti i soggetti che operano nel settore della sicurezza sussidiaria.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Attua le politiche regionali finalizzate a prevenire e combattere il fenomeno dell’usura e cura i rapporti con tutti i soggetti che operano nel settore.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Ai fini del monitoraggio e della vigilanza, d’intesa con le direzioni competenti, organizza un idoneo sistema informativo-informatico.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Provvede alle attività connesse al riconoscimento della personalità giuridica di diritto privato alle associazioni e fondazioni, ivi compresi la tenuta del relativo Registro.</w:t>
      </w:r>
    </w:p>
    <w:p w:rsidR="006306B5" w:rsidRDefault="006306B5" w:rsidP="006306B5">
      <w:pPr>
        <w:autoSpaceDE w:val="0"/>
        <w:autoSpaceDN w:val="0"/>
        <w:adjustRightInd w:val="0"/>
        <w:spacing w:after="0" w:line="20" w:lineRule="atLeast"/>
        <w:jc w:val="both"/>
        <w:rPr>
          <w:rFonts w:cstheme="minorHAnsi"/>
          <w:b/>
          <w:bCs/>
          <w:color w:val="000000"/>
        </w:rPr>
      </w:pPr>
      <w:r>
        <w:rPr>
          <w:rFonts w:cstheme="minorHAnsi"/>
          <w:b/>
          <w:bCs/>
          <w:color w:val="000000"/>
        </w:rPr>
        <w:t>NB</w:t>
      </w:r>
    </w:p>
    <w:p w:rsidR="006306B5" w:rsidRPr="00B73FD1" w:rsidRDefault="006306B5" w:rsidP="006306B5">
      <w:pPr>
        <w:autoSpaceDE w:val="0"/>
        <w:autoSpaceDN w:val="0"/>
        <w:adjustRightInd w:val="0"/>
        <w:spacing w:after="0" w:line="20" w:lineRule="atLeast"/>
        <w:jc w:val="both"/>
        <w:rPr>
          <w:rFonts w:cstheme="minorHAnsi"/>
          <w:b/>
          <w:bCs/>
          <w:color w:val="000000"/>
        </w:rPr>
      </w:pPr>
      <w:r>
        <w:rPr>
          <w:rFonts w:cstheme="minorHAnsi"/>
          <w:b/>
          <w:bCs/>
          <w:color w:val="000000"/>
        </w:rPr>
        <w:t>SI RIPORTANO LE COMPETENZE DELLE DIREZIONI ATTINENTI ALLE POLITICHE SOCIO-SANITARIE</w:t>
      </w:r>
    </w:p>
    <w:p w:rsidR="006306B5" w:rsidRPr="00B73FD1" w:rsidRDefault="006306B5" w:rsidP="006306B5">
      <w:pPr>
        <w:autoSpaceDE w:val="0"/>
        <w:autoSpaceDN w:val="0"/>
        <w:adjustRightInd w:val="0"/>
        <w:spacing w:after="0" w:line="20" w:lineRule="atLeast"/>
        <w:jc w:val="both"/>
        <w:rPr>
          <w:rFonts w:cstheme="minorHAnsi"/>
          <w:b/>
          <w:bCs/>
          <w:i/>
          <w:iCs/>
          <w:color w:val="1C70BA"/>
        </w:rPr>
      </w:pPr>
      <w:r w:rsidRPr="00B73FD1">
        <w:rPr>
          <w:rFonts w:cstheme="minorHAnsi"/>
          <w:b/>
          <w:bCs/>
          <w:i/>
          <w:iCs/>
          <w:color w:val="1C70BA"/>
        </w:rPr>
        <w:lastRenderedPageBreak/>
        <w:t>Salute e integrazione sociosanitaria</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Provvede alla pianificazione e all’organizzazione del servizio sanitario regionale e del sistema integrato di interventi e servizi sociali, promuovendone la massima integrazione funzionale.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Provvede all’attuazione e alla regolamentazione, per quanto di propria competenza, dei livelli essenziali di assistenza. Elabora le direttive per la predisposizione dei budget e dei piani strategici delle aziende sanitarie, dei policlinici universitari e degli I.R.C.C.S. e cura gli adempimenti connessi all’approvazione dei relativi bilanci di esercizio e al consolidamento contabile.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Cura l’organizzazione della rete ospedaliera e dei servizi territoriali, nonché la riorganizzazione delle strutture ospedaliere per soglie di efficienza.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Coordina, nell’ambito del piano della rete ospedaliera, l’implementazione delle reti di alta specialità. Definisce i sistemi di regolazione, direzione e controllo della fornitura di prestazioni e servizi sanitari da parte di soggetti privati e di soggetti accreditati.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Cura le attività connesse alla politica del farmaco, ivi compresi il controllo e il monitoraggio sulla spesa farmaceutica e le attività inerenti alla farmacovigilanza.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Cura l’elaborazione ed il monitoraggio dei programmi di ricerca.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Esercita le attività di controllo, di gestione e di monitoraggio della spesa sanitaria ed elabora le direttive in materia di contabilità generale e analitica, nonché i criteri di finanziamento degli enti del servizio sanitario regionale, curandone i rapporti economici anche con riferimento alla determinazione dei fabbisogni di forniture di beni e servizi.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Esercita le competenze in materia di gestione del personale dipendente del S.S.R. ivi compreso il personale dei policlinici universitari e il personale convenzionato.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Cura gli adempimenti connessi ai sistemi informativi relativi al S.S.R.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Cura l’integrazione sociosanitaria e l’assistenza territoriale, compresa l’attività sanitaria correlata alle dipendenze e alla salute mentale e le competenze in tema di salute sui posti di lavoro.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Provvede alla definizione di programmi di prevenzione e di educazione sanitaria, nonché di specifici programmi di vaccinazione.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Cura le attività connesse alla sanità veterinaria e alla tutela degli animali. </w:t>
      </w:r>
    </w:p>
    <w:p w:rsidR="006306B5" w:rsidRPr="00B73FD1"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Esercita, attraverso apposito servizio, le funzioni di vigilanza e ispettive in</w:t>
      </w:r>
      <w:r>
        <w:rPr>
          <w:rFonts w:cstheme="minorHAnsi"/>
          <w:b/>
          <w:bCs/>
          <w:color w:val="000000"/>
        </w:rPr>
        <w:t xml:space="preserve"> </w:t>
      </w:r>
      <w:r w:rsidRPr="00B73FD1">
        <w:rPr>
          <w:rFonts w:cstheme="minorHAnsi"/>
          <w:b/>
          <w:bCs/>
          <w:color w:val="000000"/>
        </w:rPr>
        <w:t>ordine al funzionamento del servizio sanitario regionale.</w:t>
      </w:r>
    </w:p>
    <w:p w:rsidR="006306B5" w:rsidRPr="00B73FD1" w:rsidRDefault="006306B5" w:rsidP="006306B5">
      <w:pPr>
        <w:autoSpaceDE w:val="0"/>
        <w:autoSpaceDN w:val="0"/>
        <w:adjustRightInd w:val="0"/>
        <w:spacing w:after="0" w:line="20" w:lineRule="atLeast"/>
        <w:jc w:val="both"/>
        <w:rPr>
          <w:rFonts w:cstheme="minorHAnsi"/>
          <w:b/>
          <w:bCs/>
          <w:i/>
          <w:iCs/>
          <w:color w:val="1C70BA"/>
        </w:rPr>
      </w:pPr>
      <w:r w:rsidRPr="00B73FD1">
        <w:rPr>
          <w:rFonts w:cstheme="minorHAnsi"/>
          <w:b/>
          <w:bCs/>
          <w:i/>
          <w:iCs/>
          <w:color w:val="1C70BA"/>
        </w:rPr>
        <w:t>Inclusione sociale</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Provvede alla pianificazione del sistema integrato di interventi e servizi sociali,</w:t>
      </w:r>
      <w:r>
        <w:rPr>
          <w:rFonts w:cstheme="minorHAnsi"/>
          <w:b/>
          <w:bCs/>
          <w:color w:val="000000"/>
        </w:rPr>
        <w:t xml:space="preserve"> </w:t>
      </w:r>
      <w:r w:rsidRPr="00B73FD1">
        <w:rPr>
          <w:rFonts w:cstheme="minorHAnsi"/>
          <w:b/>
          <w:bCs/>
          <w:color w:val="000000"/>
        </w:rPr>
        <w:t xml:space="preserve">promuovendone l’integrazione funzionale con il S.S.R.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Definisce il Piano socio assistenziale regionale, le modalità di finanziamento del sistema integrato, il fabbisogno di strutture residenziali e semi residenziali, le forme di integrazione dei servizi socio assistenziali con quelli sanitari e con programmi di inclusione. Favorisce la partecipazione del terzo settore e promuove modelli di welfare di comunità.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Programma gli interventi a sostegno della persona e della famiglia con particolare riguardo agli interventi socio educativi per la prima infanzia ed a sostegno della maternità e della genitorialità.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Cura gli interventi a sostegno delle fasce deboli della popolazione attraverso servizi, contributi economici e di sostegno.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Provvede alla definizione dei requisiti minimi e delle procedure per l’autorizzazione al funzionamento delle strutture e dei servizi socio assistenziali, nonché degli indirizzi agli enti locali per l’esercizio dell’attività di vigilanza.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Provvede all’attività di promozione e sostegno dell’organizzazione di volontariato, dell’associazionismo e della cooperazione sociale. Tiene i registri regionali delle organizzazioni di volontariato, delle associazioni di promozione sociale, nonché l’albo regionale delle cooperative sociali.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Cura le iniziative e le attività volte a sostenere l’impresa sociale nel Lazio.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Sostiene attività di formazione e aggiornamento sulle tematiche sociali rivolte agli operatori degli enti che operano nel settore.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Promuove e coordina il settore del servizio civile attraverso la tenuta dell’albo regionale e l’accreditamento degli enti e delle organizzazioni, la valutazione e il monitoraggio dei progetti.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Effettua studi ed analisi e sperimenta specifiche metodologie di ricerca, analisi e diffusione di modelli innovativi finalizzati al contrasto della povertà e dell’esclusione</w:t>
      </w:r>
      <w:r>
        <w:rPr>
          <w:rFonts w:cstheme="minorHAnsi"/>
          <w:b/>
          <w:bCs/>
          <w:color w:val="000000"/>
        </w:rPr>
        <w:t xml:space="preserve"> </w:t>
      </w:r>
      <w:r w:rsidRPr="00B73FD1">
        <w:rPr>
          <w:rFonts w:cstheme="minorHAnsi"/>
          <w:b/>
          <w:bCs/>
          <w:color w:val="000000"/>
        </w:rPr>
        <w:t xml:space="preserve">sociale.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lastRenderedPageBreak/>
        <w:t xml:space="preserve">Collabora con la Direzione competente alla gestione del FSE, POR 2014/2020. </w:t>
      </w:r>
    </w:p>
    <w:p w:rsidR="006306B5" w:rsidRPr="00B73FD1"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Cura tutti gli adempimenti relativi alle Istituzioni pubbliche di assistenza e beneficenza (II.PP.A.B.) presenti sul territorio regionale, anche di carattere finanziario, ispettivo e di vigilanza nonché contabile.</w:t>
      </w:r>
    </w:p>
    <w:p w:rsidR="006306B5" w:rsidRPr="00B73FD1" w:rsidRDefault="006306B5" w:rsidP="006306B5">
      <w:pPr>
        <w:autoSpaceDE w:val="0"/>
        <w:autoSpaceDN w:val="0"/>
        <w:adjustRightInd w:val="0"/>
        <w:spacing w:after="0" w:line="20" w:lineRule="atLeast"/>
        <w:jc w:val="both"/>
        <w:rPr>
          <w:rFonts w:cstheme="minorHAnsi"/>
          <w:b/>
          <w:bCs/>
          <w:color w:val="036BB6"/>
        </w:rPr>
      </w:pPr>
      <w:r w:rsidRPr="00B73FD1">
        <w:rPr>
          <w:rFonts w:cstheme="minorHAnsi"/>
          <w:b/>
          <w:bCs/>
          <w:color w:val="036BB6"/>
        </w:rPr>
        <w:t>2. Identità</w:t>
      </w:r>
    </w:p>
    <w:p w:rsidR="006306B5" w:rsidRPr="00B73FD1" w:rsidRDefault="006306B5" w:rsidP="006306B5">
      <w:pPr>
        <w:autoSpaceDE w:val="0"/>
        <w:autoSpaceDN w:val="0"/>
        <w:adjustRightInd w:val="0"/>
        <w:spacing w:after="0" w:line="20" w:lineRule="atLeast"/>
        <w:jc w:val="both"/>
        <w:rPr>
          <w:rFonts w:cstheme="minorHAnsi"/>
          <w:b/>
          <w:bCs/>
          <w:color w:val="036BB6"/>
        </w:rPr>
      </w:pPr>
      <w:r w:rsidRPr="00B73FD1">
        <w:rPr>
          <w:rFonts w:cstheme="minorHAnsi"/>
          <w:b/>
          <w:bCs/>
          <w:color w:val="036BB6"/>
        </w:rPr>
        <w:t>2.1 Amministrazione in cifre</w:t>
      </w:r>
    </w:p>
    <w:p w:rsidR="006306B5" w:rsidRPr="00B73FD1" w:rsidRDefault="006306B5" w:rsidP="006306B5">
      <w:pPr>
        <w:autoSpaceDE w:val="0"/>
        <w:autoSpaceDN w:val="0"/>
        <w:adjustRightInd w:val="0"/>
        <w:spacing w:after="0" w:line="20" w:lineRule="atLeast"/>
        <w:jc w:val="both"/>
        <w:rPr>
          <w:rFonts w:cstheme="minorHAnsi"/>
          <w:b/>
          <w:bCs/>
          <w:color w:val="036BB6"/>
        </w:rPr>
      </w:pPr>
      <w:r w:rsidRPr="00B73FD1">
        <w:rPr>
          <w:rFonts w:cstheme="minorHAnsi"/>
          <w:b/>
          <w:bCs/>
          <w:color w:val="036BB6"/>
        </w:rPr>
        <w:t>RISORSE UMANE</w:t>
      </w:r>
    </w:p>
    <w:p w:rsidR="006306B5" w:rsidRPr="00B73FD1"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Al 1° gennaio 2019 il personale in servizio presso la Giunta regionale è costituito da</w:t>
      </w:r>
      <w:r>
        <w:rPr>
          <w:rFonts w:cstheme="minorHAnsi"/>
          <w:b/>
          <w:bCs/>
          <w:color w:val="000000"/>
        </w:rPr>
        <w:t xml:space="preserve"> </w:t>
      </w:r>
      <w:r w:rsidRPr="00B73FD1">
        <w:rPr>
          <w:rFonts w:cstheme="minorHAnsi"/>
          <w:b/>
          <w:bCs/>
          <w:color w:val="000000"/>
        </w:rPr>
        <w:t>4.744 dipendenti,14 di cui 219 (pari a circa il 5,2) con qualifica dirigenziale e 9 giornalisti.</w:t>
      </w:r>
    </w:p>
    <w:p w:rsidR="006306B5" w:rsidRPr="00B73FD1"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I dipendenti della Regione sono suddivisi nelle seguenti categorie previste dal CCNL</w:t>
      </w:r>
      <w:r>
        <w:rPr>
          <w:rFonts w:cstheme="minorHAnsi"/>
          <w:b/>
          <w:bCs/>
          <w:color w:val="000000"/>
        </w:rPr>
        <w:t xml:space="preserve"> </w:t>
      </w:r>
      <w:r w:rsidRPr="00B73FD1">
        <w:rPr>
          <w:rFonts w:cstheme="minorHAnsi"/>
          <w:b/>
          <w:bCs/>
          <w:color w:val="000000"/>
        </w:rPr>
        <w:t>Regioni ed Enti Locali: dirigenti, funzionari di categoria D, impiegati di categoria C, B ed</w:t>
      </w:r>
      <w:r>
        <w:rPr>
          <w:rFonts w:cstheme="minorHAnsi"/>
          <w:b/>
          <w:bCs/>
          <w:color w:val="000000"/>
        </w:rPr>
        <w:t xml:space="preserve"> </w:t>
      </w:r>
      <w:r w:rsidRPr="00B73FD1">
        <w:rPr>
          <w:rFonts w:cstheme="minorHAnsi"/>
          <w:b/>
          <w:bCs/>
          <w:color w:val="000000"/>
        </w:rPr>
        <w:t>A.</w:t>
      </w:r>
    </w:p>
    <w:p w:rsidR="006306B5" w:rsidRPr="00B73FD1"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Per quanto riguarda le tipologie contrattuali si registra una netta prevalenza dei</w:t>
      </w:r>
      <w:r>
        <w:rPr>
          <w:rFonts w:cstheme="minorHAnsi"/>
          <w:b/>
          <w:bCs/>
          <w:color w:val="000000"/>
        </w:rPr>
        <w:t xml:space="preserve"> </w:t>
      </w:r>
      <w:r w:rsidRPr="00B73FD1">
        <w:rPr>
          <w:rFonts w:cstheme="minorHAnsi"/>
          <w:b/>
          <w:bCs/>
          <w:color w:val="000000"/>
        </w:rPr>
        <w:t>contratti a tempo indeterminato, in linea con la volontà dell’amministrazione di ricorrere</w:t>
      </w:r>
      <w:r>
        <w:rPr>
          <w:rFonts w:cstheme="minorHAnsi"/>
          <w:b/>
          <w:bCs/>
          <w:color w:val="000000"/>
        </w:rPr>
        <w:t xml:space="preserve"> </w:t>
      </w:r>
      <w:r w:rsidRPr="00B73FD1">
        <w:rPr>
          <w:rFonts w:cstheme="minorHAnsi"/>
          <w:b/>
          <w:bCs/>
          <w:color w:val="000000"/>
        </w:rPr>
        <w:t>in modo sempre più limitato ai contratti a tempo determinato.</w:t>
      </w:r>
    </w:p>
    <w:p w:rsidR="006306B5" w:rsidRPr="00B73FD1"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In termini di genere, nel personale delle categorie si registra un sostanziale equilibrio,</w:t>
      </w:r>
      <w:r>
        <w:rPr>
          <w:rFonts w:cstheme="minorHAnsi"/>
          <w:b/>
          <w:bCs/>
          <w:color w:val="000000"/>
        </w:rPr>
        <w:t xml:space="preserve"> </w:t>
      </w:r>
      <w:r w:rsidRPr="00B73FD1">
        <w:rPr>
          <w:rFonts w:cstheme="minorHAnsi"/>
          <w:b/>
          <w:bCs/>
          <w:color w:val="000000"/>
        </w:rPr>
        <w:t>con una lieve preponderanza maschile: su complessivi 4.744 dipendenti, 2.398 sono</w:t>
      </w:r>
      <w:r>
        <w:rPr>
          <w:rFonts w:cstheme="minorHAnsi"/>
          <w:b/>
          <w:bCs/>
          <w:color w:val="000000"/>
        </w:rPr>
        <w:t xml:space="preserve"> </w:t>
      </w:r>
      <w:r w:rsidRPr="00B73FD1">
        <w:rPr>
          <w:rFonts w:cstheme="minorHAnsi"/>
          <w:b/>
          <w:bCs/>
          <w:color w:val="000000"/>
        </w:rPr>
        <w:t>uomini mentre 2.346 sono donne.</w:t>
      </w:r>
    </w:p>
    <w:p w:rsidR="006306B5" w:rsidRPr="00B73FD1"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In relazione al personale dirigenziale, la preponderanza maschile è più evidente: su</w:t>
      </w:r>
      <w:r>
        <w:rPr>
          <w:rFonts w:cstheme="minorHAnsi"/>
          <w:b/>
          <w:bCs/>
          <w:color w:val="000000"/>
        </w:rPr>
        <w:t xml:space="preserve"> </w:t>
      </w:r>
      <w:r w:rsidRPr="00B73FD1">
        <w:rPr>
          <w:rFonts w:cstheme="minorHAnsi"/>
          <w:b/>
          <w:bCs/>
          <w:color w:val="000000"/>
        </w:rPr>
        <w:t>complessivi 219 dirigenti, 128 sono uomini e 91 sono donne.</w:t>
      </w:r>
    </w:p>
    <w:p w:rsidR="006306B5" w:rsidRPr="00B73FD1"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Per quanto riguarda l’età del personale dipendente, con riferimento al personale di</w:t>
      </w:r>
      <w:r>
        <w:rPr>
          <w:rFonts w:cstheme="minorHAnsi"/>
          <w:b/>
          <w:bCs/>
          <w:color w:val="000000"/>
        </w:rPr>
        <w:t xml:space="preserve"> </w:t>
      </w:r>
      <w:r w:rsidRPr="00B73FD1">
        <w:rPr>
          <w:rFonts w:cstheme="minorHAnsi"/>
          <w:b/>
          <w:bCs/>
          <w:color w:val="000000"/>
        </w:rPr>
        <w:t>sesso femminile la classe di età più consistente è quella che va da 55 a 59 anni; mentre</w:t>
      </w:r>
      <w:r>
        <w:rPr>
          <w:rFonts w:cstheme="minorHAnsi"/>
          <w:b/>
          <w:bCs/>
          <w:color w:val="000000"/>
        </w:rPr>
        <w:t xml:space="preserve"> </w:t>
      </w:r>
      <w:r w:rsidRPr="00B73FD1">
        <w:rPr>
          <w:rFonts w:cstheme="minorHAnsi"/>
          <w:b/>
          <w:bCs/>
          <w:color w:val="000000"/>
        </w:rPr>
        <w:t>per il personale di sesso maschile la classe di età più consistente è quella che va da 60 a</w:t>
      </w:r>
      <w:r>
        <w:rPr>
          <w:rFonts w:cstheme="minorHAnsi"/>
          <w:b/>
          <w:bCs/>
          <w:color w:val="000000"/>
        </w:rPr>
        <w:t xml:space="preserve"> </w:t>
      </w:r>
      <w:r w:rsidRPr="00B73FD1">
        <w:rPr>
          <w:rFonts w:cstheme="minorHAnsi"/>
          <w:b/>
          <w:bCs/>
          <w:color w:val="000000"/>
        </w:rPr>
        <w:t>64 anni.</w:t>
      </w:r>
    </w:p>
    <w:p w:rsidR="006306B5" w:rsidRPr="00B73FD1" w:rsidRDefault="006306B5" w:rsidP="006306B5">
      <w:pPr>
        <w:autoSpaceDE w:val="0"/>
        <w:autoSpaceDN w:val="0"/>
        <w:adjustRightInd w:val="0"/>
        <w:spacing w:after="0" w:line="20" w:lineRule="atLeast"/>
        <w:jc w:val="both"/>
        <w:rPr>
          <w:rFonts w:cstheme="minorHAnsi"/>
          <w:b/>
          <w:bCs/>
          <w:color w:val="1C70BA"/>
        </w:rPr>
      </w:pPr>
      <w:r w:rsidRPr="00B73FD1">
        <w:rPr>
          <w:rFonts w:cstheme="minorHAnsi"/>
          <w:b/>
          <w:bCs/>
          <w:color w:val="1C70BA"/>
        </w:rPr>
        <w:t>RISORSE FINANZIARIE</w:t>
      </w:r>
    </w:p>
    <w:p w:rsidR="006306B5" w:rsidRPr="00B73FD1"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Le risorse finanziarie per il triennio 2019-2021 sono state individuate nel bilancio di</w:t>
      </w:r>
      <w:r>
        <w:rPr>
          <w:rFonts w:cstheme="minorHAnsi"/>
          <w:b/>
          <w:bCs/>
          <w:color w:val="000000"/>
        </w:rPr>
        <w:t xml:space="preserve"> </w:t>
      </w:r>
      <w:r w:rsidRPr="00B73FD1">
        <w:rPr>
          <w:rFonts w:cstheme="minorHAnsi"/>
          <w:b/>
          <w:bCs/>
          <w:color w:val="000000"/>
        </w:rPr>
        <w:t>previsione finanziario della Regione Lazio, approvato con legge regionale 28 dicembre</w:t>
      </w:r>
      <w:r>
        <w:rPr>
          <w:rFonts w:cstheme="minorHAnsi"/>
          <w:b/>
          <w:bCs/>
          <w:color w:val="000000"/>
        </w:rPr>
        <w:t xml:space="preserve"> </w:t>
      </w:r>
      <w:r w:rsidRPr="00B73FD1">
        <w:rPr>
          <w:rFonts w:cstheme="minorHAnsi"/>
          <w:b/>
          <w:bCs/>
          <w:color w:val="000000"/>
        </w:rPr>
        <w:t>2018, n. 14. Nelle tabelle che seguono sono rappresentate le risorse finanziarie relative</w:t>
      </w:r>
      <w:r>
        <w:rPr>
          <w:rFonts w:cstheme="minorHAnsi"/>
          <w:b/>
          <w:bCs/>
          <w:color w:val="000000"/>
        </w:rPr>
        <w:t xml:space="preserve"> </w:t>
      </w:r>
      <w:r w:rsidRPr="00B73FD1">
        <w:rPr>
          <w:rFonts w:cstheme="minorHAnsi"/>
          <w:b/>
          <w:bCs/>
          <w:color w:val="000000"/>
        </w:rPr>
        <w:t>al triennio 2019-2021, suddivise per missioni (funzioni principali della Regione) e</w:t>
      </w:r>
      <w:r>
        <w:rPr>
          <w:rFonts w:cstheme="minorHAnsi"/>
          <w:b/>
          <w:bCs/>
          <w:color w:val="000000"/>
        </w:rPr>
        <w:t xml:space="preserve"> </w:t>
      </w:r>
      <w:r w:rsidRPr="00B73FD1">
        <w:rPr>
          <w:rFonts w:cstheme="minorHAnsi"/>
          <w:b/>
          <w:bCs/>
          <w:color w:val="000000"/>
        </w:rPr>
        <w:t>programmi (aggregati omogenei di attività rivolte a perseguire gli obiettivi definiti</w:t>
      </w:r>
      <w:r>
        <w:rPr>
          <w:rFonts w:cstheme="minorHAnsi"/>
          <w:b/>
          <w:bCs/>
          <w:color w:val="000000"/>
        </w:rPr>
        <w:t xml:space="preserve"> </w:t>
      </w:r>
      <w:r w:rsidRPr="00B73FD1">
        <w:rPr>
          <w:rFonts w:cstheme="minorHAnsi"/>
          <w:b/>
          <w:bCs/>
          <w:color w:val="000000"/>
        </w:rPr>
        <w:t>nell’ambito delle missioni) che evidenziano le finalità della spesa secondo il prospetto</w:t>
      </w:r>
      <w:r>
        <w:rPr>
          <w:rFonts w:cstheme="minorHAnsi"/>
          <w:b/>
          <w:bCs/>
          <w:color w:val="000000"/>
        </w:rPr>
        <w:t xml:space="preserve"> </w:t>
      </w:r>
      <w:r w:rsidRPr="00B73FD1">
        <w:rPr>
          <w:rFonts w:cstheme="minorHAnsi"/>
          <w:b/>
          <w:bCs/>
          <w:color w:val="000000"/>
        </w:rPr>
        <w:t>all’Allegato n. 3 della legge di bilancio.</w:t>
      </w:r>
    </w:p>
    <w:p w:rsidR="006306B5" w:rsidRPr="00B73FD1" w:rsidRDefault="006306B5" w:rsidP="006306B5">
      <w:pPr>
        <w:autoSpaceDE w:val="0"/>
        <w:autoSpaceDN w:val="0"/>
        <w:adjustRightInd w:val="0"/>
        <w:spacing w:after="0" w:line="20" w:lineRule="atLeast"/>
        <w:jc w:val="both"/>
        <w:rPr>
          <w:rFonts w:cstheme="minorHAnsi"/>
          <w:b/>
          <w:bCs/>
          <w:color w:val="1C70BA"/>
        </w:rPr>
      </w:pPr>
      <w:r w:rsidRPr="00B73FD1">
        <w:rPr>
          <w:rFonts w:cstheme="minorHAnsi"/>
          <w:b/>
          <w:bCs/>
          <w:color w:val="1C70BA"/>
        </w:rPr>
        <w:t>2.2 Mandato istituzionale e missione</w:t>
      </w:r>
    </w:p>
    <w:p w:rsidR="006306B5" w:rsidRPr="00B73FD1"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La Regione Lazio costituisce un’articolazione territoriale della Repubblica Italiana. Lo Statuto della Regione Lazio,15 oltre a determinarne, in virtù di quanto previsto dall’articolo 123 della Costituzione, forma di governo e principi fondamentali di organizzazione e funzionamento, attribuisce alla Regione, nei limiti della relativa competenza nonché con il concorso dei Comuni, delle Province e degli altri enti locali e nel rispetto delle attribuzioni statali, i seguenti obiettivi:</w:t>
      </w:r>
    </w:p>
    <w:p w:rsidR="006306B5" w:rsidRPr="00B73FD1" w:rsidRDefault="006306B5" w:rsidP="006306B5">
      <w:pPr>
        <w:autoSpaceDE w:val="0"/>
        <w:autoSpaceDN w:val="0"/>
        <w:adjustRightInd w:val="0"/>
        <w:spacing w:after="0" w:line="20" w:lineRule="atLeast"/>
        <w:jc w:val="both"/>
        <w:rPr>
          <w:rFonts w:cstheme="minorHAnsi"/>
          <w:b/>
          <w:bCs/>
          <w:color w:val="000000"/>
        </w:rPr>
      </w:pPr>
      <w:r w:rsidRPr="00B73FD1">
        <w:rPr>
          <w:rFonts w:ascii="Calibri" w:hAnsi="Calibri" w:cs="Calibri"/>
          <w:b/>
          <w:bCs/>
          <w:color w:val="000000"/>
        </w:rPr>
        <w:t>􀂙􀀃</w:t>
      </w:r>
      <w:r w:rsidRPr="00B73FD1">
        <w:rPr>
          <w:rFonts w:cstheme="minorHAnsi"/>
          <w:b/>
          <w:bCs/>
          <w:color w:val="000000"/>
        </w:rPr>
        <w:t>Tutela dei diritti e dei valori fondamentali degli individui: l’articolo 6 dello Statuto, nell’affermare la centralità e la dignità di ogni essere umano, prevede che la Regione faccia propri i principi della Dichiarazione universale dei diritti umani e riconosca il primato della persona e della vita nonché, innanzitutto, il diritto alla libertà, all’uguaglianza, all’informazione e al lavoro, i diritti dell’infanzia e dell’adolescenza, nonché il diritto degli anziani ad un’esistenza dignitosa;</w:t>
      </w:r>
    </w:p>
    <w:p w:rsidR="006306B5" w:rsidRPr="00B73FD1" w:rsidRDefault="006306B5" w:rsidP="006306B5">
      <w:pPr>
        <w:autoSpaceDE w:val="0"/>
        <w:autoSpaceDN w:val="0"/>
        <w:adjustRightInd w:val="0"/>
        <w:spacing w:after="0" w:line="20" w:lineRule="atLeast"/>
        <w:jc w:val="both"/>
        <w:rPr>
          <w:rFonts w:cstheme="minorHAnsi"/>
          <w:b/>
          <w:bCs/>
          <w:color w:val="000000"/>
        </w:rPr>
      </w:pPr>
      <w:r w:rsidRPr="00B73FD1">
        <w:rPr>
          <w:rFonts w:ascii="Calibri" w:hAnsi="Calibri" w:cs="Calibri"/>
          <w:b/>
          <w:bCs/>
          <w:color w:val="000000"/>
        </w:rPr>
        <w:t>􀂙􀀃</w:t>
      </w:r>
      <w:r w:rsidRPr="00B73FD1">
        <w:rPr>
          <w:rFonts w:cstheme="minorHAnsi"/>
          <w:b/>
          <w:bCs/>
          <w:color w:val="000000"/>
        </w:rPr>
        <w:t>Sviluppo civile e sociale: l’articolo 7 dello Statuto, ispirandosi al principio di solidarietà, attribuisce alla Regione il compito di promuovere iniziative volte ad assicurare ad ogni persona condizioni per una vita libera e dignitosa, promuovendo la salvaguardia della salute, la piena occupazione e la tutela delle lavoratrici e dei lavoratori, la disponibilità abitativa, la mobilità, la diffusione dell’istruzione e della cultura;</w:t>
      </w:r>
    </w:p>
    <w:p w:rsidR="006306B5" w:rsidRPr="00B73FD1" w:rsidRDefault="006306B5" w:rsidP="006306B5">
      <w:pPr>
        <w:autoSpaceDE w:val="0"/>
        <w:autoSpaceDN w:val="0"/>
        <w:adjustRightInd w:val="0"/>
        <w:spacing w:after="0" w:line="20" w:lineRule="atLeast"/>
        <w:jc w:val="both"/>
        <w:rPr>
          <w:rFonts w:cstheme="minorHAnsi"/>
          <w:b/>
          <w:bCs/>
          <w:color w:val="000000"/>
        </w:rPr>
      </w:pPr>
      <w:r w:rsidRPr="00B73FD1">
        <w:rPr>
          <w:rFonts w:ascii="Calibri" w:hAnsi="Calibri" w:cs="Calibri"/>
          <w:b/>
          <w:bCs/>
          <w:color w:val="000000"/>
        </w:rPr>
        <w:t>􀂙􀀃</w:t>
      </w:r>
      <w:r w:rsidRPr="00B73FD1">
        <w:rPr>
          <w:rFonts w:cstheme="minorHAnsi"/>
          <w:b/>
          <w:bCs/>
          <w:color w:val="000000"/>
        </w:rPr>
        <w:t>Sviluppo economico: l’articolo 8 dello Statuto attribuisce alla Regione l’obiettivo di promuovere lo sviluppo economico ed il miglioramento della qualità della vita della popolazione, secondo criteri di compatibilità ecologica e di agricoltura sostenibile; di riconoscere il mercato e la concorrenza ed allo stesso tempo stabilisce che l’iniziativa economica privata non possa svolgersi in contrasto con l’utilità sociale o in modo da recare danno alla sicurezza, alla libertà e alla dignità umana;</w:t>
      </w:r>
    </w:p>
    <w:p w:rsidR="006306B5" w:rsidRPr="00B73FD1" w:rsidRDefault="006306B5" w:rsidP="006306B5">
      <w:pPr>
        <w:autoSpaceDE w:val="0"/>
        <w:autoSpaceDN w:val="0"/>
        <w:adjustRightInd w:val="0"/>
        <w:spacing w:after="0" w:line="20" w:lineRule="atLeast"/>
        <w:jc w:val="both"/>
        <w:rPr>
          <w:rFonts w:cstheme="minorHAnsi"/>
          <w:b/>
          <w:bCs/>
          <w:color w:val="000000"/>
        </w:rPr>
      </w:pPr>
      <w:r w:rsidRPr="00B73FD1">
        <w:rPr>
          <w:rFonts w:ascii="Calibri" w:hAnsi="Calibri" w:cs="Calibri"/>
          <w:b/>
          <w:bCs/>
          <w:color w:val="000000"/>
        </w:rPr>
        <w:t>􀂙􀀃</w:t>
      </w:r>
      <w:r w:rsidRPr="00B73FD1">
        <w:rPr>
          <w:rFonts w:cstheme="minorHAnsi"/>
          <w:b/>
          <w:bCs/>
          <w:color w:val="000000"/>
        </w:rPr>
        <w:t>Valorizzazione del patrimonio ambientale e culturale: la Regione ha il compito, ai sensi dell’articolo 9 dello Statuto, di valorizzare e tutelare l’ambiente, il paesaggio, il patrimonio naturale, culturale, artistico e monumentale.</w:t>
      </w:r>
    </w:p>
    <w:p w:rsidR="006306B5" w:rsidRPr="00B73FD1"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Il Programma di Governo conferma il significativo recupero del ruolo di indirizzo politico, con una visione strategica rivolta alla crescita della competitività del sistema economico, al benessere dei cittadini e allo sviluppo generale del territorio, anche attraverso un migliore e più efficace utilizzo delle risorse nazionali </w:t>
      </w:r>
      <w:r w:rsidRPr="00B73FD1">
        <w:rPr>
          <w:rFonts w:cstheme="minorHAnsi"/>
          <w:b/>
          <w:bCs/>
          <w:color w:val="000000"/>
        </w:rPr>
        <w:lastRenderedPageBreak/>
        <w:t>e comunitarie, nella convinzione che l’impegno politico-istituzionale possa essere concretizzato solo attraverso una coerente azione pubblica.</w:t>
      </w:r>
    </w:p>
    <w:p w:rsidR="006306B5" w:rsidRPr="00B73FD1"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Per la XI legislatura, in sostanziale continuità con quanto avviato nei precedenti esercizi, si intende valorizzare le </w:t>
      </w:r>
      <w:r w:rsidRPr="00B73FD1">
        <w:rPr>
          <w:rFonts w:cstheme="minorHAnsi"/>
          <w:b/>
          <w:bCs/>
          <w:i/>
          <w:iCs/>
          <w:color w:val="000000"/>
        </w:rPr>
        <w:t xml:space="preserve">best practices, </w:t>
      </w:r>
      <w:r w:rsidRPr="00B73FD1">
        <w:rPr>
          <w:rFonts w:cstheme="minorHAnsi"/>
          <w:b/>
          <w:bCs/>
          <w:color w:val="000000"/>
        </w:rPr>
        <w:t>rilevate nel precedente ciclo politico</w:t>
      </w:r>
    </w:p>
    <w:p w:rsidR="006306B5" w:rsidRPr="00B73FD1"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2013-2018, opportunamente correggendo quegli aspetti, soprattutto procedurali, che hanno invece ridotto la portata dei benefici attesi dalla programmazione economico finanziaria ed insieme innestando anche ulteriori elementi di novità.</w:t>
      </w:r>
    </w:p>
    <w:p w:rsidR="006306B5" w:rsidRPr="00B73FD1" w:rsidRDefault="006306B5" w:rsidP="006306B5">
      <w:pPr>
        <w:autoSpaceDE w:val="0"/>
        <w:autoSpaceDN w:val="0"/>
        <w:adjustRightInd w:val="0"/>
        <w:spacing w:after="0" w:line="20" w:lineRule="atLeast"/>
        <w:jc w:val="both"/>
        <w:rPr>
          <w:rFonts w:cstheme="minorHAnsi"/>
          <w:b/>
          <w:bCs/>
          <w:i/>
          <w:iCs/>
          <w:color w:val="000000"/>
        </w:rPr>
      </w:pPr>
      <w:r w:rsidRPr="00B73FD1">
        <w:rPr>
          <w:rFonts w:cstheme="minorHAnsi"/>
          <w:b/>
          <w:bCs/>
          <w:color w:val="000000"/>
        </w:rPr>
        <w:t xml:space="preserve">Dalle analisi socio-economiche e territoriali, condotte per la costruzione programmatica delle politiche per il medio-lungo termine e riportate nel </w:t>
      </w:r>
      <w:r w:rsidRPr="00B73FD1">
        <w:rPr>
          <w:rFonts w:cstheme="minorHAnsi"/>
          <w:b/>
          <w:bCs/>
          <w:i/>
          <w:iCs/>
          <w:color w:val="000000"/>
        </w:rPr>
        <w:t>Documento</w:t>
      </w:r>
    </w:p>
    <w:p w:rsidR="006306B5" w:rsidRPr="00B73FD1"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i/>
          <w:iCs/>
          <w:color w:val="000000"/>
        </w:rPr>
        <w:t xml:space="preserve">Strategico di Programmazione </w:t>
      </w:r>
      <w:r w:rsidRPr="00B73FD1">
        <w:rPr>
          <w:rFonts w:cstheme="minorHAnsi"/>
          <w:b/>
          <w:bCs/>
          <w:color w:val="000000"/>
        </w:rPr>
        <w:t xml:space="preserve">(DSP) 2018, sono state così rilevate le principali indicazioni per il </w:t>
      </w:r>
      <w:r w:rsidRPr="00B73FD1">
        <w:rPr>
          <w:rFonts w:cstheme="minorHAnsi"/>
          <w:b/>
          <w:bCs/>
          <w:i/>
          <w:iCs/>
          <w:color w:val="000000"/>
        </w:rPr>
        <w:t xml:space="preserve">governo delle finanze regionali, </w:t>
      </w:r>
      <w:r w:rsidRPr="00B73FD1">
        <w:rPr>
          <w:rFonts w:cstheme="minorHAnsi"/>
          <w:b/>
          <w:bCs/>
          <w:color w:val="000000"/>
        </w:rPr>
        <w:t xml:space="preserve">per il </w:t>
      </w:r>
      <w:r w:rsidRPr="00B73FD1">
        <w:rPr>
          <w:rFonts w:cstheme="minorHAnsi"/>
          <w:b/>
          <w:bCs/>
          <w:i/>
          <w:iCs/>
          <w:color w:val="000000"/>
        </w:rPr>
        <w:t xml:space="preserve">governo dello sviluppo sostenibile socioeconomico e territoriale </w:t>
      </w:r>
      <w:r w:rsidRPr="00B73FD1">
        <w:rPr>
          <w:rFonts w:cstheme="minorHAnsi"/>
          <w:b/>
          <w:bCs/>
          <w:color w:val="000000"/>
        </w:rPr>
        <w:t xml:space="preserve">della regione Lazio e, infine, per le modalità d’intensificazione delle </w:t>
      </w:r>
      <w:r w:rsidRPr="00B73FD1">
        <w:rPr>
          <w:rFonts w:cstheme="minorHAnsi"/>
          <w:b/>
          <w:bCs/>
          <w:i/>
          <w:iCs/>
          <w:color w:val="000000"/>
        </w:rPr>
        <w:t>politiche redistributive</w:t>
      </w:r>
      <w:r w:rsidRPr="00B73FD1">
        <w:rPr>
          <w:rFonts w:cstheme="minorHAnsi"/>
          <w:b/>
          <w:bCs/>
          <w:color w:val="000000"/>
        </w:rPr>
        <w:t>.</w:t>
      </w:r>
    </w:p>
    <w:p w:rsidR="006306B5" w:rsidRPr="00B73FD1"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Il </w:t>
      </w:r>
      <w:r w:rsidRPr="00B73FD1">
        <w:rPr>
          <w:rFonts w:cstheme="minorHAnsi"/>
          <w:b/>
          <w:bCs/>
          <w:i/>
          <w:iCs/>
          <w:color w:val="000000"/>
        </w:rPr>
        <w:t xml:space="preserve">Documento Strategico di Programmazione </w:t>
      </w:r>
      <w:r w:rsidRPr="00B73FD1">
        <w:rPr>
          <w:rFonts w:cstheme="minorHAnsi"/>
          <w:b/>
          <w:bCs/>
          <w:color w:val="000000"/>
        </w:rPr>
        <w:t xml:space="preserve">(DSP) 2018, per il quinquennio 2018-2023, così come il </w:t>
      </w:r>
      <w:r w:rsidRPr="00B73FD1">
        <w:rPr>
          <w:rFonts w:cstheme="minorHAnsi"/>
          <w:b/>
          <w:bCs/>
          <w:i/>
          <w:iCs/>
          <w:color w:val="000000"/>
        </w:rPr>
        <w:t xml:space="preserve">Documento di Economia e Finanza Regionale </w:t>
      </w:r>
      <w:r w:rsidRPr="00B73FD1">
        <w:rPr>
          <w:rFonts w:cstheme="minorHAnsi"/>
          <w:b/>
          <w:bCs/>
          <w:color w:val="000000"/>
        </w:rPr>
        <w:t>(DEFR) 2019, per il triennio 2019-2021, stabiliscono le c.d. 8 macro-aree strategiche di intervento, con i</w:t>
      </w:r>
      <w:r>
        <w:rPr>
          <w:rFonts w:cstheme="minorHAnsi"/>
          <w:b/>
          <w:bCs/>
          <w:color w:val="000000"/>
        </w:rPr>
        <w:t xml:space="preserve"> </w:t>
      </w:r>
      <w:r w:rsidRPr="00B73FD1">
        <w:rPr>
          <w:rFonts w:cstheme="minorHAnsi"/>
          <w:b/>
          <w:bCs/>
          <w:color w:val="000000"/>
        </w:rPr>
        <w:t>corrispondenti indirizzi programmatici a carattere pluriennale.</w:t>
      </w:r>
      <w:r w:rsidR="009A6502">
        <w:rPr>
          <w:rFonts w:cstheme="minorHAnsi"/>
          <w:b/>
          <w:bCs/>
          <w:color w:val="000000"/>
        </w:rPr>
        <w:t xml:space="preserve"> </w:t>
      </w:r>
      <w:r w:rsidRPr="00B73FD1">
        <w:rPr>
          <w:rFonts w:cstheme="minorHAnsi"/>
          <w:b/>
          <w:bCs/>
          <w:color w:val="000000"/>
        </w:rPr>
        <w:t>Sulla base degli obiettivi di crescita e progresso sociale, evidenziati nei suindicati documenti di programmazione regionale ed in coerenza con quelli di livello nazionale e comunitario, sono state pertanto fissate le priorità politiche di medio-lungo periodo rivolte ad uno sviluppo intelligente, sostenibile e inclusivo del territorio laziale.</w:t>
      </w:r>
    </w:p>
    <w:p w:rsidR="006306B5" w:rsidRPr="00B73FD1"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Nel DEFR 2019 sono state aggiornate e rivisitate le priorità, rispetto alle macro-aree strategiche e con le corrispondenti azioni-cardine, individuate nei documenti di programmazione economico-finanziaria degli esercizi precedenti.</w:t>
      </w:r>
    </w:p>
    <w:p w:rsidR="006306B5" w:rsidRPr="00B73FD1"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La </w:t>
      </w:r>
      <w:r w:rsidRPr="00B73FD1">
        <w:rPr>
          <w:rFonts w:cstheme="minorHAnsi"/>
          <w:b/>
          <w:bCs/>
          <w:i/>
          <w:iCs/>
          <w:color w:val="000000"/>
        </w:rPr>
        <w:t xml:space="preserve">vision </w:t>
      </w:r>
      <w:r w:rsidRPr="00B73FD1">
        <w:rPr>
          <w:rFonts w:cstheme="minorHAnsi"/>
          <w:b/>
          <w:bCs/>
          <w:color w:val="000000"/>
        </w:rPr>
        <w:t>di crescita e progresso sociale del programma di governo, sintetizzata nelle</w:t>
      </w:r>
    </w:p>
    <w:p w:rsidR="006306B5" w:rsidRPr="00B73FD1"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8 macro-aree strategiche d’intervento, è stata infatti opportunamente collegata agli obiettivi tematici previsti dalla normativa comunitaria che regola la programmazione dei fondi europei per il periodo 2014-2020.17</w:t>
      </w:r>
    </w:p>
    <w:p w:rsidR="006306B5" w:rsidRPr="00B73FD1"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Le politiche per la crescita e lo sviluppo sostenibile insieme alle politiche redistributive – ovvero, i tre pilastri strategici – procederanno pertanto parallelamente, in un quadro di equilibrio della finanza pubblica, così da consentire che gli effetti socio-economici attesi potranno tradursi in un </w:t>
      </w:r>
      <w:r w:rsidRPr="00B73FD1">
        <w:rPr>
          <w:rFonts w:cstheme="minorHAnsi"/>
          <w:b/>
          <w:bCs/>
          <w:i/>
          <w:iCs/>
          <w:color w:val="000000"/>
        </w:rPr>
        <w:t xml:space="preserve">mix </w:t>
      </w:r>
      <w:r w:rsidRPr="00B73FD1">
        <w:rPr>
          <w:rFonts w:cstheme="minorHAnsi"/>
          <w:b/>
          <w:bCs/>
          <w:color w:val="000000"/>
        </w:rPr>
        <w:t>di progresso, crescita, riequilibrio territoriale, redistribuzione del reddito e riduzione delle diseguaglianze.</w:t>
      </w:r>
    </w:p>
    <w:p w:rsidR="006306B5" w:rsidRPr="00B73FD1"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In particolare, la pianificazione delle politiche è stata articolata in 8 macro-aree d’intervento, strutturate in 90 obiettivi programmatici e 446 azioni di mandato anche in funzione del raggiungimento degli obiettivi di medio-lungo termine della </w:t>
      </w:r>
      <w:r w:rsidRPr="00B73FD1">
        <w:rPr>
          <w:rFonts w:cstheme="minorHAnsi"/>
          <w:b/>
          <w:bCs/>
          <w:i/>
          <w:iCs/>
          <w:color w:val="000000"/>
        </w:rPr>
        <w:t xml:space="preserve">Strategia Europa 2020 </w:t>
      </w:r>
      <w:r w:rsidRPr="00B73FD1">
        <w:rPr>
          <w:rFonts w:cstheme="minorHAnsi"/>
          <w:b/>
          <w:bCs/>
          <w:color w:val="000000"/>
        </w:rPr>
        <w:t xml:space="preserve">(cfr. </w:t>
      </w:r>
      <w:r w:rsidRPr="00B73FD1">
        <w:rPr>
          <w:rFonts w:cstheme="minorHAnsi"/>
          <w:b/>
          <w:bCs/>
          <w:i/>
          <w:iCs/>
          <w:color w:val="000000"/>
        </w:rPr>
        <w:t xml:space="preserve">Appendice statistica </w:t>
      </w:r>
      <w:r w:rsidRPr="00B73FD1">
        <w:rPr>
          <w:rFonts w:cstheme="minorHAnsi"/>
          <w:b/>
          <w:bCs/>
          <w:color w:val="000000"/>
        </w:rPr>
        <w:t>– DEFR 2019, Tav. S1.28)</w:t>
      </w:r>
    </w:p>
    <w:p w:rsidR="006306B5" w:rsidRPr="00B73FD1"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Le macro-aree strategiche di intervento e gli indirizzi programmatici, che già in passato hanno costituito la base per la definizione delle priorità dell’azione pubblica,</w:t>
      </w:r>
      <w:r>
        <w:rPr>
          <w:rFonts w:cstheme="minorHAnsi"/>
          <w:b/>
          <w:bCs/>
          <w:color w:val="000000"/>
        </w:rPr>
        <w:t xml:space="preserve"> </w:t>
      </w:r>
      <w:r w:rsidRPr="00B73FD1">
        <w:rPr>
          <w:rFonts w:cstheme="minorHAnsi"/>
          <w:b/>
          <w:bCs/>
          <w:color w:val="000000"/>
        </w:rPr>
        <w:t xml:space="preserve">rappresentano ancora una volta gli assi portanti delle </w:t>
      </w:r>
      <w:r w:rsidRPr="00B73FD1">
        <w:rPr>
          <w:rFonts w:cstheme="minorHAnsi"/>
          <w:b/>
          <w:bCs/>
          <w:i/>
          <w:iCs/>
          <w:color w:val="000000"/>
        </w:rPr>
        <w:t xml:space="preserve">policies </w:t>
      </w:r>
      <w:r w:rsidRPr="00B73FD1">
        <w:rPr>
          <w:rFonts w:cstheme="minorHAnsi"/>
          <w:b/>
          <w:bCs/>
          <w:color w:val="000000"/>
        </w:rPr>
        <w:t>regionali.</w:t>
      </w:r>
    </w:p>
    <w:p w:rsidR="006306B5" w:rsidRPr="00B73FD1"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Proprio partendo dalle macro-aree strategiche di intervento, su cui si basa il programma di governo, come specificate nel </w:t>
      </w:r>
      <w:r w:rsidRPr="00B73FD1">
        <w:rPr>
          <w:rFonts w:cstheme="minorHAnsi"/>
          <w:b/>
          <w:bCs/>
          <w:i/>
          <w:iCs/>
          <w:color w:val="000000"/>
        </w:rPr>
        <w:t xml:space="preserve">Documento Strategico di Programmazione </w:t>
      </w:r>
      <w:r w:rsidRPr="00B73FD1">
        <w:rPr>
          <w:rFonts w:cstheme="minorHAnsi"/>
          <w:b/>
          <w:bCs/>
          <w:color w:val="000000"/>
        </w:rPr>
        <w:t xml:space="preserve">(DSP) 2018 e nel </w:t>
      </w:r>
      <w:r w:rsidRPr="00B73FD1">
        <w:rPr>
          <w:rFonts w:cstheme="minorHAnsi"/>
          <w:b/>
          <w:bCs/>
          <w:i/>
          <w:iCs/>
          <w:color w:val="000000"/>
        </w:rPr>
        <w:t xml:space="preserve">Documento di Economia e Finanza Regionale </w:t>
      </w:r>
      <w:r w:rsidRPr="00B73FD1">
        <w:rPr>
          <w:rFonts w:cstheme="minorHAnsi"/>
          <w:b/>
          <w:bCs/>
          <w:color w:val="000000"/>
        </w:rPr>
        <w:t xml:space="preserve">(DEFR) 2019, tenuto anche conto delle priorità di intervento già definite nelle </w:t>
      </w:r>
      <w:r w:rsidRPr="00B73FD1">
        <w:rPr>
          <w:rFonts w:cstheme="minorHAnsi"/>
          <w:b/>
          <w:bCs/>
          <w:i/>
          <w:iCs/>
          <w:color w:val="000000"/>
        </w:rPr>
        <w:t xml:space="preserve">Linee di indirizzo </w:t>
      </w:r>
      <w:r w:rsidRPr="00B73FD1">
        <w:rPr>
          <w:rFonts w:cstheme="minorHAnsi"/>
          <w:b/>
          <w:bCs/>
          <w:color w:val="000000"/>
        </w:rPr>
        <w:t>e delle azioni cardine definite dalla Giunta regionale per il ciclo di programmazione comunitaria 2014-2020, sono stabiliti gli obiettivi strategici ed operativi delle strutture apicali dell’organizzazione della Giunta regionale per il triennio 2019-2021.</w:t>
      </w:r>
    </w:p>
    <w:p w:rsidR="006306B5" w:rsidRPr="00B73FD1"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Il processo di coordinamento ed integrazione tra l’architettura della programmazione politico-amministrativa e gli obiettivi tematici della politica di coesione 2014-2020, considerate anche le relative fonti di finanziamento, è affidato ad una “cabina di regia” per la programmazione e per l’attuazione degli interventi. Tale struttura riferisce quadrimestralmente alle commissioni consiliari competenti in materia di bilancio, attività produttive e affari europei, secondo la scansione temporale indicata nel cronoprogramma.</w:t>
      </w:r>
    </w:p>
    <w:p w:rsidR="006306B5" w:rsidRPr="00B73FD1"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A tal fine, si è quindi implementato un processo di analisi della capacità amministrativa regionale, della regolamentazione europea per la politica di coesione, nonché dei fabbisogni di crescita, sostenibilità e inclusione, rivolto alla realizzazione degli interventi previsti, con livelli di maggior efficienza ed efficacia, tramite un sistema di indicatori specifici, previamente stabiliti.</w:t>
      </w:r>
    </w:p>
    <w:p w:rsidR="006306B5" w:rsidRPr="00B73FD1"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lastRenderedPageBreak/>
        <w:t xml:space="preserve">Con il Piano della </w:t>
      </w:r>
      <w:r w:rsidRPr="00B73FD1">
        <w:rPr>
          <w:rFonts w:cstheme="minorHAnsi"/>
          <w:b/>
          <w:bCs/>
          <w:i/>
          <w:iCs/>
          <w:color w:val="000000"/>
        </w:rPr>
        <w:t xml:space="preserve">performance </w:t>
      </w:r>
      <w:r w:rsidRPr="00B73FD1">
        <w:rPr>
          <w:rFonts w:cstheme="minorHAnsi"/>
          <w:b/>
          <w:bCs/>
          <w:color w:val="000000"/>
        </w:rPr>
        <w:t xml:space="preserve">2014-201619 è stato dato avvio per la prima </w:t>
      </w:r>
      <w:proofErr w:type="gramStart"/>
      <w:r w:rsidRPr="00B73FD1">
        <w:rPr>
          <w:rFonts w:cstheme="minorHAnsi"/>
          <w:b/>
          <w:bCs/>
          <w:color w:val="000000"/>
        </w:rPr>
        <w:t>volta  a</w:t>
      </w:r>
      <w:proofErr w:type="gramEnd"/>
      <w:r w:rsidRPr="00B73FD1">
        <w:rPr>
          <w:rFonts w:cstheme="minorHAnsi"/>
          <w:b/>
          <w:bCs/>
          <w:color w:val="000000"/>
        </w:rPr>
        <w:t xml:space="preserve"> livello regionale al ciclo di gestione della </w:t>
      </w:r>
      <w:r w:rsidRPr="00B73FD1">
        <w:rPr>
          <w:rFonts w:cstheme="minorHAnsi"/>
          <w:b/>
          <w:bCs/>
          <w:i/>
          <w:iCs/>
          <w:color w:val="000000"/>
        </w:rPr>
        <w:t>performance</w:t>
      </w:r>
      <w:r w:rsidRPr="00B73FD1">
        <w:rPr>
          <w:rFonts w:cstheme="minorHAnsi"/>
          <w:b/>
          <w:bCs/>
          <w:color w:val="000000"/>
        </w:rPr>
        <w:t>, tracciando, in forma compiuta, le logiche di collegamento dell’azione amministrativa con i bisogni espressi dai cittadini, dalle famiglie e dalle imprese del territorio regionale.</w:t>
      </w:r>
    </w:p>
    <w:p w:rsidR="006306B5" w:rsidRPr="00B73FD1"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Successivamente, in un’ottica di coerenza e di gradualità con il Piano della </w:t>
      </w:r>
      <w:r w:rsidRPr="00B73FD1">
        <w:rPr>
          <w:rFonts w:cstheme="minorHAnsi"/>
          <w:b/>
          <w:bCs/>
          <w:i/>
          <w:iCs/>
          <w:color w:val="000000"/>
        </w:rPr>
        <w:t xml:space="preserve">performance </w:t>
      </w:r>
      <w:r w:rsidRPr="00B73FD1">
        <w:rPr>
          <w:rFonts w:cstheme="minorHAnsi"/>
          <w:b/>
          <w:bCs/>
          <w:color w:val="000000"/>
        </w:rPr>
        <w:t>2015-2017, si sono registrati alcuni miglioramenti sia in termini di impegno delle strutture amministrative sia in termini di consapevolezza del personale dirigenziale.</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Con il Piano della </w:t>
      </w:r>
      <w:r w:rsidRPr="00B73FD1">
        <w:rPr>
          <w:rFonts w:cstheme="minorHAnsi"/>
          <w:b/>
          <w:bCs/>
          <w:i/>
          <w:iCs/>
          <w:color w:val="000000"/>
        </w:rPr>
        <w:t xml:space="preserve">performance </w:t>
      </w:r>
      <w:r w:rsidRPr="00B73FD1">
        <w:rPr>
          <w:rFonts w:cstheme="minorHAnsi"/>
          <w:b/>
          <w:bCs/>
          <w:color w:val="000000"/>
        </w:rPr>
        <w:t>2016-2018</w:t>
      </w:r>
      <w:r>
        <w:rPr>
          <w:rFonts w:cstheme="minorHAnsi"/>
          <w:b/>
          <w:bCs/>
          <w:color w:val="000000"/>
        </w:rPr>
        <w:t xml:space="preserve"> </w:t>
      </w:r>
      <w:r w:rsidRPr="00B73FD1">
        <w:rPr>
          <w:rFonts w:cstheme="minorHAnsi"/>
          <w:b/>
          <w:bCs/>
          <w:color w:val="000000"/>
        </w:rPr>
        <w:t xml:space="preserve"> si è fatto un utilizzo appropriato dei sistemi informativi, con metodologie di lavoro e modalità di comunicazione più efficienti per svolgere gli </w:t>
      </w:r>
      <w:r w:rsidRPr="00B73FD1">
        <w:rPr>
          <w:rFonts w:cstheme="minorHAnsi"/>
          <w:b/>
          <w:bCs/>
          <w:i/>
          <w:iCs/>
          <w:color w:val="000000"/>
        </w:rPr>
        <w:t xml:space="preserve">steps </w:t>
      </w:r>
      <w:r w:rsidRPr="00B73FD1">
        <w:rPr>
          <w:rFonts w:cstheme="minorHAnsi"/>
          <w:b/>
          <w:bCs/>
          <w:color w:val="000000"/>
        </w:rPr>
        <w:t xml:space="preserve">negoziali di confronto sugli obiettivi e per elaborare le proposte finali: è stato ridotto il numero degli obiettivi da assegnare alle strutture amministrative, insistendo sulle attività più qualificanti; è stata studiata la strategia per sviluppare la sinergia tra il ciclo di gestione della </w:t>
      </w:r>
      <w:r w:rsidRPr="00B73FD1">
        <w:rPr>
          <w:rFonts w:cstheme="minorHAnsi"/>
          <w:b/>
          <w:bCs/>
          <w:i/>
          <w:iCs/>
          <w:color w:val="000000"/>
        </w:rPr>
        <w:t xml:space="preserve">performance </w:t>
      </w:r>
      <w:r w:rsidRPr="00B73FD1">
        <w:rPr>
          <w:rFonts w:cstheme="minorHAnsi"/>
          <w:b/>
          <w:bCs/>
          <w:color w:val="000000"/>
        </w:rPr>
        <w:t xml:space="preserve">della Giunta regionale con quello degli enti dipendenti e delle società partecipate. </w:t>
      </w:r>
    </w:p>
    <w:p w:rsidR="006306B5" w:rsidRDefault="006306B5" w:rsidP="006306B5">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Nel contempo, si sta mettendo a punto un sistema analitico di monitoraggio/rendicontazione sul grado di realizzazione degli obiettivi strategici, in grado di ampliare la conoscenza degli esiti dell’azione pubblica e i margini di partecipazione di cittadini e/o </w:t>
      </w:r>
      <w:r w:rsidRPr="00B73FD1">
        <w:rPr>
          <w:rFonts w:cstheme="minorHAnsi"/>
          <w:b/>
          <w:bCs/>
          <w:i/>
          <w:iCs/>
          <w:color w:val="000000"/>
        </w:rPr>
        <w:t xml:space="preserve">stakeholders </w:t>
      </w:r>
      <w:r w:rsidRPr="00B73FD1">
        <w:rPr>
          <w:rFonts w:cstheme="minorHAnsi"/>
          <w:b/>
          <w:bCs/>
          <w:color w:val="000000"/>
        </w:rPr>
        <w:t>alle scelte politiche</w:t>
      </w:r>
      <w:r>
        <w:rPr>
          <w:rFonts w:cstheme="minorHAnsi"/>
          <w:b/>
          <w:bCs/>
          <w:color w:val="000000"/>
        </w:rPr>
        <w:t>.</w:t>
      </w:r>
    </w:p>
    <w:p w:rsidR="00963386" w:rsidRDefault="00963386" w:rsidP="006306B5">
      <w:pPr>
        <w:autoSpaceDE w:val="0"/>
        <w:autoSpaceDN w:val="0"/>
        <w:adjustRightInd w:val="0"/>
        <w:spacing w:after="0" w:line="20" w:lineRule="atLeast"/>
        <w:jc w:val="both"/>
        <w:rPr>
          <w:rFonts w:cstheme="minorHAnsi"/>
          <w:b/>
          <w:bCs/>
          <w:color w:val="000000"/>
        </w:rPr>
      </w:pPr>
    </w:p>
    <w:p w:rsidR="008674D1" w:rsidRPr="006B0B81" w:rsidRDefault="00963386" w:rsidP="008674D1">
      <w:pPr>
        <w:spacing w:after="0" w:line="20" w:lineRule="atLeast"/>
        <w:jc w:val="both"/>
        <w:rPr>
          <w:rFonts w:cstheme="minorHAnsi"/>
        </w:rPr>
      </w:pPr>
      <w:r w:rsidRPr="00963386">
        <w:rPr>
          <w:b/>
        </w:rPr>
        <w:t xml:space="preserve">DGR  2 agosto 2019, n. 597, </w:t>
      </w:r>
      <w:proofErr w:type="gramStart"/>
      <w:r w:rsidRPr="008674D1">
        <w:t>Relazione</w:t>
      </w:r>
      <w:r w:rsidR="008674D1" w:rsidRPr="008674D1">
        <w:t xml:space="preserve"> </w:t>
      </w:r>
      <w:r w:rsidRPr="008674D1">
        <w:t xml:space="preserve"> sulla</w:t>
      </w:r>
      <w:proofErr w:type="gramEnd"/>
      <w:r w:rsidRPr="008674D1">
        <w:t xml:space="preserve"> performance – anno 2018</w:t>
      </w:r>
      <w:r w:rsidR="008674D1">
        <w:rPr>
          <w:b/>
        </w:rPr>
        <w:t xml:space="preserve">. </w:t>
      </w:r>
      <w:r w:rsidR="008674D1">
        <w:rPr>
          <w:rFonts w:cstheme="minorHAnsi"/>
        </w:rPr>
        <w:t>(BUR n. 66 del 16.8.19)</w:t>
      </w:r>
    </w:p>
    <w:p w:rsidR="00963386" w:rsidRPr="00963386" w:rsidRDefault="00963386" w:rsidP="00963386">
      <w:pPr>
        <w:autoSpaceDE w:val="0"/>
        <w:autoSpaceDN w:val="0"/>
        <w:adjustRightInd w:val="0"/>
        <w:spacing w:after="0" w:line="20" w:lineRule="atLeast"/>
        <w:jc w:val="both"/>
        <w:rPr>
          <w:b/>
        </w:rPr>
      </w:pPr>
      <w:r w:rsidRPr="00963386">
        <w:rPr>
          <w:b/>
        </w:rPr>
        <w:t>Note</w:t>
      </w:r>
    </w:p>
    <w:p w:rsidR="00963386" w:rsidRPr="00963386" w:rsidRDefault="00963386" w:rsidP="00963386">
      <w:pPr>
        <w:autoSpaceDE w:val="0"/>
        <w:autoSpaceDN w:val="0"/>
        <w:adjustRightInd w:val="0"/>
        <w:spacing w:after="0" w:line="20" w:lineRule="atLeast"/>
        <w:jc w:val="both"/>
      </w:pPr>
      <w:proofErr w:type="gramStart"/>
      <w:r w:rsidRPr="00963386">
        <w:t>Viene  adottata</w:t>
      </w:r>
      <w:proofErr w:type="gramEnd"/>
      <w:r w:rsidRPr="00963386">
        <w:t xml:space="preserve"> la “Relazione sulla performance – anno 2018” allegata alla presente Deliberazione come parte integrante e sostanziale.</w:t>
      </w:r>
    </w:p>
    <w:p w:rsidR="00963386" w:rsidRPr="00963386" w:rsidRDefault="00963386" w:rsidP="00963386">
      <w:pPr>
        <w:autoSpaceDE w:val="0"/>
        <w:autoSpaceDN w:val="0"/>
        <w:adjustRightInd w:val="0"/>
        <w:spacing w:after="0" w:line="20" w:lineRule="atLeast"/>
        <w:jc w:val="both"/>
        <w:rPr>
          <w:b/>
        </w:rPr>
      </w:pPr>
      <w:r w:rsidRPr="00963386">
        <w:rPr>
          <w:b/>
        </w:rPr>
        <w:t>NB</w:t>
      </w:r>
    </w:p>
    <w:p w:rsidR="00963386" w:rsidRPr="00963386" w:rsidRDefault="00963386" w:rsidP="00963386">
      <w:pPr>
        <w:autoSpaceDE w:val="0"/>
        <w:autoSpaceDN w:val="0"/>
        <w:adjustRightInd w:val="0"/>
        <w:spacing w:after="0" w:line="20" w:lineRule="atLeast"/>
        <w:jc w:val="both"/>
        <w:rPr>
          <w:b/>
        </w:rPr>
      </w:pPr>
      <w:r w:rsidRPr="00963386">
        <w:rPr>
          <w:b/>
        </w:rPr>
        <w:t>SI RIPORTANO I PARAGRAFI ATTINENTI ALLE POLITICHE SOCIO-SANITARIE</w:t>
      </w:r>
    </w:p>
    <w:p w:rsidR="00963386" w:rsidRPr="00963386" w:rsidRDefault="00963386" w:rsidP="00963386">
      <w:pPr>
        <w:autoSpaceDE w:val="0"/>
        <w:autoSpaceDN w:val="0"/>
        <w:adjustRightInd w:val="0"/>
        <w:spacing w:after="0" w:line="20" w:lineRule="atLeast"/>
        <w:jc w:val="both"/>
      </w:pPr>
      <w:r w:rsidRPr="00963386">
        <w:t xml:space="preserve">Fra la macro-aree agli obiettivi strategici In coerenza con il mandato istituzionale, i risultati dell’analisi di contesto, è considerata: </w:t>
      </w:r>
    </w:p>
    <w:p w:rsidR="00963386" w:rsidRPr="00963386" w:rsidRDefault="00963386" w:rsidP="00963386">
      <w:pPr>
        <w:autoSpaceDE w:val="0"/>
        <w:autoSpaceDN w:val="0"/>
        <w:adjustRightInd w:val="0"/>
        <w:spacing w:after="0" w:line="20" w:lineRule="atLeast"/>
        <w:jc w:val="both"/>
      </w:pPr>
      <w:r w:rsidRPr="00963386">
        <w:t xml:space="preserve"> Per prendersi cura </w:t>
      </w:r>
    </w:p>
    <w:p w:rsidR="00963386" w:rsidRPr="00963386" w:rsidRDefault="00963386" w:rsidP="00963386">
      <w:pPr>
        <w:autoSpaceDE w:val="0"/>
        <w:autoSpaceDN w:val="0"/>
        <w:adjustRightInd w:val="0"/>
        <w:spacing w:after="0" w:line="20" w:lineRule="atLeast"/>
        <w:jc w:val="both"/>
      </w:pPr>
      <w:r w:rsidRPr="00963386">
        <w:t>•Rilanciare la sanità pubblica attraverso una innovativa pianificazione e organizz</w:t>
      </w:r>
      <w:r w:rsidR="00D533D7">
        <w:t>az</w:t>
      </w:r>
      <w:r w:rsidRPr="00963386">
        <w:t xml:space="preserve">ione del SSR </w:t>
      </w:r>
    </w:p>
    <w:p w:rsidR="00963386" w:rsidRPr="00963386" w:rsidRDefault="00963386" w:rsidP="00963386">
      <w:pPr>
        <w:autoSpaceDE w:val="0"/>
        <w:autoSpaceDN w:val="0"/>
        <w:adjustRightInd w:val="0"/>
        <w:spacing w:after="0" w:line="20" w:lineRule="atLeast"/>
        <w:jc w:val="both"/>
        <w:rPr>
          <w:b/>
        </w:rPr>
      </w:pPr>
      <w:r w:rsidRPr="00963386">
        <w:t>•Costruire il nuovo welfare.</w:t>
      </w:r>
    </w:p>
    <w:p w:rsidR="00963386" w:rsidRPr="00963386" w:rsidRDefault="00963386" w:rsidP="00963386">
      <w:pPr>
        <w:autoSpaceDE w:val="0"/>
        <w:autoSpaceDN w:val="0"/>
        <w:adjustRightInd w:val="0"/>
        <w:spacing w:after="0" w:line="20" w:lineRule="atLeast"/>
        <w:jc w:val="both"/>
        <w:rPr>
          <w:b/>
        </w:rPr>
      </w:pPr>
      <w:r w:rsidRPr="00963386">
        <w:rPr>
          <w:b/>
        </w:rPr>
        <w:t xml:space="preserve">Sociale </w:t>
      </w:r>
    </w:p>
    <w:p w:rsidR="00963386" w:rsidRPr="00963386" w:rsidRDefault="00963386" w:rsidP="00963386">
      <w:pPr>
        <w:autoSpaceDE w:val="0"/>
        <w:autoSpaceDN w:val="0"/>
        <w:adjustRightInd w:val="0"/>
        <w:spacing w:after="0" w:line="20" w:lineRule="atLeast"/>
        <w:jc w:val="both"/>
      </w:pPr>
      <w:r w:rsidRPr="00963386">
        <w:t xml:space="preserve">In linea con le attribuzioni della composizione della Giunta regionale, con DGR 203/2018 è stata istituita la Direzione Inclusione sociale definendone competenze e procedendo alla riorganizzazione funzionale delle strutture facenti capo ad essa. Con DGR 810/2018 è stato approvato il Piano regionale della povertà che rappresenta un passaggio importante, a conclusione di una lunga ed impegnativa fase istruttoria, caratterizzato dal riordino delle prestazioni sociali finalizzate al contrasto alla povertà e all’esclusione sociale, con l’introduzione del Reddito di Inclusione (REI), quale misura a livello nazionale. </w:t>
      </w:r>
    </w:p>
    <w:p w:rsidR="00963386" w:rsidRPr="00963386" w:rsidRDefault="00963386" w:rsidP="00963386">
      <w:pPr>
        <w:autoSpaceDE w:val="0"/>
        <w:autoSpaceDN w:val="0"/>
        <w:adjustRightInd w:val="0"/>
        <w:spacing w:after="0" w:line="20" w:lineRule="atLeast"/>
        <w:jc w:val="both"/>
        <w:rPr>
          <w:b/>
        </w:rPr>
      </w:pPr>
      <w:r w:rsidRPr="00963386">
        <w:t>Il cofinanziamento della misura nazionale REI ha determinato da parte della Regione Lazio la diretta programmazione delle risorse economiche, pari a € 26.209.400,00, definendo gli atti di impegno e liquidazione in favore di Roma Capitale e degli altri 36 distretti sociosanitari regionali</w:t>
      </w:r>
    </w:p>
    <w:p w:rsidR="00963386" w:rsidRPr="00963386" w:rsidRDefault="00963386" w:rsidP="00963386">
      <w:pPr>
        <w:autoSpaceDE w:val="0"/>
        <w:autoSpaceDN w:val="0"/>
        <w:adjustRightInd w:val="0"/>
        <w:spacing w:after="0" w:line="20" w:lineRule="atLeast"/>
        <w:jc w:val="both"/>
      </w:pPr>
      <w:r w:rsidRPr="00963386">
        <w:t xml:space="preserve">Di particolare rilievo l’attività relativa alla predisposizione del nuovo Piano sociale della Regione Lazio. Il principio guida di tale percorso è stato individuato nella centralità della persona nella comunità e nella sua partecipazione attiva a quest’ultima. </w:t>
      </w:r>
    </w:p>
    <w:p w:rsidR="00963386" w:rsidRPr="00963386" w:rsidRDefault="00963386" w:rsidP="00963386">
      <w:pPr>
        <w:autoSpaceDE w:val="0"/>
        <w:autoSpaceDN w:val="0"/>
        <w:adjustRightInd w:val="0"/>
        <w:spacing w:after="0" w:line="20" w:lineRule="atLeast"/>
        <w:jc w:val="both"/>
      </w:pPr>
      <w:r w:rsidRPr="00963386">
        <w:t xml:space="preserve">Attorno a tale principio sono state costruite politiche, progettualità, servizi e strutture specifiche. </w:t>
      </w:r>
    </w:p>
    <w:p w:rsidR="00963386" w:rsidRPr="00963386" w:rsidRDefault="00963386" w:rsidP="00963386">
      <w:pPr>
        <w:autoSpaceDE w:val="0"/>
        <w:autoSpaceDN w:val="0"/>
        <w:adjustRightInd w:val="0"/>
        <w:spacing w:after="0" w:line="20" w:lineRule="atLeast"/>
        <w:jc w:val="both"/>
      </w:pPr>
      <w:r w:rsidRPr="00963386">
        <w:t>In particolare, sono state elaborate delle linee di azione:</w:t>
      </w:r>
    </w:p>
    <w:p w:rsidR="00963386" w:rsidRPr="00963386" w:rsidRDefault="00963386" w:rsidP="00963386">
      <w:pPr>
        <w:autoSpaceDE w:val="0"/>
        <w:autoSpaceDN w:val="0"/>
        <w:adjustRightInd w:val="0"/>
        <w:spacing w:after="0" w:line="20" w:lineRule="atLeast"/>
        <w:jc w:val="both"/>
      </w:pPr>
      <w:r w:rsidRPr="00963386">
        <w:t>- impostazione centrata sui livelli essenziali delle prestazioni in luogo dell'approccio, ormai obsoleto per quanto radicato, centrato sulle categorie;</w:t>
      </w:r>
    </w:p>
    <w:p w:rsidR="00963386" w:rsidRPr="00963386" w:rsidRDefault="00963386" w:rsidP="00963386">
      <w:pPr>
        <w:autoSpaceDE w:val="0"/>
        <w:autoSpaceDN w:val="0"/>
        <w:adjustRightInd w:val="0"/>
        <w:spacing w:after="0" w:line="20" w:lineRule="atLeast"/>
        <w:jc w:val="both"/>
      </w:pPr>
      <w:r w:rsidRPr="00963386">
        <w:t xml:space="preserve">- logica dell'integrazione perseguita a diversi livelli: integrazione delle politiche e degli attori (istituzionali e non), dei programmi e dei processi, dei servizi e degli interventi, delle risorse umane, strumentali e finanziarie; </w:t>
      </w:r>
    </w:p>
    <w:p w:rsidR="00963386" w:rsidRPr="00963386" w:rsidRDefault="00963386" w:rsidP="00963386">
      <w:pPr>
        <w:autoSpaceDE w:val="0"/>
        <w:autoSpaceDN w:val="0"/>
        <w:adjustRightInd w:val="0"/>
        <w:spacing w:after="0" w:line="20" w:lineRule="atLeast"/>
        <w:jc w:val="both"/>
      </w:pPr>
      <w:r w:rsidRPr="00963386">
        <w:t xml:space="preserve">- approccio di prossimità alla persona privilegiando interventi domiciliari, centrati su diversi aspetti, quali la permanenza nel proprio contesto di vita, il sostegno all'abitare, l'inclusione nella comunità di appartenenza, la predisposizione di soluzione abitative che riproducano le condizioni di vita familiari; </w:t>
      </w:r>
    </w:p>
    <w:p w:rsidR="00963386" w:rsidRPr="00963386" w:rsidRDefault="00963386" w:rsidP="00963386">
      <w:pPr>
        <w:autoSpaceDE w:val="0"/>
        <w:autoSpaceDN w:val="0"/>
        <w:adjustRightInd w:val="0"/>
        <w:spacing w:after="0" w:line="20" w:lineRule="atLeast"/>
        <w:jc w:val="both"/>
      </w:pPr>
      <w:r w:rsidRPr="00963386">
        <w:t xml:space="preserve">- innovazione nei processi partecipativi nello sviluppo di comunità responsabili e mutualistiche, nel coinvolgimento nella co-progettazione delle organizzazioni di terzo settore e nella valutazione di impatto delle attività, dei progetti e delle politiche; </w:t>
      </w:r>
    </w:p>
    <w:p w:rsidR="00963386" w:rsidRPr="00963386" w:rsidRDefault="00963386" w:rsidP="00963386">
      <w:pPr>
        <w:autoSpaceDE w:val="0"/>
        <w:autoSpaceDN w:val="0"/>
        <w:adjustRightInd w:val="0"/>
        <w:spacing w:after="0" w:line="20" w:lineRule="atLeast"/>
        <w:jc w:val="both"/>
      </w:pPr>
      <w:r w:rsidRPr="00963386">
        <w:lastRenderedPageBreak/>
        <w:t>- approccio basato sulla conoscenza approfondita dei cambiamenti sociali specifici di ogni territorio, dell’offerta di strutture e servizi, delle vulnerabilità e delle prese in carico per la programmazione di interventi personalizzati.</w:t>
      </w:r>
    </w:p>
    <w:p w:rsidR="00963386" w:rsidRPr="00963386" w:rsidRDefault="00963386" w:rsidP="00963386">
      <w:pPr>
        <w:autoSpaceDE w:val="0"/>
        <w:autoSpaceDN w:val="0"/>
        <w:adjustRightInd w:val="0"/>
        <w:spacing w:after="0" w:line="20" w:lineRule="atLeast"/>
        <w:jc w:val="both"/>
        <w:rPr>
          <w:b/>
        </w:rPr>
      </w:pPr>
      <w:r w:rsidRPr="00963386">
        <w:rPr>
          <w:b/>
        </w:rPr>
        <w:t xml:space="preserve">Le politiche nel settore della sanità </w:t>
      </w:r>
    </w:p>
    <w:p w:rsidR="00972234" w:rsidRDefault="00963386" w:rsidP="00D272D7">
      <w:pPr>
        <w:autoSpaceDE w:val="0"/>
        <w:autoSpaceDN w:val="0"/>
        <w:adjustRightInd w:val="0"/>
        <w:spacing w:after="0" w:line="20" w:lineRule="atLeast"/>
        <w:jc w:val="both"/>
        <w:rPr>
          <w:color w:val="FF0000"/>
        </w:rPr>
      </w:pPr>
      <w:r w:rsidRPr="00963386">
        <w:t>Sulla base delle informazioni disponibili al 31 dicembre 2018 sono stati analizzati i principali argomenti – il finanziamento del Servizio Sanitario Regionale; il disavanzo e la copertura del disavanzo; la gestione sanitaria e l’incidenza del bilancio sanitario regionale sul bilancio regionale; le politiche sanitarie regionali nel breve-medio periodo – che descrivono l’azione di governo in materia di politiche sanitarie regionali. Relativamente al livello del finanziamento del Sistema Sanitario Nazionale (SSN) cui ha concorso ordinariamente lo Stato con il Fondo Sanitario Nazionale (FSN) – per il 2018 – questo è stato determinato, inizialmente, in 113,404 miliardi, per poi essere ridimensionato 112,681 miliardi per consentire il finanziamento di due fondi destinati al rimborso alle regioni per l’acquisto dei medicinali innovativi(51) (fondo di 23 milioni) e al rimborso alle regioni per l’acquisto dei medicinali oncologici innovativi(52) (fondo di 500 milioni). Nella Regione Lazio, anche nel 2018, come nell’anno precedente, è stata data attuazione alla normativa(53) in materia di costi e fabbisogni standard (54) nel settore sanitario. Il riparto del Fondo Sanitario indistinto lordo (109,877 miliardi circa) (55) ha ridefinizione la quota di accesso per la Regione Lazio: dal 9,64 per cento per l’anno 2017 (10,506 miliardi) al 9,67 per cento per il 2018 (10,622 miliardi). Il Fondo Sanitario Regionale netto totale per il 2018 ha, dunque, avuto una dotazione di 10,427 miliardi, 69 milioni in più rispetto al 2017</w:t>
      </w:r>
      <w:r>
        <w:rPr>
          <w:color w:val="FF0000"/>
        </w:rPr>
        <w:t>.</w:t>
      </w:r>
      <w:r w:rsidRPr="00473A73">
        <w:rPr>
          <w:color w:val="FF0000"/>
        </w:rPr>
        <w:t xml:space="preserve"> </w:t>
      </w:r>
    </w:p>
    <w:p w:rsidR="00D272D7" w:rsidRDefault="00D272D7" w:rsidP="00D272D7">
      <w:pPr>
        <w:autoSpaceDE w:val="0"/>
        <w:autoSpaceDN w:val="0"/>
        <w:adjustRightInd w:val="0"/>
        <w:spacing w:after="0" w:line="20" w:lineRule="atLeast"/>
        <w:jc w:val="both"/>
        <w:rPr>
          <w:rFonts w:ascii="Corbel" w:hAnsi="Corbel" w:cs="Verdana"/>
          <w:b/>
          <w:bCs/>
          <w:color w:val="000000"/>
        </w:rPr>
      </w:pPr>
    </w:p>
    <w:p w:rsidR="00972234" w:rsidRDefault="00972234" w:rsidP="00972234">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ascii="Corbel" w:hAnsi="Corbel" w:cs="Verdana"/>
          <w:b/>
          <w:bCs/>
          <w:color w:val="000000"/>
        </w:rPr>
      </w:pPr>
      <w:r>
        <w:rPr>
          <w:rFonts w:ascii="Corbel" w:hAnsi="Corbel" w:cs="Verdana"/>
          <w:b/>
          <w:bCs/>
          <w:color w:val="000000"/>
        </w:rPr>
        <w:t>ANZIANI</w:t>
      </w:r>
    </w:p>
    <w:p w:rsidR="00972234" w:rsidRDefault="00972234" w:rsidP="00BC1888">
      <w:pPr>
        <w:spacing w:after="0" w:line="20" w:lineRule="atLeast"/>
        <w:jc w:val="both"/>
        <w:rPr>
          <w:rFonts w:ascii="Corbel" w:hAnsi="Corbel" w:cs="Verdana"/>
          <w:b/>
          <w:bCs/>
          <w:color w:val="000000"/>
        </w:rPr>
      </w:pPr>
    </w:p>
    <w:p w:rsidR="00972234" w:rsidRPr="00983BF8" w:rsidRDefault="00972234" w:rsidP="00972234">
      <w:pPr>
        <w:autoSpaceDE w:val="0"/>
        <w:autoSpaceDN w:val="0"/>
        <w:adjustRightInd w:val="0"/>
        <w:spacing w:after="0" w:line="20" w:lineRule="atLeast"/>
        <w:jc w:val="both"/>
        <w:rPr>
          <w:rFonts w:cstheme="minorHAnsi"/>
        </w:rPr>
      </w:pPr>
      <w:r w:rsidRPr="00983BF8">
        <w:rPr>
          <w:rFonts w:cstheme="minorHAnsi"/>
          <w:b/>
        </w:rPr>
        <w:t>Determinazione 26 luglio 2019 G10198/19</w:t>
      </w:r>
      <w:r w:rsidRPr="00983BF8">
        <w:rPr>
          <w:rFonts w:cstheme="minorHAnsi"/>
        </w:rPr>
        <w:t>, Costituzione di un gruppo di lavoro per l'elaborazione di Linee guida regionali in materia di centri anziani". Nomina componenti (BUR n. 64 dell’8.8.19)</w:t>
      </w:r>
    </w:p>
    <w:p w:rsidR="00972234" w:rsidRPr="006306B5" w:rsidRDefault="00972234" w:rsidP="00972234">
      <w:pPr>
        <w:autoSpaceDE w:val="0"/>
        <w:autoSpaceDN w:val="0"/>
        <w:adjustRightInd w:val="0"/>
        <w:spacing w:after="0" w:line="20" w:lineRule="atLeast"/>
        <w:jc w:val="both"/>
        <w:rPr>
          <w:rFonts w:cstheme="minorHAnsi"/>
          <w:b/>
        </w:rPr>
      </w:pPr>
      <w:r w:rsidRPr="006306B5">
        <w:rPr>
          <w:rFonts w:cstheme="minorHAnsi"/>
          <w:b/>
        </w:rPr>
        <w:t>RIFERIMENTI NORMATIVI ED AMMINISTRATIVI</w:t>
      </w:r>
    </w:p>
    <w:p w:rsidR="00972234" w:rsidRPr="00983BF8" w:rsidRDefault="00972234" w:rsidP="00972234">
      <w:pPr>
        <w:autoSpaceDE w:val="0"/>
        <w:autoSpaceDN w:val="0"/>
        <w:adjustRightInd w:val="0"/>
        <w:spacing w:after="0" w:line="20" w:lineRule="atLeast"/>
        <w:jc w:val="both"/>
        <w:rPr>
          <w:rFonts w:cstheme="minorHAnsi"/>
        </w:rPr>
      </w:pPr>
      <w:r w:rsidRPr="00983BF8">
        <w:rPr>
          <w:rFonts w:cstheme="minorHAnsi"/>
        </w:rPr>
        <w:t>L.R. legge 10 agosto 2016, n. 11 concernente “Sistema integrato degli interventi e dei</w:t>
      </w:r>
    </w:p>
    <w:p w:rsidR="00972234" w:rsidRPr="00983BF8" w:rsidRDefault="00972234" w:rsidP="00972234">
      <w:pPr>
        <w:autoSpaceDE w:val="0"/>
        <w:autoSpaceDN w:val="0"/>
        <w:adjustRightInd w:val="0"/>
        <w:spacing w:after="0" w:line="20" w:lineRule="atLeast"/>
        <w:jc w:val="both"/>
        <w:rPr>
          <w:rFonts w:cstheme="minorHAnsi"/>
        </w:rPr>
      </w:pPr>
      <w:proofErr w:type="gramStart"/>
      <w:r w:rsidRPr="00983BF8">
        <w:rPr>
          <w:rFonts w:cstheme="minorHAnsi"/>
        </w:rPr>
        <w:t>servizi</w:t>
      </w:r>
      <w:proofErr w:type="gramEnd"/>
      <w:r w:rsidRPr="00983BF8">
        <w:rPr>
          <w:rFonts w:cstheme="minorHAnsi"/>
        </w:rPr>
        <w:t xml:space="preserve"> sociali della Regione Lazio” ed in particolare l’articolo 28 rubricato “Centro</w:t>
      </w:r>
    </w:p>
    <w:p w:rsidR="00972234" w:rsidRPr="00983BF8" w:rsidRDefault="00972234" w:rsidP="00972234">
      <w:pPr>
        <w:autoSpaceDE w:val="0"/>
        <w:autoSpaceDN w:val="0"/>
        <w:adjustRightInd w:val="0"/>
        <w:spacing w:after="0" w:line="20" w:lineRule="atLeast"/>
        <w:jc w:val="both"/>
        <w:rPr>
          <w:rFonts w:cstheme="minorHAnsi"/>
        </w:rPr>
      </w:pPr>
      <w:proofErr w:type="gramStart"/>
      <w:r w:rsidRPr="00983BF8">
        <w:rPr>
          <w:rFonts w:cstheme="minorHAnsi"/>
        </w:rPr>
        <w:t>diurno</w:t>
      </w:r>
      <w:proofErr w:type="gramEnd"/>
      <w:r w:rsidRPr="00983BF8">
        <w:rPr>
          <w:rFonts w:cstheme="minorHAnsi"/>
        </w:rPr>
        <w:t xml:space="preserve"> e Centri anziani”.</w:t>
      </w:r>
    </w:p>
    <w:p w:rsidR="00972234" w:rsidRPr="00983BF8" w:rsidRDefault="00972234" w:rsidP="00972234">
      <w:pPr>
        <w:autoSpaceDE w:val="0"/>
        <w:autoSpaceDN w:val="0"/>
        <w:adjustRightInd w:val="0"/>
        <w:spacing w:after="0" w:line="20" w:lineRule="atLeast"/>
        <w:jc w:val="both"/>
        <w:rPr>
          <w:rFonts w:cstheme="minorHAnsi"/>
        </w:rPr>
      </w:pPr>
      <w:r w:rsidRPr="00983BF8">
        <w:rPr>
          <w:rFonts w:cstheme="minorHAnsi"/>
        </w:rPr>
        <w:t>DGR  6 febbraio 2004, n. 67 recante “Schema-tipo per il Regolamento comunale del centro anziani”.</w:t>
      </w:r>
    </w:p>
    <w:p w:rsidR="00972234" w:rsidRPr="00983BF8" w:rsidRDefault="00972234" w:rsidP="00972234">
      <w:pPr>
        <w:autoSpaceDE w:val="0"/>
        <w:autoSpaceDN w:val="0"/>
        <w:adjustRightInd w:val="0"/>
        <w:spacing w:after="0" w:line="20" w:lineRule="atLeast"/>
        <w:jc w:val="both"/>
        <w:rPr>
          <w:rFonts w:cstheme="minorHAnsi"/>
        </w:rPr>
      </w:pPr>
      <w:r w:rsidRPr="00983BF8">
        <w:rPr>
          <w:rFonts w:cstheme="minorHAnsi"/>
        </w:rPr>
        <w:t>DGR  23 dicembre 2004, n. 1304 recante “Requisiti per il rilascio dell’autorizzazione all’apertura ed al funzionamento delle strutture che prestano i servizi di Mensa sociale e accoglienza notturna, i Servizi per la vacanza, i Servizi di emergenza e di pronto intervento assistenziale e dei Centri diurni” e successive modifiche e, in particolare, il paragrafo I.B.4.4.C dell’allegato relativo ai centri anziani.</w:t>
      </w:r>
    </w:p>
    <w:p w:rsidR="00972234" w:rsidRPr="00983BF8" w:rsidRDefault="00972234" w:rsidP="00972234">
      <w:pPr>
        <w:autoSpaceDE w:val="0"/>
        <w:autoSpaceDN w:val="0"/>
        <w:adjustRightInd w:val="0"/>
        <w:spacing w:after="0" w:line="20" w:lineRule="atLeast"/>
        <w:jc w:val="both"/>
        <w:rPr>
          <w:rFonts w:cstheme="minorHAnsi"/>
        </w:rPr>
      </w:pPr>
      <w:r w:rsidRPr="00983BF8">
        <w:rPr>
          <w:rFonts w:cstheme="minorHAnsi"/>
        </w:rPr>
        <w:t>DCR  24 gennaio 2019, n. 1 recante “Piano sociale regionale denominato “Prendersi cura, un bene comune”</w:t>
      </w:r>
    </w:p>
    <w:p w:rsidR="00972234" w:rsidRPr="00983BF8" w:rsidRDefault="00972234" w:rsidP="00972234">
      <w:pPr>
        <w:autoSpaceDE w:val="0"/>
        <w:autoSpaceDN w:val="0"/>
        <w:adjustRightInd w:val="0"/>
        <w:spacing w:after="0" w:line="20" w:lineRule="atLeast"/>
        <w:jc w:val="both"/>
        <w:rPr>
          <w:rFonts w:cstheme="minorHAnsi"/>
        </w:rPr>
      </w:pPr>
      <w:r w:rsidRPr="00983BF8">
        <w:rPr>
          <w:rFonts w:cstheme="minorHAnsi"/>
        </w:rPr>
        <w:t xml:space="preserve">Determinazione G07757 del 07 giugno 2019 avente ad oggetto: “Costituzione di un gruppo di lavoro per l’elaborazione di Linee guida regionali in materia di centri anziani” </w:t>
      </w:r>
    </w:p>
    <w:p w:rsidR="00972234" w:rsidRPr="006306B5" w:rsidRDefault="00972234" w:rsidP="00972234">
      <w:pPr>
        <w:autoSpaceDE w:val="0"/>
        <w:autoSpaceDN w:val="0"/>
        <w:adjustRightInd w:val="0"/>
        <w:spacing w:after="0" w:line="20" w:lineRule="atLeast"/>
        <w:jc w:val="both"/>
        <w:rPr>
          <w:rFonts w:cstheme="minorHAnsi"/>
          <w:b/>
        </w:rPr>
      </w:pPr>
      <w:r w:rsidRPr="006306B5">
        <w:rPr>
          <w:rFonts w:cstheme="minorHAnsi"/>
          <w:b/>
        </w:rPr>
        <w:t>LA DISPOSIZIONE</w:t>
      </w:r>
    </w:p>
    <w:p w:rsidR="00972234" w:rsidRPr="00983BF8" w:rsidRDefault="00972234" w:rsidP="00972234">
      <w:pPr>
        <w:autoSpaceDE w:val="0"/>
        <w:autoSpaceDN w:val="0"/>
        <w:adjustRightInd w:val="0"/>
        <w:spacing w:after="0" w:line="20" w:lineRule="atLeast"/>
        <w:jc w:val="both"/>
        <w:rPr>
          <w:rFonts w:cstheme="minorHAnsi"/>
        </w:rPr>
      </w:pPr>
      <w:r w:rsidRPr="00983BF8">
        <w:rPr>
          <w:rFonts w:cstheme="minorHAnsi"/>
        </w:rPr>
        <w:t>Vengono nominati, quali componenti del gruppo di lavoro per l’elaborazione di Linee guida regionali in materia di centri anziani i signori:</w:t>
      </w:r>
    </w:p>
    <w:p w:rsidR="00972234" w:rsidRPr="00983BF8" w:rsidRDefault="00972234" w:rsidP="00972234">
      <w:pPr>
        <w:autoSpaceDE w:val="0"/>
        <w:autoSpaceDN w:val="0"/>
        <w:adjustRightInd w:val="0"/>
        <w:spacing w:after="0" w:line="20" w:lineRule="atLeast"/>
        <w:jc w:val="both"/>
        <w:rPr>
          <w:rFonts w:cstheme="minorHAnsi"/>
        </w:rPr>
      </w:pPr>
      <w:r w:rsidRPr="00983BF8">
        <w:rPr>
          <w:rFonts w:cstheme="minorHAnsi"/>
        </w:rPr>
        <w:t>- Valentino Mantini, Direttore della Direzione regionale per l’Inclusione Sociale, o un suo delegato, nella qualità di coordinatore del gruppo;</w:t>
      </w:r>
    </w:p>
    <w:p w:rsidR="00972234" w:rsidRPr="00983BF8" w:rsidRDefault="00972234" w:rsidP="00972234">
      <w:pPr>
        <w:autoSpaceDE w:val="0"/>
        <w:autoSpaceDN w:val="0"/>
        <w:adjustRightInd w:val="0"/>
        <w:spacing w:after="0" w:line="20" w:lineRule="atLeast"/>
        <w:jc w:val="both"/>
        <w:rPr>
          <w:rFonts w:cstheme="minorHAnsi"/>
        </w:rPr>
      </w:pPr>
      <w:r w:rsidRPr="00983BF8">
        <w:rPr>
          <w:rFonts w:cstheme="minorHAnsi"/>
        </w:rPr>
        <w:t>- Maria Giovanna Di Biase, funzionaria in servizio presso l’Area famiglia, minori e persone fragili;</w:t>
      </w:r>
    </w:p>
    <w:p w:rsidR="00972234" w:rsidRPr="00983BF8" w:rsidRDefault="00972234" w:rsidP="00972234">
      <w:pPr>
        <w:autoSpaceDE w:val="0"/>
        <w:autoSpaceDN w:val="0"/>
        <w:adjustRightInd w:val="0"/>
        <w:spacing w:after="0" w:line="20" w:lineRule="atLeast"/>
        <w:jc w:val="both"/>
        <w:rPr>
          <w:rFonts w:cstheme="minorHAnsi"/>
        </w:rPr>
      </w:pPr>
      <w:r w:rsidRPr="00983BF8">
        <w:rPr>
          <w:rFonts w:cstheme="minorHAnsi"/>
        </w:rPr>
        <w:t>- Andrea Palombi in rappresentanza di Roma Capitale;</w:t>
      </w:r>
    </w:p>
    <w:p w:rsidR="00972234" w:rsidRPr="00983BF8" w:rsidRDefault="00972234" w:rsidP="00972234">
      <w:pPr>
        <w:autoSpaceDE w:val="0"/>
        <w:autoSpaceDN w:val="0"/>
        <w:adjustRightInd w:val="0"/>
        <w:spacing w:after="0" w:line="20" w:lineRule="atLeast"/>
        <w:jc w:val="both"/>
        <w:rPr>
          <w:rFonts w:cstheme="minorHAnsi"/>
        </w:rPr>
      </w:pPr>
      <w:r w:rsidRPr="00983BF8">
        <w:rPr>
          <w:rFonts w:cstheme="minorHAnsi"/>
        </w:rPr>
        <w:t>- Simona Donati in rappresentanza di ANCI Lazio;</w:t>
      </w:r>
    </w:p>
    <w:p w:rsidR="00972234" w:rsidRPr="00983BF8" w:rsidRDefault="00972234" w:rsidP="00972234">
      <w:pPr>
        <w:autoSpaceDE w:val="0"/>
        <w:autoSpaceDN w:val="0"/>
        <w:adjustRightInd w:val="0"/>
        <w:spacing w:after="0" w:line="20" w:lineRule="atLeast"/>
        <w:jc w:val="both"/>
        <w:rPr>
          <w:rFonts w:cstheme="minorHAnsi"/>
        </w:rPr>
      </w:pPr>
      <w:r w:rsidRPr="00983BF8">
        <w:rPr>
          <w:rFonts w:cstheme="minorHAnsi"/>
        </w:rPr>
        <w:t>- Felice Alfonsi in rappresentanza della UIL Pensionati Lazio;</w:t>
      </w:r>
    </w:p>
    <w:p w:rsidR="00972234" w:rsidRPr="00983BF8" w:rsidRDefault="00972234" w:rsidP="00972234">
      <w:pPr>
        <w:autoSpaceDE w:val="0"/>
        <w:autoSpaceDN w:val="0"/>
        <w:adjustRightInd w:val="0"/>
        <w:spacing w:after="0" w:line="20" w:lineRule="atLeast"/>
        <w:jc w:val="both"/>
        <w:rPr>
          <w:rFonts w:cstheme="minorHAnsi"/>
        </w:rPr>
      </w:pPr>
      <w:r w:rsidRPr="00983BF8">
        <w:rPr>
          <w:rFonts w:cstheme="minorHAnsi"/>
        </w:rPr>
        <w:t>- Linda Moroni in rappresentanza della CGIL Pensionati Lazio;</w:t>
      </w:r>
    </w:p>
    <w:p w:rsidR="00972234" w:rsidRPr="00983BF8" w:rsidRDefault="00972234" w:rsidP="00972234">
      <w:pPr>
        <w:autoSpaceDE w:val="0"/>
        <w:autoSpaceDN w:val="0"/>
        <w:adjustRightInd w:val="0"/>
        <w:spacing w:after="0" w:line="20" w:lineRule="atLeast"/>
        <w:jc w:val="both"/>
        <w:rPr>
          <w:rFonts w:cstheme="minorHAnsi"/>
        </w:rPr>
      </w:pPr>
      <w:r w:rsidRPr="00983BF8">
        <w:rPr>
          <w:rFonts w:cstheme="minorHAnsi"/>
        </w:rPr>
        <w:t>- Antonio Masciarelli in rappresentanza della CISL Pensionati Lazio;</w:t>
      </w:r>
    </w:p>
    <w:p w:rsidR="00972234" w:rsidRPr="00983BF8" w:rsidRDefault="00972234" w:rsidP="00972234">
      <w:pPr>
        <w:autoSpaceDE w:val="0"/>
        <w:autoSpaceDN w:val="0"/>
        <w:adjustRightInd w:val="0"/>
        <w:spacing w:after="0" w:line="20" w:lineRule="atLeast"/>
        <w:jc w:val="both"/>
        <w:rPr>
          <w:rFonts w:cstheme="minorHAnsi"/>
        </w:rPr>
      </w:pPr>
      <w:r w:rsidRPr="00983BF8">
        <w:rPr>
          <w:rFonts w:cstheme="minorHAnsi"/>
        </w:rPr>
        <w:t>- Vittorio Smiroldo in rappresentanza dell’ANCESCAO Lazio;</w:t>
      </w:r>
    </w:p>
    <w:p w:rsidR="00972234" w:rsidRPr="00983BF8" w:rsidRDefault="00972234" w:rsidP="00972234">
      <w:pPr>
        <w:autoSpaceDE w:val="0"/>
        <w:autoSpaceDN w:val="0"/>
        <w:adjustRightInd w:val="0"/>
        <w:spacing w:after="0" w:line="20" w:lineRule="atLeast"/>
        <w:jc w:val="both"/>
        <w:rPr>
          <w:rFonts w:cstheme="minorHAnsi"/>
        </w:rPr>
      </w:pPr>
      <w:r w:rsidRPr="00983BF8">
        <w:rPr>
          <w:rFonts w:cstheme="minorHAnsi"/>
        </w:rPr>
        <w:t>- Leo Traversi designato in rappresentanza dall’AUSER Lazio;</w:t>
      </w:r>
    </w:p>
    <w:p w:rsidR="00972234" w:rsidRPr="00983BF8" w:rsidRDefault="00972234" w:rsidP="00972234">
      <w:pPr>
        <w:autoSpaceDE w:val="0"/>
        <w:autoSpaceDN w:val="0"/>
        <w:adjustRightInd w:val="0"/>
        <w:spacing w:after="0" w:line="20" w:lineRule="atLeast"/>
        <w:jc w:val="both"/>
        <w:rPr>
          <w:rFonts w:cstheme="minorHAnsi"/>
        </w:rPr>
      </w:pPr>
      <w:r w:rsidRPr="00983BF8">
        <w:rPr>
          <w:rFonts w:cstheme="minorHAnsi"/>
        </w:rPr>
        <w:t>- Violetta Scalco in rappresentanza dell’ADA Lazio;</w:t>
      </w:r>
    </w:p>
    <w:p w:rsidR="00972234" w:rsidRPr="00983BF8" w:rsidRDefault="00972234" w:rsidP="00972234">
      <w:pPr>
        <w:autoSpaceDE w:val="0"/>
        <w:autoSpaceDN w:val="0"/>
        <w:adjustRightInd w:val="0"/>
        <w:spacing w:after="0" w:line="20" w:lineRule="atLeast"/>
        <w:jc w:val="both"/>
        <w:rPr>
          <w:rFonts w:cstheme="minorHAnsi"/>
        </w:rPr>
      </w:pPr>
      <w:r w:rsidRPr="00983BF8">
        <w:rPr>
          <w:rFonts w:cstheme="minorHAnsi"/>
        </w:rPr>
        <w:t>- Raffaele Castaldo in rappresentanza dell’ANTEAS Lazio;</w:t>
      </w:r>
    </w:p>
    <w:p w:rsidR="00972234" w:rsidRPr="00983BF8" w:rsidRDefault="00972234" w:rsidP="00972234">
      <w:pPr>
        <w:autoSpaceDE w:val="0"/>
        <w:autoSpaceDN w:val="0"/>
        <w:adjustRightInd w:val="0"/>
        <w:spacing w:after="0" w:line="20" w:lineRule="atLeast"/>
        <w:jc w:val="both"/>
        <w:rPr>
          <w:rFonts w:cstheme="minorHAnsi"/>
        </w:rPr>
      </w:pPr>
      <w:r w:rsidRPr="00983BF8">
        <w:rPr>
          <w:rFonts w:cstheme="minorHAnsi"/>
        </w:rPr>
        <w:t>- Giovanni Gidari in rappresentanza del FAP ACLI Lazio;</w:t>
      </w:r>
    </w:p>
    <w:p w:rsidR="00972234" w:rsidRPr="00983BF8" w:rsidRDefault="00972234" w:rsidP="00972234">
      <w:pPr>
        <w:autoSpaceDE w:val="0"/>
        <w:autoSpaceDN w:val="0"/>
        <w:adjustRightInd w:val="0"/>
        <w:spacing w:after="0" w:line="20" w:lineRule="atLeast"/>
        <w:jc w:val="both"/>
        <w:rPr>
          <w:rFonts w:cstheme="minorHAnsi"/>
        </w:rPr>
      </w:pPr>
      <w:r w:rsidRPr="00983BF8">
        <w:rPr>
          <w:rFonts w:cstheme="minorHAnsi"/>
        </w:rPr>
        <w:lastRenderedPageBreak/>
        <w:t xml:space="preserve">Il termine delle attività del gruppo è fissato al 31 dicembre </w:t>
      </w:r>
      <w:proofErr w:type="gramStart"/>
      <w:r w:rsidRPr="00983BF8">
        <w:rPr>
          <w:rFonts w:cstheme="minorHAnsi"/>
        </w:rPr>
        <w:t>2019;al</w:t>
      </w:r>
      <w:proofErr w:type="gramEnd"/>
      <w:r w:rsidRPr="00983BF8">
        <w:rPr>
          <w:rFonts w:cstheme="minorHAnsi"/>
        </w:rPr>
        <w:t xml:space="preserve"> termine delle attività il gruppo di lavoro dovrà consegnare alla Direzione regionale per l’Inclusione sociale un documento scritto per le successive valutazioni e l’eventuale adozione con apposito atto amministrativo</w:t>
      </w:r>
      <w:r w:rsidR="00466B5C">
        <w:rPr>
          <w:rFonts w:cstheme="minorHAnsi"/>
        </w:rPr>
        <w:t>.</w:t>
      </w:r>
    </w:p>
    <w:p w:rsidR="00BC1888" w:rsidRPr="00466533" w:rsidRDefault="00BC1888" w:rsidP="002D3826">
      <w:pPr>
        <w:spacing w:after="0" w:line="20" w:lineRule="atLeast"/>
        <w:jc w:val="both"/>
        <w:rPr>
          <w:rFonts w:eastAsia="Times New Roman" w:cstheme="minorHAnsi"/>
          <w:b/>
          <w:bCs/>
          <w:color w:val="515151"/>
          <w:kern w:val="36"/>
          <w:lang w:eastAsia="it-IT"/>
        </w:rPr>
      </w:pPr>
    </w:p>
    <w:p w:rsidR="008471B4" w:rsidRPr="006B0B81" w:rsidRDefault="008471B4" w:rsidP="008471B4">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6B0B81">
        <w:rPr>
          <w:rFonts w:cstheme="minorHAnsi"/>
          <w:b/>
        </w:rPr>
        <w:t>ASSISTENTI SOCIALI</w:t>
      </w:r>
    </w:p>
    <w:p w:rsidR="008471B4" w:rsidRPr="006B0B81" w:rsidRDefault="008471B4" w:rsidP="008471B4">
      <w:pPr>
        <w:spacing w:after="0" w:line="20" w:lineRule="atLeast"/>
        <w:jc w:val="both"/>
        <w:rPr>
          <w:rFonts w:cstheme="minorHAnsi"/>
        </w:rPr>
      </w:pPr>
    </w:p>
    <w:p w:rsidR="008471B4" w:rsidRPr="006B0B81" w:rsidRDefault="008471B4" w:rsidP="008471B4">
      <w:pPr>
        <w:spacing w:after="0" w:line="20" w:lineRule="atLeast"/>
        <w:jc w:val="both"/>
        <w:rPr>
          <w:rFonts w:cstheme="minorHAnsi"/>
        </w:rPr>
      </w:pPr>
      <w:r w:rsidRPr="006B0B81">
        <w:rPr>
          <w:rFonts w:cstheme="minorHAnsi"/>
          <w:b/>
        </w:rPr>
        <w:t>ASL ROMA 3</w:t>
      </w:r>
      <w:r w:rsidRPr="006B0B81">
        <w:rPr>
          <w:rFonts w:cstheme="minorHAnsi"/>
        </w:rPr>
        <w:t xml:space="preserve"> </w:t>
      </w:r>
    </w:p>
    <w:p w:rsidR="008471B4" w:rsidRPr="006B0B81" w:rsidRDefault="008471B4" w:rsidP="008471B4">
      <w:pPr>
        <w:spacing w:after="0" w:line="20" w:lineRule="atLeast"/>
        <w:jc w:val="both"/>
        <w:rPr>
          <w:rFonts w:cstheme="minorHAnsi"/>
        </w:rPr>
      </w:pPr>
      <w:r w:rsidRPr="006B0B81">
        <w:rPr>
          <w:rFonts w:cstheme="minorHAnsi"/>
        </w:rPr>
        <w:t>Avviso pubblico, per titoli ed esami, per l'assunzione, a tempo pieno e determinato, della durata massima di un anno, di n. 2 unità di Collaboratore Professionale - Assistente Sociale, cat. D per l'implementazione del progetto di prevenzione, cura e riabilitazione delle patologie da disturbo da gioco d'azzardo GAP" Il gioco è una cosa seria" dell'Azienda U.S.L. Roma 3". (BUR n. 63 del 6.8.19)</w:t>
      </w:r>
    </w:p>
    <w:p w:rsidR="008471B4" w:rsidRPr="006B0B81" w:rsidRDefault="008471B4" w:rsidP="008471B4">
      <w:pPr>
        <w:spacing w:after="0" w:line="20" w:lineRule="atLeast"/>
        <w:jc w:val="both"/>
        <w:rPr>
          <w:rFonts w:cstheme="minorHAnsi"/>
        </w:rPr>
      </w:pPr>
    </w:p>
    <w:p w:rsidR="008471B4" w:rsidRPr="006B0B81" w:rsidRDefault="008471B4" w:rsidP="008471B4">
      <w:pPr>
        <w:spacing w:after="0" w:line="20" w:lineRule="atLeast"/>
        <w:jc w:val="both"/>
        <w:rPr>
          <w:rFonts w:cstheme="minorHAnsi"/>
        </w:rPr>
      </w:pPr>
      <w:r w:rsidRPr="006B0B81">
        <w:rPr>
          <w:rFonts w:cstheme="minorHAnsi"/>
        </w:rPr>
        <w:t xml:space="preserve">In esecuzione delle deliberazioni del Direttore Generale n. 453 del 12.06.2019 e n. 560 del 17.07.2019 è indetto avviso pubblico, per titoli ed esami, per l’assunzione, a tempo pieno e determinato, della durata massima di un anno, di n. 2 unità di Collaboratore Professionale - Assistente Sociale, cat. D per l’implementazione del progetto di prevenzione, cura e riabilitazione delle patologie da disturbo da gioco d’azzardo GAP” Il gioco è una cosa </w:t>
      </w:r>
      <w:proofErr w:type="gramStart"/>
      <w:r w:rsidRPr="006B0B81">
        <w:rPr>
          <w:rFonts w:cstheme="minorHAnsi"/>
        </w:rPr>
        <w:t>seria“ dell’Azienda</w:t>
      </w:r>
      <w:proofErr w:type="gramEnd"/>
      <w:r w:rsidRPr="006B0B81">
        <w:rPr>
          <w:rFonts w:cstheme="minorHAnsi"/>
        </w:rPr>
        <w:t xml:space="preserve"> U.S.L. Roma 3”. </w:t>
      </w:r>
    </w:p>
    <w:p w:rsidR="008471B4" w:rsidRPr="006B0B81" w:rsidRDefault="008471B4" w:rsidP="008471B4">
      <w:pPr>
        <w:spacing w:after="0" w:line="20" w:lineRule="atLeast"/>
        <w:jc w:val="both"/>
        <w:rPr>
          <w:rFonts w:cstheme="minorHAnsi"/>
        </w:rPr>
      </w:pPr>
      <w:r w:rsidRPr="006B0B81">
        <w:rPr>
          <w:rFonts w:cstheme="minorHAnsi"/>
        </w:rPr>
        <w:t xml:space="preserve">Finalità progetto </w:t>
      </w:r>
    </w:p>
    <w:p w:rsidR="008471B4" w:rsidRPr="006B0B81" w:rsidRDefault="008471B4" w:rsidP="008471B4">
      <w:pPr>
        <w:spacing w:after="0" w:line="20" w:lineRule="atLeast"/>
        <w:jc w:val="both"/>
        <w:rPr>
          <w:rFonts w:cstheme="minorHAnsi"/>
        </w:rPr>
      </w:pPr>
      <w:r w:rsidRPr="006B0B81">
        <w:rPr>
          <w:rFonts w:cstheme="minorHAnsi"/>
        </w:rPr>
        <w:t xml:space="preserve">Il progetto è finalizzato a implementare un piano d’azione che affronti il problema del gioco d’azzardo in tutte le sue articolazioni. </w:t>
      </w:r>
    </w:p>
    <w:p w:rsidR="008471B4" w:rsidRPr="006B0B81" w:rsidRDefault="008471B4" w:rsidP="008471B4">
      <w:pPr>
        <w:spacing w:after="0" w:line="20" w:lineRule="atLeast"/>
        <w:jc w:val="both"/>
        <w:rPr>
          <w:rFonts w:cstheme="minorHAnsi"/>
        </w:rPr>
      </w:pPr>
      <w:r w:rsidRPr="006B0B81">
        <w:rPr>
          <w:rFonts w:cstheme="minorHAnsi"/>
        </w:rPr>
        <w:t xml:space="preserve">In particolare ha lo scopo di accrescere la possibilità di raggiungere la popolazione “a rischio” per azioni di informazione e formazione, di individuare precocemente le persone affette da Dipendenze non da Sostanze, di farle afferire all’Ambulatorio ASL al fine di diagnosticare secondo la gravità e il grado di compromissione, il disturbo, di inquadrare in modo olistico l’intero problema e di mettere in campo azioni terapeutiche e riabilitative a vario livello. Infine, il progetto si propone per attività di ricerca e messa in campo di azioni scientificamente orientate e prassi evindence based. </w:t>
      </w:r>
    </w:p>
    <w:p w:rsidR="008471B4" w:rsidRPr="006B0B81" w:rsidRDefault="008471B4" w:rsidP="008471B4">
      <w:pPr>
        <w:spacing w:after="0" w:line="20" w:lineRule="atLeast"/>
        <w:jc w:val="both"/>
        <w:rPr>
          <w:rFonts w:cstheme="minorHAnsi"/>
        </w:rPr>
      </w:pPr>
      <w:r w:rsidRPr="006B0B81">
        <w:rPr>
          <w:rFonts w:cstheme="minorHAnsi"/>
        </w:rPr>
        <w:t xml:space="preserve">Obiettivi del progetto: </w:t>
      </w:r>
    </w:p>
    <w:p w:rsidR="008471B4" w:rsidRPr="006B0B81" w:rsidRDefault="008471B4" w:rsidP="008471B4">
      <w:pPr>
        <w:spacing w:after="0" w:line="20" w:lineRule="atLeast"/>
        <w:jc w:val="both"/>
        <w:rPr>
          <w:rFonts w:cstheme="minorHAnsi"/>
        </w:rPr>
      </w:pPr>
      <w:r w:rsidRPr="006B0B81">
        <w:rPr>
          <w:rFonts w:cstheme="minorHAnsi"/>
        </w:rPr>
        <w:sym w:font="Symbol" w:char="F0B7"/>
      </w:r>
      <w:r w:rsidRPr="006B0B81">
        <w:rPr>
          <w:rFonts w:cstheme="minorHAnsi"/>
        </w:rPr>
        <w:t xml:space="preserve"> Effettuare interventi di prevenzione primaria per 2 fasce di età particolarmente a rischio: la fascia dei giovani (10/14 anni e 15/24 anni) e la fascia degli “anziani” (over 60 anni) presenti sul territorio della ASL Roma 3; </w:t>
      </w:r>
    </w:p>
    <w:p w:rsidR="008471B4" w:rsidRPr="006B0B81" w:rsidRDefault="008471B4" w:rsidP="008471B4">
      <w:pPr>
        <w:spacing w:after="0" w:line="20" w:lineRule="atLeast"/>
        <w:jc w:val="both"/>
        <w:rPr>
          <w:rFonts w:cstheme="minorHAnsi"/>
        </w:rPr>
      </w:pPr>
      <w:r w:rsidRPr="006B0B81">
        <w:rPr>
          <w:rFonts w:cstheme="minorHAnsi"/>
        </w:rPr>
        <w:sym w:font="Symbol" w:char="F0B7"/>
      </w:r>
      <w:r w:rsidRPr="006B0B81">
        <w:rPr>
          <w:rFonts w:cstheme="minorHAnsi"/>
        </w:rPr>
        <w:t xml:space="preserve"> Supportare gli insegnanti delle scuole medie inferiori/superiori, nell’implementazione dei percorsi per i giovani a rischio GAP, da realizzare in integrazione con i livelli sanitari propriamente detti; </w:t>
      </w:r>
    </w:p>
    <w:p w:rsidR="008471B4" w:rsidRPr="006B0B81" w:rsidRDefault="008471B4" w:rsidP="008471B4">
      <w:pPr>
        <w:spacing w:after="0" w:line="20" w:lineRule="atLeast"/>
        <w:jc w:val="both"/>
        <w:rPr>
          <w:rFonts w:cstheme="minorHAnsi"/>
        </w:rPr>
      </w:pPr>
      <w:r w:rsidRPr="006B0B81">
        <w:rPr>
          <w:rFonts w:cstheme="minorHAnsi"/>
        </w:rPr>
        <w:sym w:font="Symbol" w:char="F0B7"/>
      </w:r>
      <w:r w:rsidRPr="006B0B81">
        <w:rPr>
          <w:rFonts w:cstheme="minorHAnsi"/>
        </w:rPr>
        <w:t xml:space="preserve"> Offrire al territorio della ASL Roma 3 n. 1 Ambulatorio Specialistico per la Diagnosi e il Trattamento dei Disturbi non correlati a sostanze, Disturbo da Gioco d’Azzardo – GAP (DSM 5) per la prevenzione, la diagnosi, la cura e la riabilitazione; </w:t>
      </w:r>
    </w:p>
    <w:p w:rsidR="008471B4" w:rsidRPr="006B0B81" w:rsidRDefault="008471B4" w:rsidP="008471B4">
      <w:pPr>
        <w:spacing w:after="0" w:line="20" w:lineRule="atLeast"/>
        <w:jc w:val="both"/>
        <w:rPr>
          <w:rFonts w:cstheme="minorHAnsi"/>
        </w:rPr>
      </w:pPr>
      <w:r w:rsidRPr="006B0B81">
        <w:rPr>
          <w:rFonts w:cstheme="minorHAnsi"/>
        </w:rPr>
        <w:sym w:font="Symbol" w:char="F0B7"/>
      </w:r>
      <w:r w:rsidRPr="006B0B81">
        <w:rPr>
          <w:rFonts w:cstheme="minorHAnsi"/>
        </w:rPr>
        <w:t xml:space="preserve"> Individuare il più precocemente possibile, rispetto al momento di esordio, un problema di dipendenza, attraverso uno screening diagnostico e, successivamente, attuare un immediato intervento di cura, individuale o di gruppo, da parte dell’Équipe preposta nella ASL Roma 3 in collaborazione con il privato Sociale. Azioni di miglioramento: </w:t>
      </w:r>
    </w:p>
    <w:p w:rsidR="008471B4" w:rsidRPr="006B0B81" w:rsidRDefault="008471B4" w:rsidP="008471B4">
      <w:pPr>
        <w:spacing w:after="0" w:line="20" w:lineRule="atLeast"/>
        <w:jc w:val="both"/>
        <w:rPr>
          <w:rFonts w:cstheme="minorHAnsi"/>
        </w:rPr>
      </w:pPr>
      <w:r w:rsidRPr="006B0B81">
        <w:rPr>
          <w:rFonts w:cstheme="minorHAnsi"/>
        </w:rPr>
        <w:sym w:font="Symbol" w:char="F0B7"/>
      </w:r>
      <w:r w:rsidRPr="006B0B81">
        <w:rPr>
          <w:rFonts w:cstheme="minorHAnsi"/>
        </w:rPr>
        <w:t xml:space="preserve"> Rivolgere l’informazione e la formazione presso Centri specializzati del pubblico e del privato sociale, ad una platea di popolazione a rischio del territorio, più ampia possibile; </w:t>
      </w:r>
    </w:p>
    <w:p w:rsidR="008471B4" w:rsidRPr="006B0B81" w:rsidRDefault="008471B4" w:rsidP="008471B4">
      <w:pPr>
        <w:spacing w:after="0" w:line="20" w:lineRule="atLeast"/>
        <w:jc w:val="both"/>
        <w:rPr>
          <w:rFonts w:cstheme="minorHAnsi"/>
        </w:rPr>
      </w:pPr>
      <w:r w:rsidRPr="006B0B81">
        <w:rPr>
          <w:rFonts w:cstheme="minorHAnsi"/>
        </w:rPr>
        <w:sym w:font="Symbol" w:char="F0B7"/>
      </w:r>
      <w:r w:rsidRPr="006B0B81">
        <w:rPr>
          <w:rFonts w:cstheme="minorHAnsi"/>
        </w:rPr>
        <w:t xml:space="preserve"> Erogare prestazioni evidence based di prevenzione, diagnosi, riabilitazione e cura al paziente affetto da GAP e da Dipendenze comportamentali, specificatamente per fasce d’età, ed alla famiglia; Indicatori di </w:t>
      </w:r>
      <w:proofErr w:type="gramStart"/>
      <w:r w:rsidRPr="006B0B81">
        <w:rPr>
          <w:rFonts w:cstheme="minorHAnsi"/>
        </w:rPr>
        <w:t xml:space="preserve">risultato: </w:t>
      </w:r>
      <w:r w:rsidRPr="006B0B81">
        <w:rPr>
          <w:rFonts w:cstheme="minorHAnsi"/>
        </w:rPr>
        <w:sym w:font="Symbol" w:char="F0B7"/>
      </w:r>
      <w:r w:rsidRPr="006B0B81">
        <w:rPr>
          <w:rFonts w:cstheme="minorHAnsi"/>
        </w:rPr>
        <w:t xml:space="preserve"> Indicatore</w:t>
      </w:r>
      <w:proofErr w:type="gramEnd"/>
      <w:r w:rsidRPr="006B0B81">
        <w:rPr>
          <w:rFonts w:cstheme="minorHAnsi"/>
        </w:rPr>
        <w:t xml:space="preserve"> 1: n. classi scuole medie superiori e inferiori presenti sul territorio ASL Roma 3 coinvolte nel progetto/n. classi scuole medie inferiori e superiori presenti sul territorio a rischio della ASL Roma 3; </w:t>
      </w:r>
    </w:p>
    <w:p w:rsidR="008471B4" w:rsidRPr="006B0B81" w:rsidRDefault="008471B4" w:rsidP="008471B4">
      <w:pPr>
        <w:spacing w:after="0" w:line="20" w:lineRule="atLeast"/>
        <w:jc w:val="both"/>
        <w:rPr>
          <w:rFonts w:cstheme="minorHAnsi"/>
        </w:rPr>
      </w:pPr>
      <w:r w:rsidRPr="006B0B81">
        <w:rPr>
          <w:rFonts w:cstheme="minorHAnsi"/>
        </w:rPr>
        <w:sym w:font="Symbol" w:char="F0B7"/>
      </w:r>
      <w:r w:rsidRPr="006B0B81">
        <w:rPr>
          <w:rFonts w:cstheme="minorHAnsi"/>
        </w:rPr>
        <w:t xml:space="preserve"> Indicatore 2: Incremento n. pazienti totali (10/14 anni e 15/24 anni) e la fascia degli “anziani” (over 60 anni) GAP afferenti al Servizio ≥ 10% </w:t>
      </w:r>
    </w:p>
    <w:p w:rsidR="008471B4" w:rsidRPr="006B0B81" w:rsidRDefault="008471B4" w:rsidP="008471B4">
      <w:pPr>
        <w:spacing w:after="0" w:line="20" w:lineRule="atLeast"/>
        <w:jc w:val="both"/>
        <w:rPr>
          <w:rFonts w:cstheme="minorHAnsi"/>
        </w:rPr>
      </w:pPr>
      <w:r w:rsidRPr="006B0B81">
        <w:rPr>
          <w:rFonts w:cstheme="minorHAnsi"/>
        </w:rPr>
        <w:t xml:space="preserve">REQUISITI GENERALI E SPECIFICI DI AMMISSIONE </w:t>
      </w:r>
    </w:p>
    <w:p w:rsidR="008471B4" w:rsidRPr="006B0B81" w:rsidRDefault="008471B4" w:rsidP="008471B4">
      <w:pPr>
        <w:spacing w:after="0" w:line="20" w:lineRule="atLeast"/>
        <w:jc w:val="both"/>
        <w:rPr>
          <w:rFonts w:cstheme="minorHAnsi"/>
        </w:rPr>
      </w:pPr>
      <w:r w:rsidRPr="006B0B81">
        <w:rPr>
          <w:rFonts w:cstheme="minorHAnsi"/>
        </w:rPr>
        <w:t>Possono partecipare alla presente selezione coloro che sono in possesso dei seguenti requisiti generali e specifici di cui al D.P.R. n. 220/2001.</w:t>
      </w:r>
    </w:p>
    <w:p w:rsidR="008471B4" w:rsidRPr="006B0B81" w:rsidRDefault="008471B4" w:rsidP="008471B4">
      <w:pPr>
        <w:spacing w:after="0" w:line="20" w:lineRule="atLeast"/>
        <w:jc w:val="both"/>
        <w:rPr>
          <w:rFonts w:cstheme="minorHAnsi"/>
        </w:rPr>
      </w:pPr>
      <w:r w:rsidRPr="006B0B81">
        <w:rPr>
          <w:rFonts w:cstheme="minorHAnsi"/>
        </w:rPr>
        <w:t xml:space="preserve"> 1) Cittadinanza italiana, fatte salve le equiparazioni stabilite dalle vigenti leggi o cittadinanza di uno dei Paesi dell’Unione Europea. Sono equiparati ai cittadini italiani gli italiani non appartenenti alla Repubblica. Ai sensi </w:t>
      </w:r>
      <w:r w:rsidRPr="006B0B81">
        <w:rPr>
          <w:rFonts w:cstheme="minorHAnsi"/>
        </w:rPr>
        <w:lastRenderedPageBreak/>
        <w:t xml:space="preserve">della L. n. 97/2013 sono ammessi anche i familiari di cittadini di Stati membri dell’U.E. non aventi la cittadinanza di uno Stato membro che siano titolari del diritto di soggiorno o del diritto di soggiorno permanente e coloro che siano in possesso della cittadinanza di paesi terzi con titolarità di permesso di soggiorno CE per soggiornanti di lungo periodo o che siano titolari dello status di rifugiato ovvero dello status di protezione sussidiaria. I cittadini di uno stato straniero devono avere adeguata conoscenza della lingua italiana; </w:t>
      </w:r>
    </w:p>
    <w:p w:rsidR="008471B4" w:rsidRPr="006B0B81" w:rsidRDefault="008471B4" w:rsidP="008471B4">
      <w:pPr>
        <w:spacing w:after="0" w:line="20" w:lineRule="atLeast"/>
        <w:jc w:val="both"/>
        <w:rPr>
          <w:rFonts w:cstheme="minorHAnsi"/>
        </w:rPr>
      </w:pPr>
      <w:r w:rsidRPr="006B0B81">
        <w:rPr>
          <w:rFonts w:cstheme="minorHAnsi"/>
        </w:rPr>
        <w:t xml:space="preserve">2) idoneità fisica all’impiego per la posizione funzionale bandita, il cui accertamento sarà effettuato a cura dell’Azienda U.S.L. prima dell’immissione in servizio; </w:t>
      </w:r>
    </w:p>
    <w:p w:rsidR="008471B4" w:rsidRPr="006B0B81" w:rsidRDefault="008471B4" w:rsidP="008471B4">
      <w:pPr>
        <w:spacing w:after="0" w:line="20" w:lineRule="atLeast"/>
        <w:jc w:val="both"/>
        <w:rPr>
          <w:rFonts w:cstheme="minorHAnsi"/>
        </w:rPr>
      </w:pPr>
      <w:r w:rsidRPr="006B0B81">
        <w:rPr>
          <w:rFonts w:cstheme="minorHAnsi"/>
        </w:rPr>
        <w:t xml:space="preserve">3) godimento dei diritti civili e politici. Non possono accedere agli impieghi coloro che siano stati esclusi dall’elettorato attivo nonché coloro che siano stati dispensati o destituiti dall’impiego presso pubbliche amministrazioni o interdetti da pubblici uffici in base a sentenza passata in giudicato; </w:t>
      </w:r>
    </w:p>
    <w:p w:rsidR="008471B4" w:rsidRPr="006B0B81" w:rsidRDefault="008471B4" w:rsidP="008471B4">
      <w:pPr>
        <w:spacing w:after="0" w:line="20" w:lineRule="atLeast"/>
        <w:jc w:val="both"/>
        <w:rPr>
          <w:rFonts w:cstheme="minorHAnsi"/>
        </w:rPr>
      </w:pPr>
      <w:r w:rsidRPr="006B0B81">
        <w:rPr>
          <w:rFonts w:cstheme="minorHAnsi"/>
        </w:rPr>
        <w:t xml:space="preserve">4) non avere superato il limite di età previsto dalla vigente normativa per il collocamento a riposo d’ufficio; 5) possesso del Diploma di Laurea in Scienze del Servizio Sociale o in Servizio Sociale o Laurea Specialistica/Magistrale in Programmazione e Gestione delle Politiche e dei Servizi Sociali o Servizio Sociale e Politiche Sociali ovvero titoli equipollenti ai sensi di legge; </w:t>
      </w:r>
    </w:p>
    <w:p w:rsidR="008471B4" w:rsidRPr="006B0B81" w:rsidRDefault="008471B4" w:rsidP="008471B4">
      <w:pPr>
        <w:spacing w:after="0" w:line="20" w:lineRule="atLeast"/>
        <w:jc w:val="both"/>
        <w:rPr>
          <w:rFonts w:cstheme="minorHAnsi"/>
        </w:rPr>
      </w:pPr>
      <w:r w:rsidRPr="006B0B81">
        <w:rPr>
          <w:rFonts w:cstheme="minorHAnsi"/>
        </w:rPr>
        <w:t xml:space="preserve">6) iscrizione all’Albo professionale di appartenenza. L’iscrizione al corrispondente albo professionale di uno dei Paesi dell’Unione Europea consente la partecipazione alla selezione fermo restando l’obbligo dell’iscrizione all’Albo in Italia prima dell’assunzione in servizio. </w:t>
      </w:r>
    </w:p>
    <w:p w:rsidR="008471B4" w:rsidRPr="006B0B81" w:rsidRDefault="008471B4" w:rsidP="008471B4">
      <w:pPr>
        <w:spacing w:after="0" w:line="20" w:lineRule="atLeast"/>
        <w:jc w:val="both"/>
        <w:rPr>
          <w:rFonts w:cstheme="minorHAnsi"/>
        </w:rPr>
      </w:pPr>
      <w:r w:rsidRPr="006B0B81">
        <w:rPr>
          <w:rFonts w:cstheme="minorHAnsi"/>
        </w:rPr>
        <w:t xml:space="preserve">7) inoltre, eventuale formazione e/o esperienza documentata nell’area delle Dipendenze Patologiche, rappresenterà titolo preferenziale. I requisiti, a pena di esclusione, devono essere posseduti alla data di scadenza del presente bando. </w:t>
      </w:r>
    </w:p>
    <w:p w:rsidR="008471B4" w:rsidRPr="006B0B81" w:rsidRDefault="008471B4" w:rsidP="008471B4">
      <w:pPr>
        <w:spacing w:after="0" w:line="20" w:lineRule="atLeast"/>
        <w:jc w:val="both"/>
        <w:rPr>
          <w:rFonts w:cstheme="minorHAnsi"/>
        </w:rPr>
      </w:pPr>
      <w:r w:rsidRPr="006B0B81">
        <w:rPr>
          <w:rFonts w:cstheme="minorHAnsi"/>
        </w:rPr>
        <w:t xml:space="preserve">Ai sensi degli artt. 7, 1 comma, e 57 del D.Lgs. n. 165/2001 e s.m.i., è garantita pari opportunità tra uomini e donne per l’accesso al lavoro ed al relativo trattamento sul lavoro. </w:t>
      </w:r>
    </w:p>
    <w:p w:rsidR="008471B4" w:rsidRPr="006B0B81" w:rsidRDefault="008471B4" w:rsidP="008471B4">
      <w:pPr>
        <w:spacing w:after="0" w:line="20" w:lineRule="atLeast"/>
        <w:jc w:val="both"/>
        <w:rPr>
          <w:rFonts w:cstheme="minorHAnsi"/>
        </w:rPr>
      </w:pPr>
      <w:r w:rsidRPr="006B0B81">
        <w:rPr>
          <w:rFonts w:cstheme="minorHAnsi"/>
        </w:rPr>
        <w:t xml:space="preserve">La omessa indicazione anche di un solo requisito generale o specifico o di una delle dichiarazioni aggiuntive richieste dal bando, determina l’esclusione dalla procedura di che trattasi. </w:t>
      </w:r>
    </w:p>
    <w:p w:rsidR="008471B4" w:rsidRPr="006B0B81" w:rsidRDefault="008471B4" w:rsidP="008471B4">
      <w:pPr>
        <w:spacing w:after="0" w:line="20" w:lineRule="atLeast"/>
        <w:jc w:val="both"/>
        <w:rPr>
          <w:rFonts w:cstheme="minorHAnsi"/>
        </w:rPr>
      </w:pPr>
      <w:r w:rsidRPr="006B0B81">
        <w:rPr>
          <w:rFonts w:cstheme="minorHAnsi"/>
        </w:rPr>
        <w:t xml:space="preserve">DOMANDA DI AMMISSIONE MODALITA’ E TERMINI </w:t>
      </w:r>
    </w:p>
    <w:p w:rsidR="008471B4" w:rsidRPr="006B0B81" w:rsidRDefault="008471B4" w:rsidP="008471B4">
      <w:pPr>
        <w:spacing w:after="0" w:line="20" w:lineRule="atLeast"/>
        <w:jc w:val="both"/>
        <w:rPr>
          <w:rFonts w:cstheme="minorHAnsi"/>
        </w:rPr>
      </w:pPr>
      <w:r w:rsidRPr="006B0B81">
        <w:rPr>
          <w:rFonts w:cstheme="minorHAnsi"/>
        </w:rPr>
        <w:t xml:space="preserve">La domanda e la relativa documentazione allegata dovrà’ essere inviata, a pena di esclusione, entro il 15° (quindicesimo) giorno successivo a quello di pubblicazione del presente bando sul Bollettino Ufficiale della Regione Lazio e sul sito istituzionale. Qualora detto giorno sia festivo il termine è prorogato al giorno successivo non festivo. Le domande di partecipazione all’avviso, redatte in carta semplice, in forma di dichiarazione sostitutiva di cui al D.P.R. n. 445/2000 secondo lo schema esemplificativo allegato, sottoscritte ma senza autenticazione della firma, dovranno essere indirizzate al Direttore Generale dell’Azienda USL ROMA 3 – Via Casal Bernocchi n. 73 - 00125 ROMA, e dovrà essere specificato esternamente sulla busta/plico in carattere leggibile a stampatello: nome, cognome ed oggetto dell’avviso pubblico. </w:t>
      </w:r>
    </w:p>
    <w:p w:rsidR="008471B4" w:rsidRPr="006B0B81" w:rsidRDefault="008471B4" w:rsidP="008471B4">
      <w:pPr>
        <w:spacing w:after="0" w:line="20" w:lineRule="atLeast"/>
        <w:jc w:val="both"/>
        <w:rPr>
          <w:rFonts w:cstheme="minorHAnsi"/>
        </w:rPr>
      </w:pPr>
      <w:r w:rsidRPr="006B0B81">
        <w:rPr>
          <w:rFonts w:cstheme="minorHAnsi"/>
        </w:rPr>
        <w:t xml:space="preserve">Le domande dovranno essere trasmesse o consegnate, a pena di esclusione, entro la scadenza fissata quale termine perentorio, secondo una delle seguenti modalità: 1) consegna a mano in busta o plico chiusi, entro il termine indicato, al Protocollo Generale dell’Azienda USL ROMA 3 – Via Casal Bernocchi n. 73 - 00125 ROMA, sito al piano terra (aperto dalle ore 8.30 alle ore 13.00 dal lunedì al venerdì e dalle ore 14.30 alle ore 17.00 il lunedì ed il giovedì); 2) spedizione a mezzo raccomandata con avviso di ricevimento entro il termine di scadenza indicato (a tal fine fa fede il timbro a data dell’ufficio postale accettante). Si considerano, comunque, pervenute fuori termine, qualunque ne sia stata la causa, e non saranno prese in considerazione, le domande r.a.r. presentate al servizio postale nel termine di scadenza stabilito dal bando ma recapitate a questa Azienda oltre quattro giorni </w:t>
      </w:r>
      <w:proofErr w:type="gramStart"/>
      <w:r w:rsidRPr="006B0B81">
        <w:rPr>
          <w:rFonts w:cstheme="minorHAnsi"/>
        </w:rPr>
        <w:t>( saranno</w:t>
      </w:r>
      <w:proofErr w:type="gramEnd"/>
      <w:r w:rsidRPr="006B0B81">
        <w:rPr>
          <w:rFonts w:cstheme="minorHAnsi"/>
        </w:rPr>
        <w:t xml:space="preserve"> computati sia i gg. lavorativi che i festivi) successivi al termine di scadenza stabilito. 3) a mezzo Posta elettronica certificata P.E.C. intestata al partecipante, da inviare all’indirizzo: concorsi.aslroma3@pec.it specificando l’oggetto dell’avviso pubblico cui si partecipa. La domanda dovrà essere firmata dal candidato in maniera autografa, scansionata e inviata unitamente alla documentazione alla stessa allegata in unico file in formato pdf. La validità dell’invio mediante P.E.C. è subordinata all’utilizzo da parte dei candidati di casella di posta elettronica certificata personale. Gli allegati devono essere inviati solo in bianco e nero e la dimensione massima del messaggio pec compresi gli allegati deve essere di 100Mb. Non sarà ritenuto valido, con conseguente esclusione dei candidati dalla procedura, l’invio di posta elettronica semplice/ordinaria, anche se effettuata all’indirizzo di posta certificata sopra indicato, o l’invio tramite PEC intestate ad altre persone fisiche o giuridiche. Qualora in considerazione dei titoli che si intendano presentare, non sia possibile per ragioni tecniche inviare un unico file formato pdf, sarà </w:t>
      </w:r>
      <w:r w:rsidRPr="006B0B81">
        <w:rPr>
          <w:rFonts w:cstheme="minorHAnsi"/>
        </w:rPr>
        <w:lastRenderedPageBreak/>
        <w:t xml:space="preserve">possibile inviare un archivio dei file aggregati in formato winzip o winrar utilizzando i relativi programmi di uso quotidiano di compressione del peso di ogni file. Si ribadisce che l’utilizzo della P.E.C. è consentito solo da indirizzo di posta elettronica certificata personale. Non sarà ritenuto valido l’invio di posta elettronica semplice/ordinaria anche se indirizzata alla P.E.C. aziendale o inviata da PEC non personale. La validità della trasmissione e ricezione della corrispondenza è attestata, rispettivamente, dalla ricevuta di accettazione e da quella di avvenuta consegna. L’Amministrazione non si assume alcuna responsabilità in caso di impossibilità di apertura dei files. L’invio della domanda in altro formato comporterà l’irricevibilità della domanda stessa e la conseguente esclusione dall’avviso. L’invio dei documenti in altro formato o carenti della dichiarazione di conformità all’originale comporterà la mancata valutazione dei titoli allegati. Tutti gli allegati devono essere contenuti nella e-mail trasmessa e non è ammesso l’invio di collegamenti che referenziano gli allegati situati presso server esterni (es. Jumbo mail). Nel caso di invio della domanda a mezzo P.E.C. resta fissato il termine di scadenza (entro le h 23.59) stabilito dal presente bando. Le domande inviate ad altra casella di posta elettronica dell’Azienda, anche certificata, non verranno in alcun caso prese in considerazione. Nel caso di integrazione della documentazione già trasmessa aggiungere “integrazione”. Il termine di scadenza per la presentazione delle domande di cui al presente avviso è perentorio e non si terrà conto delle domande, dei documenti e dei titoli che perverranno, qualunque ne sia la causa, antecedentemente o successivamente al suddetto termine. Sono considerate nulle tutte le domande pervenute oltre il termine previsto. Il mancato rispetto di tale termine perentorio comporterà l’esclusione dall’avviso pubblico. L’Amministrazione non si assume alcuna responsabilità per la dispersione di comunicazioni dipendente da mancata, tardiva o inesatta indicazione del recapito da parte del concorrente né per eventuali disguidi postali o telegrafici o comunque imputabili a terzi, a caso fortuito o forza maggiore. Sarà obbligo del candidato comunicare le eventuali variazioni di indirizzo e/o recapito. L’eventuale riserva di invio successivo di documenti o titoli è priva di effetti e i documenti o i titoli, inviati successivamente alla scadenza del termine per la presentazione delle domande, non saranno presi in considerazione. Le domande di partecipazione devono essere datate e firmate in originale. Ai sensi dell’art. 39, comma 1, del D.P.R. n. 445/2000 non è richiesta l’autentica della firma. La mancata sottoscrizione autografa della domanda di partecipazione determina l’esclusione dall’avviso pubblico. Gli aspiranti devono indicare sotto la propria responsabilità, ai sensi degli artt. 46 e 47 del D.P.R. n. 445/2000 e s.m.i., consapevoli delle sanzioni penali previste dall’art. 76 del D.P.R. n. 445/2000 e s.m.i. quanto segue: a) il cognome e nome, data e luogo di nascita, codice fiscale, residenza, eventuali indirizzi di posta elettronica (e-mail, P.E.C.), recapito telefonico; b) il possesso della cittadinanza italiana ovvero i requisiti equivalenti e la conoscenza adeguata della lingua italiana; c) il comune nelle cui liste elettorali sono iscritti ovvero i motivi della loro non iscrizione e della cancellazione dalle liste medesime; d) le eventuali condanne riportate e gli eventuali carichi penali pendenti (la dichiarazione va resa anche se negativa); e) di non essere stato destituito o dispensato dall’impiego ovvero licenziato da pubbliche amministrazioni; f) il possesso dei titoli di studio richiesti e posseduti (Diploma di Laurea e/o LS/LM ovvero titolo equipollente conseguiti), l’Amministrazione rilasciante, il luogo e la data di conseguimento dei titoli stessi; g) l’iscrizione all’Albo Professionale di appartenenza; h) l’idoneità fisica specifica al profilo professionale in oggetto; i) la posizione nei riguardi degli obblighi militari; l) i servizi prestati presso pubbliche amministrazioni e le eventuali cause di cessazione e/o risoluzione di precedenti rapporti di pubblico impiego e la loro durata; m) le altre attività di lavoro eventualmente prestate con indicazione precisa dei periodi e degli Enti ed Istituti presso cui sono state svolte; n) gli eventuali titoli comprovanti il diritto di precedenza o preferenza a parità di punteggio nella graduatoria di merito, ai sensi della vigente normativa, tra cui l’eventuale formazione e/o esperienza documentata nell’area delle Dipendenze Patologiche; o) l’indirizzo presso il quale deve essere inviata al candidato ogni eventuale comunicazione relativa all’avviso comprensivo di c.a.p. e del numero telefonico. In caso di mancata indicazione vale la residenza indicata nella domanda; p) di essere portatore di handicap ai sensi dell’art. 3 della L. n. 104/92 e, pertanto, di avere necessità di tempi aggiuntivi nonché di ausili, ove ritenuto indispensabile ed in tale caso indicandoli espressamente; q) di accettare tutte le prescrizioni contenute nel presente avviso; r) l’assenso, per le finalità inerenti la gestione del presente avviso, all’utilizzo dei dati personali forniti, ai sensi del D.Lgs. n. 196/2003 e s.m.i. e del Regolamento UE 679/16. L’aspirante ha l’obbligo di comunicare gli eventuali cambiamenti di indirizzo all’Azienda, la quale non assume alcuna responsabilità nel caso di irreperibilità presso l’indirizzo comunicato. L’Amministrazione, altresì, declina sin d’ora ogni responsabilità per dispersione di comunicazioni dipendenti da inesatta indicazione del recapito da parte dell’aspirante, oppure tardiva comunicazione del </w:t>
      </w:r>
      <w:r w:rsidRPr="006B0B81">
        <w:rPr>
          <w:rFonts w:cstheme="minorHAnsi"/>
        </w:rPr>
        <w:lastRenderedPageBreak/>
        <w:t>cambiamento di indirizzo nella domanda o per eventuale disguidi postali o telegrafici non imputabili a colpa dell’amministrazione</w:t>
      </w:r>
    </w:p>
    <w:p w:rsidR="008471B4" w:rsidRPr="006B0B81" w:rsidRDefault="008471B4" w:rsidP="008471B4">
      <w:pPr>
        <w:spacing w:after="0" w:line="20" w:lineRule="atLeast"/>
        <w:jc w:val="both"/>
        <w:rPr>
          <w:rFonts w:cstheme="minorHAnsi"/>
        </w:rPr>
      </w:pPr>
      <w:r w:rsidRPr="006B0B81">
        <w:rPr>
          <w:rFonts w:cstheme="minorHAnsi"/>
        </w:rPr>
        <w:t xml:space="preserve">DOCUMENTAZIONE DA ALLEGARE ALLA DOMANDA </w:t>
      </w:r>
    </w:p>
    <w:p w:rsidR="008471B4" w:rsidRPr="006B0B81" w:rsidRDefault="008471B4" w:rsidP="008471B4">
      <w:pPr>
        <w:spacing w:after="0" w:line="20" w:lineRule="atLeast"/>
        <w:jc w:val="both"/>
        <w:rPr>
          <w:rFonts w:cstheme="minorHAnsi"/>
        </w:rPr>
      </w:pPr>
      <w:r w:rsidRPr="006B0B81">
        <w:rPr>
          <w:rFonts w:cstheme="minorHAnsi"/>
        </w:rPr>
        <w:t xml:space="preserve">Alla domanda di partecipazione il concorrente deve allegare, a pena di esclusione: a) il curriculum formativo e professionale, datato e firmato, relativo alle attività professionali e di lavoro, di studio, e quanto altro ritenuto di rilievo, redatto su carta semplice e in forma di dichiarazione sostitutiva di certificazione e di atto notorio, di cui al D.P.R. n. 445/2000, che deve recare la seguente dicitura. “Il sottoscritto…., ai sensi degli artt. 46 e 47 del D.P.R. n. 445/2000 e s.m.i., consapevole delle sanzioni penali previste dall’art. 76 del medesimo DPR nel caso di mendaci dichiarazioni, falsità negli atti, uso o esibizione di atti falsi o contenenti dati non più rispondenti a verità, dichiara che quanto di seguito riportato in relazione alla domanda di partecipazione all’avviso pubblico per….., corrisponde a verità”; b) tutte le certificazioni relative ai titoli che il candidato ritenga opportuno presentare ai fini della valutazione; c) le eventuali pubblicazioni devono essere edite a stampa e prodotte in originale, ovvero presentate in fotocopia semplice unitamente ad una dichiarazione sostitutiva dell’atto di notorietà, di conformità all’originale ai sensi dell’art. 47 del D.P.R. n. 445/2000; d) un elenco in n carta semplice, datato e firmato, dei documenti e dei titoli presentati, numerato progressivamente in relazione al corrispondente titolo; e) la fotocopia di documento valido di identità personale. </w:t>
      </w:r>
    </w:p>
    <w:p w:rsidR="008471B4" w:rsidRPr="006B0B81" w:rsidRDefault="008471B4" w:rsidP="008471B4">
      <w:pPr>
        <w:spacing w:after="0" w:line="20" w:lineRule="atLeast"/>
        <w:jc w:val="both"/>
        <w:rPr>
          <w:rFonts w:cstheme="minorHAnsi"/>
        </w:rPr>
      </w:pPr>
      <w:r w:rsidRPr="006B0B81">
        <w:rPr>
          <w:rFonts w:cstheme="minorHAnsi"/>
        </w:rPr>
        <w:t xml:space="preserve">AUTOCERTIFICAZIONE </w:t>
      </w:r>
    </w:p>
    <w:p w:rsidR="008471B4" w:rsidRPr="006B0B81" w:rsidRDefault="008471B4" w:rsidP="008471B4">
      <w:pPr>
        <w:spacing w:after="0" w:line="20" w:lineRule="atLeast"/>
        <w:jc w:val="both"/>
        <w:rPr>
          <w:rFonts w:cstheme="minorHAnsi"/>
        </w:rPr>
      </w:pPr>
      <w:r w:rsidRPr="006B0B81">
        <w:rPr>
          <w:rFonts w:cstheme="minorHAnsi"/>
        </w:rPr>
        <w:t xml:space="preserve">Tutti i requisiti ed i titoli che si intendono far valere debbono essere prodotti in applicazione del D.P.R. n. 445/2000 e s.m.i., artt. 19, 46 e 47, sotto forma di autocertificazione. A decorrere dal 1 gennaio 2012 - per effetto dell’entrata in vigore delle disposizioni introdotte dall’art. 15, comma 1, della L. 183/2011 che prevede la “de-certificazione” dei rapporti tra P.A. e privati – non possono essere più accettate le certificazioni rilasciate dalle Pubbliche Amministrazioni in ordine a stati, qualità personali e fatti elencati all’art. 46 del D.P.R. n. 445/2000 o di cui l’interessato abbia diretta conoscenza (art. 47 D.P.R. n. 445/2000). Tali certificati sono sempre sostituiti dalle dichiarazioni sostitutive di certificazione o dall’atto di notorietà. Pertanto, la dichiarazione resa dal candidato in quanto sostitutiva a tutti gli effetti della certificazione deve contenere tutti gli elementi necessari alla valutazione del titolo che il candidato intende produrre; l’omissione anche di un solo elemento può determinare la non valutazione o la parziale valutazione del titolo autocertificato. In particolare, con riferimento al servizio prestato, la dichiarazione sostitutiva dell’atto di notorietà allegata alla domanda, resa con le modalità sopraindicate, deve contenere: - l’esatta denominazione dell’Ente presso il quale il servizio è stato prestato; - il profilo professionale; - il tipo di rapporto di lavoro (tempo indeterminato/determinato, collaborazione coordinata e continuativa, incarico libero professionale, borsa di studio, ecc.); - la tipologia dell’orario (tempo pieno/tempo definito, part-time con relativa percentuale rispetto al tempo pieno); - le date di inizio(giorno/mese/anno) e di conclusione del servizio prestato nonché le eventuali interruzioni (aspettativa senza assegni, sospensione cautelare, ecc.) e quant’altro necessario per valutare il servizio stesso. Per i periodi di servizio prestati all’estero presso organismi internazionali, valutabili nei titoli di carriera, è necessario che gli interessati specifichino la data di inizio e dell’eventuale cessazione, eventuali interruzioni del rapporto di impiego, i motivi di cessazione, il profilo professionale e la disciplina di inquadramento. Il predetto servizio deve avere ottenuto, entro la data di scadenza del termine utile per la presentazione delle domande di partecipazione alla selezione, il necessario riconoscimento, al fine della valutazione, rilasciato dalle competenti autorità ai sensi della normativa vigente (indicare estremi del provvedimento di riconoscimento). Per i periodi di effettivo servizio militare di leva, di richiamo alle armi, di ferma volontaria e di rafferma, valutabili nei titoli di carriera, è necessario che gli interessati specifichino, oltre all’esatto periodo di servizio prestato, anche se il servizio sia stato svolto o meno nella qualifica oggetto della selezione. Non possono essere valutate le pubblicazioni, prodotte come sopra richiesto, dalle quali non risulti l’apporto del candidato. Il curriculum avrà valore di autocertificazione e consentirà la valutazione di quanto in esso indicato a condizione che riporti: a) la firma in originale; b) la data; c) la dichiarazione sulla consapevolezza delle sanzioni penali per le ipotesi di falsità e di dichiarazioni mendaci. Non verranno prese in considerazione le certificazioni allegate rilasciate da pubbliche amministrazioni. L’Amministrazione effettuerà, ai sensi dell’art 71 del D.P.R. n. 445/2000 e dell’art. 15 della L. n. 183/2011, idonei controlli sulla veridicità del contenuto delle dichiarazioni sostitutive ricevute. In caso di accertate difformità tra quanto dichiarato e quanto accertato dall’Amministrazione: - l’Amministrazione procederà alla segnalazione all’Autorità Giudiziaria per le sanzioni penali previste ai sensi dell’art. 76 del D.P.R. n. 445/2000; - in caso di </w:t>
      </w:r>
      <w:r w:rsidRPr="006B0B81">
        <w:rPr>
          <w:rFonts w:cstheme="minorHAnsi"/>
        </w:rPr>
        <w:lastRenderedPageBreak/>
        <w:t xml:space="preserve">sopravvenuta assunzione l’Amministrazione applicherà l’art. 55-quater del D.Lgs. n. 165/2001 e s.m.i.; - l’interessato decadrà, comunque, ai sensi dell’art. 75 del D.P.R. n. 445/2000 da tutti i benefici conseguiti sulla base della dichiarazione non veritiera. Il candidato deve presentare in carta semplice e senza autentica della firma unitamente a fotocopia semplice di un proprio documento di identità personale in corso di validità: a) “dichiarazione sostitutiva di certificazione”: nei casi tassativamente indicati nell’art. 46 del D.P.R. n. 445/2000 (ad es.: stato di famiglia, iscrizione in albi professionali, titoli di studio, qualifica professionale, titolo di specializzazione, di abilitazione, ecc.) oppure b) “dichiarazione sostitutiva di atto di notorietà”: ai sensi degli artt. 19 e 47 del D.P.R. n. 445/2000 per tutti gli stati, le qualità personali e i fatti non espressamente indicati nel citato art. 46 del D.P.R. n. 445/2000 (ad es.: attività di servizio, borse di studio, incarichi libero-professionali, attività di docenza, frequenza corsi di formazione, di aggiornamento, partecipazione a convegni, seminari, conformità all’originale di copie di pubblicazioni e di copie prodotte). Le autocertificazioni attestanti l’attività prestate presso case di Cura private devono espressamente contenere l’indicazione del regime di accreditamento con il SSN, in assenza di tale indicazione il servizio prestato non sarà considerato nei titoli di carriera ma eventualmente nel curriculum formativo professionale. Non saranno ritenute valide e, pertanto, non saranno valutati i relativi titoli, generiche dichiarazioni di conformità all’originale che non contengano la specifica descrizione di ciascun documento allegato. Si rappresenta che la documentazione presentata potrà esser ritirata personalmente (o da incaricato munito di delega) solo dopo sessanta giorni dall’avvenuto conferimento degli incarichi da parte del Direttore La restituzione dei documenti potrà avvenire anche prima della scadenza del suddetto termine per il candidato non presentatosi al colloquio. Trascorsi tre anni dai conferimenti degli incarichi l’Amministrazione procederà all’eliminazione della documentazione allegata alla domanda di partecipazione. Si invitano, pertanto, i candidati a ritirare la documentazione entro il suddetto termine. Diversamente i documenti non potranno più essere reclamati dal concorrente. </w:t>
      </w:r>
    </w:p>
    <w:p w:rsidR="008471B4" w:rsidRPr="006B0B81" w:rsidRDefault="008471B4" w:rsidP="008471B4">
      <w:pPr>
        <w:spacing w:after="0" w:line="20" w:lineRule="atLeast"/>
        <w:jc w:val="both"/>
        <w:rPr>
          <w:rFonts w:cstheme="minorHAnsi"/>
        </w:rPr>
      </w:pPr>
      <w:r w:rsidRPr="006B0B81">
        <w:rPr>
          <w:rFonts w:cstheme="minorHAnsi"/>
        </w:rPr>
        <w:t xml:space="preserve">AMMISSIONE/ESCLUSIONE </w:t>
      </w:r>
    </w:p>
    <w:p w:rsidR="008471B4" w:rsidRPr="006B0B81" w:rsidRDefault="008471B4" w:rsidP="008471B4">
      <w:pPr>
        <w:spacing w:after="0" w:line="20" w:lineRule="atLeast"/>
        <w:jc w:val="both"/>
        <w:rPr>
          <w:rFonts w:cstheme="minorHAnsi"/>
        </w:rPr>
      </w:pPr>
      <w:r w:rsidRPr="006B0B81">
        <w:rPr>
          <w:rFonts w:cstheme="minorHAnsi"/>
        </w:rPr>
        <w:t xml:space="preserve">L’ammissione e/o l’eventuale esclusione dei partecipanti sarà disposta con deliberazione del Direttore Generale ed i nominativi degli ammessi saranno pubblicati sul sito istituzionale nell’area “Amministrazione Trasparente – Sezione Bandi di Concorso”. L’Azienda può disporre in ogni momento, con provvedimento motivato, l’esclusione dei candidati dall’avviso pubblico per difetto dei requisiti di ammissione prescritti dal bando. </w:t>
      </w:r>
    </w:p>
    <w:p w:rsidR="008471B4" w:rsidRPr="006B0B81" w:rsidRDefault="008471B4" w:rsidP="008471B4">
      <w:pPr>
        <w:spacing w:after="0" w:line="20" w:lineRule="atLeast"/>
        <w:jc w:val="both"/>
        <w:rPr>
          <w:rFonts w:cstheme="minorHAnsi"/>
        </w:rPr>
      </w:pPr>
      <w:r w:rsidRPr="006B0B81">
        <w:rPr>
          <w:rFonts w:cstheme="minorHAnsi"/>
        </w:rPr>
        <w:t xml:space="preserve">COMMISSIONE ESAMINATRICE E CONVOCAZIONE CANDIDATI </w:t>
      </w:r>
    </w:p>
    <w:p w:rsidR="008471B4" w:rsidRPr="006B0B81" w:rsidRDefault="008471B4" w:rsidP="008471B4">
      <w:pPr>
        <w:spacing w:after="0" w:line="20" w:lineRule="atLeast"/>
        <w:jc w:val="both"/>
        <w:rPr>
          <w:rFonts w:cstheme="minorHAnsi"/>
        </w:rPr>
      </w:pPr>
      <w:r w:rsidRPr="006B0B81">
        <w:rPr>
          <w:rFonts w:cstheme="minorHAnsi"/>
        </w:rPr>
        <w:t xml:space="preserve">La Commissione Esaminatrice sarà nominata con apposita deliberazione del Direttore Generale nel rispetto di quanto disposto dall’art. 35 – bis del D.Lgs. n. 165/01 e s.m.i. e dal D.P.R. n. 220/2001. </w:t>
      </w:r>
    </w:p>
    <w:p w:rsidR="008471B4" w:rsidRPr="006B0B81" w:rsidRDefault="008471B4" w:rsidP="008471B4">
      <w:pPr>
        <w:spacing w:after="0" w:line="20" w:lineRule="atLeast"/>
        <w:jc w:val="both"/>
        <w:rPr>
          <w:rFonts w:cstheme="minorHAnsi"/>
        </w:rPr>
      </w:pPr>
      <w:r w:rsidRPr="006B0B81">
        <w:rPr>
          <w:rFonts w:cstheme="minorHAnsi"/>
        </w:rPr>
        <w:t xml:space="preserve">La Commissione esaminatrice, valuterà nei termini di cui agli artt. 11, 20, 21 e 22 del D.P.R. n. 220/2001 e dispone complessivamente di 100 punti, così ripartiti: a) 40 punti per i titoli; b) 30 punti per la prova scritta; c) 30 punti per il colloquio. I punti per la valutazione dei titoli sono ripartiti tra le seguenti categorie: a) Titoli di carriera b) Titoli accademici e di studio c) Pubblicazioni e titoli scientifici d) Curriculum formativo e professionale Nel caso in cui il numero delle domande di partecipazione sia superiore a 100 (cento), l’Azienda potrà procedere allo svolgimento di una prova preselettiva intesa ad accertare il grado di professionalità posseduto in relazione a quello richiesto per lo svolgimento delle mansioni proprie del profilo ad avviso. La preselezione, che non è prova d’esame, consisterà nella risoluzione di appositi quiz a risposta multipla e/o alla soluzione di domande a risposta sintetica, vertenti sulle materie previste per le prove scritta ed orale. Il superamento della prova preselettiva costituisce requisito essenziale di ammissione alla prova scritta. La votazione conseguita non concorre alla formazione del punteggio finale di merito. Saranno ammessi alla prova scritta i primi 50 (cinquanta) candidati, più eventuali ex aequo, in base all’ordine decrescente della graduatoria che scaturirà dalla valutazione della prova preselettiva. In merito alla correzione della prova preselettiva si stabilisce che saranno attribuiti: per ogni risposta corretta punti: +1; per ogni mancata risposta o risposta annullata punti: -0.01; per ogni risposta errata punti: -0.51. I candidati che hanno presentato domanda di partecipazione ed ai quali non sia stata comunicata l’esclusione dall’avviso per difetto dei requisiti prescritti, sono tenuti a presentarsi, muniti di un valido documento di riconoscimento, a sostenere la prova scritta nella data, luogo ed orario resi noti tramite avviso che sarà pubblicato sul sito internet aziendale nell’area “Amministrazione Trasparente – Sezione Bandi di Concorso” non meno di 15 (quindici) giorni prima della prova medesima. La suddetta convocazione con l’indicazione della data, dell’ora e del luogo di svolgimento della prova scritta costituiscono a tutti gli effetti formale notifica nei confronti dei candidati </w:t>
      </w:r>
      <w:r w:rsidRPr="006B0B81">
        <w:rPr>
          <w:rFonts w:cstheme="minorHAnsi"/>
        </w:rPr>
        <w:lastRenderedPageBreak/>
        <w:t xml:space="preserve">ammessi alla prova. I candidati che non si presenteranno a sostenere la prova scritta nel giorno, nell’ora e nella sede stabiliti, saranno dichiarati decaduti dalla pubblica selezione, qualunque sia la causa dell’assenza anche se non dipendente dalla loro volontà. Il superamento di tale prova scritta è subordinato al raggiungimento di una valutazione di sufficienza pari a 21/30. La stessa verterà in una relazione su caso clinico simulato o su argomenti inerenti la disciplina messa a selezione, ovvero mediante soluzione di una serie di quesiti a risposta sintetica e/o multipla. Il colloquio avrà ad oggetto l’approfondimento delle esperienze professionali maturate, la verifica del possesso delle specifiche conoscenze e competenze legate alla professione oggetto dell’incarico, nonché la verifica dell’attitudine a svolgere le attività previste. </w:t>
      </w:r>
    </w:p>
    <w:p w:rsidR="008471B4" w:rsidRPr="006B0B81" w:rsidRDefault="008471B4" w:rsidP="008471B4">
      <w:pPr>
        <w:spacing w:after="0" w:line="20" w:lineRule="atLeast"/>
        <w:jc w:val="both"/>
        <w:rPr>
          <w:rFonts w:cstheme="minorHAnsi"/>
        </w:rPr>
      </w:pPr>
      <w:r w:rsidRPr="006B0B81">
        <w:rPr>
          <w:rFonts w:cstheme="minorHAnsi"/>
        </w:rPr>
        <w:t xml:space="preserve">Il superamento di tale prova è subordinato al raggiungimento di una valutazione di sufficienza pari a 21/30. GRADUATORIA </w:t>
      </w:r>
    </w:p>
    <w:p w:rsidR="008471B4" w:rsidRPr="006B0B81" w:rsidRDefault="008471B4" w:rsidP="008471B4">
      <w:pPr>
        <w:spacing w:after="0" w:line="20" w:lineRule="atLeast"/>
        <w:jc w:val="both"/>
        <w:rPr>
          <w:rFonts w:cstheme="minorHAnsi"/>
        </w:rPr>
      </w:pPr>
      <w:r w:rsidRPr="006B0B81">
        <w:rPr>
          <w:rFonts w:cstheme="minorHAnsi"/>
        </w:rPr>
        <w:t>La graduatoria di merito sarà formulata dalla Commissione Esaminatrice e verrà pubblicata sul sito aziendale www.aslromad.it nell’area “Amministrazione Trasparente – Sezione Bandi di Concorso”. Tale graduatoria sarà approvata con deliberazione del Direttore Generale. I vincitori saranno invitati ad assumere servizio entro i termini stabiliti dalla normativa contrattuale vigente e dalle norme regionali. L’Azienda, verificata la sussistenza dei requisiti di idoneità, procederà alla stipula di contratto individuale di lavoro nel quale sarà indicata la data di presa in servizio. Ai fini giuridici ed economici l’assunzione decorrerà dalla data dell’effettiva immissione in servizio. Il rapporto di lavoro di che trattasi ha carattere di esclusività. Il trattamento economico per lo svolgimento delle citate funzioni è quello previsto dal vigente CCNL del Personale del Comparto del SSN. L’immissione in servizio dei vincitori resta subordinata all’esito della visita medica di idoneità alla specifica mansione da effettuarsi a cura del Medico Competente di questa Azienda. Si precisa che le assunzioni saranno effettuate solo se consentito dalla legislazione nazionale e regionale vigente al momento della stipula del relativo contratto individuale. La mancata assunzione, pertanto, non potrà comportare titolo, per i candidati al risarcimento e/o ristoro di alcun danno. Per quanto non contenuto nel presente bando si fa riferimento alle disposizioni previste dal D.P.R. n. 220/2001; dal D.Lgs. n. 165/2001 e s.m.i., dal D.P.R. n. 487/94 e dalla vigente normativa in materia.</w:t>
      </w:r>
    </w:p>
    <w:p w:rsidR="008471B4" w:rsidRPr="006B0B81" w:rsidRDefault="008471B4" w:rsidP="008471B4">
      <w:pPr>
        <w:spacing w:after="0" w:line="20" w:lineRule="atLeast"/>
        <w:jc w:val="both"/>
        <w:rPr>
          <w:rFonts w:cstheme="minorHAnsi"/>
        </w:rPr>
      </w:pPr>
      <w:r w:rsidRPr="006B0B81">
        <w:rPr>
          <w:rFonts w:cstheme="minorHAnsi"/>
        </w:rPr>
        <w:t xml:space="preserve"> INFORMATIVA DATI PERSONALI “PRIVACY” </w:t>
      </w:r>
    </w:p>
    <w:p w:rsidR="008471B4" w:rsidRPr="006B0B81" w:rsidRDefault="008471B4" w:rsidP="008471B4">
      <w:pPr>
        <w:spacing w:after="0" w:line="20" w:lineRule="atLeast"/>
        <w:jc w:val="both"/>
        <w:rPr>
          <w:rFonts w:cstheme="minorHAnsi"/>
        </w:rPr>
      </w:pPr>
      <w:r w:rsidRPr="006B0B81">
        <w:rPr>
          <w:rFonts w:cstheme="minorHAnsi"/>
        </w:rPr>
        <w:t xml:space="preserve">L’Azienda U.S.L. Roma 3 in qualità di titolare del trattamento, informa gli interessati che tutti i dati personali, compresi quelli sensibili e giudiziari, raccolti attraverso la compilazione della domanda relativa al presente avviso, saranno trattati in osservanza dei presupposti e dei limiti stabiliti dal “Codice in materia di protezione dei dati personali” di cui al D.Lgs. n. 196/2003 e s.m.i. e dal Regolamento UE 679/16 “Regolamento Generale sulla Protezione dei Dati”, nonché dalla Legge e dall’ulteriore normativa vigente in materia, al fine di svolgere le funzioni istituzionali. Il Trattamento dei dati avverrà, anche con l’utilizzo di strumenti elettronici, ad opera di dipendenti dell’azienda opportunamente incaricati ed istruiti, attraverso logiche strettamente correlate alle finalità per le quali sono raccolti. Potranno conoscere i dati altri soggetti che forniscono servizi o svolgono attività strumentali per conto dell’Azienda ed operano in qualità di responsabili designati dall’Azienda stessa. Il conferimento dei dati è obbligatorio ed il rifiuto a fornirli comporterà l’impossibilità di dare seguito alle richieste avanzate ed alle istanze inoltrate. L’interessato gode dei diritti di cui all’art. 7 del D.Lgs. n. 196/2003 e s.m.i. ed al Regolamento UE 679/16. </w:t>
      </w:r>
    </w:p>
    <w:p w:rsidR="008471B4" w:rsidRPr="006B0B81" w:rsidRDefault="008471B4" w:rsidP="008471B4">
      <w:pPr>
        <w:spacing w:after="0" w:line="20" w:lineRule="atLeast"/>
        <w:jc w:val="both"/>
        <w:rPr>
          <w:rFonts w:cstheme="minorHAnsi"/>
        </w:rPr>
      </w:pPr>
      <w:r w:rsidRPr="006B0B81">
        <w:rPr>
          <w:rFonts w:cstheme="minorHAnsi"/>
        </w:rPr>
        <w:t xml:space="preserve">DISPOSIZIONI FINALI </w:t>
      </w:r>
    </w:p>
    <w:p w:rsidR="008471B4" w:rsidRPr="006B0B81" w:rsidRDefault="008471B4" w:rsidP="008471B4">
      <w:pPr>
        <w:spacing w:after="0" w:line="20" w:lineRule="atLeast"/>
        <w:jc w:val="both"/>
        <w:rPr>
          <w:rFonts w:cstheme="minorHAnsi"/>
        </w:rPr>
      </w:pPr>
      <w:r w:rsidRPr="006B0B81">
        <w:rPr>
          <w:rFonts w:cstheme="minorHAnsi"/>
        </w:rPr>
        <w:t xml:space="preserve">L’Azienda U.S.L. ROMA 3 si riserva piena facoltà di prorogare o riaprire i termini, revocare, sospendere e modificare in tutto o in parte o annullare il presente avviso, ove ricorrano motivi di pubblico interesse o di opportunità, escludendo per i candidati qualsiasi pretesa o diritto nonché di sospendere o revocare il procedimento di assunzione anche dopo l’espletamento del colloquio e l’approvazione della graduatoria qualora ne ravvisasse la necessità per ragioni di pubblico interesse. La presentazione della domanda comporta l’accettazione incondizionata delle norme contenute nel presente bando. La procedura si intende conclusa con l’atto formale di attribuzione di assunzione temporanea adottato dal Direttore Generale. Per quanto non previsto dal presente bando si fa riferimento alle vigenti disposizioni di legge in materia. Il responsabile del procedimento è il Dr. Filippo COIRO – Direttore dell’U.O.C. Risorse Umane. Il presente avviso sarà integralmente pubblicato sul sito internet aziendale all’indirizzo: </w:t>
      </w:r>
      <w:proofErr w:type="gramStart"/>
      <w:r w:rsidRPr="006B0B81">
        <w:rPr>
          <w:rFonts w:cstheme="minorHAnsi"/>
        </w:rPr>
        <w:t>http://www.aslromad.it ,</w:t>
      </w:r>
      <w:proofErr w:type="gramEnd"/>
      <w:r w:rsidRPr="006B0B81">
        <w:rPr>
          <w:rFonts w:cstheme="minorHAnsi"/>
        </w:rPr>
        <w:t xml:space="preserve"> nell’area “Amministrazione Trasparente – Sezione Bandi di Concorso” e sul Bollettino Ufficiale della Regione Lazio. IL DIRETTORE GENERALE (Dr. Vitaliano DE SALAZAR)</w:t>
      </w:r>
    </w:p>
    <w:p w:rsidR="008471B4" w:rsidRPr="006B0B81" w:rsidRDefault="008471B4" w:rsidP="008471B4">
      <w:pPr>
        <w:spacing w:after="0" w:line="20" w:lineRule="atLeast"/>
        <w:jc w:val="both"/>
        <w:rPr>
          <w:rFonts w:cstheme="minorHAnsi"/>
        </w:rPr>
      </w:pPr>
    </w:p>
    <w:p w:rsidR="008471B4" w:rsidRPr="006B0B81" w:rsidRDefault="008471B4" w:rsidP="008471B4">
      <w:pPr>
        <w:spacing w:after="0" w:line="20" w:lineRule="atLeast"/>
        <w:jc w:val="both"/>
        <w:rPr>
          <w:rFonts w:cstheme="minorHAnsi"/>
        </w:rPr>
      </w:pPr>
      <w:r w:rsidRPr="006B0B81">
        <w:rPr>
          <w:rFonts w:cstheme="minorHAnsi"/>
        </w:rPr>
        <w:t xml:space="preserve">AL DIRETTORE GENERALE DELL’ ASL ROMA 3 Via Casal Bernocchi, 73 – 00125 ROMA </w:t>
      </w:r>
    </w:p>
    <w:p w:rsidR="008471B4" w:rsidRPr="006B0B81" w:rsidRDefault="008471B4" w:rsidP="008471B4">
      <w:pPr>
        <w:spacing w:after="0" w:line="20" w:lineRule="atLeast"/>
        <w:jc w:val="both"/>
        <w:rPr>
          <w:rFonts w:cstheme="minorHAnsi"/>
        </w:rPr>
      </w:pPr>
      <w:r w:rsidRPr="006B0B81">
        <w:rPr>
          <w:rFonts w:cstheme="minorHAnsi"/>
        </w:rPr>
        <w:lastRenderedPageBreak/>
        <w:t xml:space="preserve">Il/la…. </w:t>
      </w:r>
      <w:proofErr w:type="gramStart"/>
      <w:r w:rsidRPr="006B0B81">
        <w:rPr>
          <w:rFonts w:cstheme="minorHAnsi"/>
        </w:rPr>
        <w:t>sottoscritto</w:t>
      </w:r>
      <w:proofErr w:type="gramEnd"/>
      <w:r w:rsidRPr="006B0B81">
        <w:rPr>
          <w:rFonts w:cstheme="minorHAnsi"/>
        </w:rPr>
        <w:t xml:space="preserve">/a ……………………………………………………….chiede di essere ammesso/a all’avviso pubblico, per titoli ed esami, per l’assunzione, a tempo pieno e determinato, della durata massima di un anno, di n. n. 2 unità di Collaboratore Professionale - Assistente Sociale, cat. D per l’implementazione del progetto di prevenzione, cura e riabilitazione delle patologie da disturbo da gioco d’azzardo GAP” Il gioco è una cosa </w:t>
      </w:r>
      <w:proofErr w:type="gramStart"/>
      <w:r w:rsidRPr="006B0B81">
        <w:rPr>
          <w:rFonts w:cstheme="minorHAnsi"/>
        </w:rPr>
        <w:t>seria“ dell’Azienda</w:t>
      </w:r>
      <w:proofErr w:type="gramEnd"/>
      <w:r w:rsidRPr="006B0B81">
        <w:rPr>
          <w:rFonts w:cstheme="minorHAnsi"/>
        </w:rPr>
        <w:t xml:space="preserve"> U.S.L. Roma 3, indetto giusta deliberazione n………. </w:t>
      </w:r>
      <w:proofErr w:type="gramStart"/>
      <w:r w:rsidRPr="006B0B81">
        <w:rPr>
          <w:rFonts w:cstheme="minorHAnsi"/>
        </w:rPr>
        <w:t>del</w:t>
      </w:r>
      <w:proofErr w:type="gramEnd"/>
      <w:r w:rsidRPr="006B0B81">
        <w:rPr>
          <w:rFonts w:cstheme="minorHAnsi"/>
        </w:rPr>
        <w:t xml:space="preserve">…………e pubblicato sul BURL n.………………del…………… </w:t>
      </w:r>
    </w:p>
    <w:p w:rsidR="008471B4" w:rsidRPr="006B0B81" w:rsidRDefault="008471B4" w:rsidP="008471B4">
      <w:pPr>
        <w:spacing w:after="0" w:line="20" w:lineRule="atLeast"/>
        <w:jc w:val="both"/>
        <w:rPr>
          <w:rFonts w:cstheme="minorHAnsi"/>
        </w:rPr>
      </w:pPr>
      <w:r w:rsidRPr="006B0B81">
        <w:rPr>
          <w:rFonts w:cstheme="minorHAnsi"/>
        </w:rPr>
        <w:t xml:space="preserve">A tal fine, ai sensi del DPR 28 dicembre 2000 n. 445, sotto la propria responsabilità dichiara, ai sensi degli artt. 46 e 47 del medesimo D.P.R.: </w:t>
      </w:r>
    </w:p>
    <w:p w:rsidR="008471B4" w:rsidRPr="006B0B81" w:rsidRDefault="008471B4" w:rsidP="008471B4">
      <w:pPr>
        <w:spacing w:after="0" w:line="20" w:lineRule="atLeast"/>
        <w:jc w:val="both"/>
        <w:rPr>
          <w:rFonts w:cstheme="minorHAnsi"/>
        </w:rPr>
      </w:pPr>
      <w:r w:rsidRPr="006B0B81">
        <w:rPr>
          <w:rFonts w:cstheme="minorHAnsi"/>
        </w:rPr>
        <w:t>1- di essere nato/a …………</w:t>
      </w:r>
      <w:proofErr w:type="gramStart"/>
      <w:r w:rsidRPr="006B0B81">
        <w:rPr>
          <w:rFonts w:cstheme="minorHAnsi"/>
        </w:rPr>
        <w:t>…….</w:t>
      </w:r>
      <w:proofErr w:type="gramEnd"/>
      <w:r w:rsidRPr="006B0B81">
        <w:rPr>
          <w:rFonts w:cstheme="minorHAnsi"/>
        </w:rPr>
        <w:t xml:space="preserve">(prov…) il……… e di risiedere a …………………….Via………………n………. </w:t>
      </w:r>
      <w:proofErr w:type="gramStart"/>
      <w:r w:rsidRPr="006B0B81">
        <w:rPr>
          <w:rFonts w:cstheme="minorHAnsi"/>
        </w:rPr>
        <w:t>cap</w:t>
      </w:r>
      <w:proofErr w:type="gramEnd"/>
      <w:r w:rsidRPr="006B0B81">
        <w:rPr>
          <w:rFonts w:cstheme="minorHAnsi"/>
        </w:rPr>
        <w:t xml:space="preserve">…….; tel/cell………………codice fiscale…………….e-mail………...; P.E.C……………; </w:t>
      </w:r>
    </w:p>
    <w:p w:rsidR="008471B4" w:rsidRPr="006B0B81" w:rsidRDefault="008471B4" w:rsidP="008471B4">
      <w:pPr>
        <w:spacing w:after="0" w:line="20" w:lineRule="atLeast"/>
        <w:jc w:val="both"/>
        <w:rPr>
          <w:rFonts w:cstheme="minorHAnsi"/>
        </w:rPr>
      </w:pPr>
      <w:r w:rsidRPr="006B0B81">
        <w:rPr>
          <w:rFonts w:cstheme="minorHAnsi"/>
        </w:rPr>
        <w:t>2- di essere cittadino/a italiano/a ovvero di essere cittadino/a…………………</w:t>
      </w:r>
      <w:proofErr w:type="gramStart"/>
      <w:r w:rsidRPr="006B0B81">
        <w:rPr>
          <w:rFonts w:cstheme="minorHAnsi"/>
        </w:rPr>
        <w:t>…….</w:t>
      </w:r>
      <w:proofErr w:type="gramEnd"/>
      <w:r w:rsidRPr="006B0B81">
        <w:rPr>
          <w:rFonts w:cstheme="minorHAnsi"/>
        </w:rPr>
        <w:t xml:space="preserve">.(indicare la nazionalità) e di avere adeguata conoscenza della lingua italiana; </w:t>
      </w:r>
    </w:p>
    <w:p w:rsidR="008471B4" w:rsidRPr="006B0B81" w:rsidRDefault="008471B4" w:rsidP="008471B4">
      <w:pPr>
        <w:spacing w:after="0" w:line="20" w:lineRule="atLeast"/>
        <w:jc w:val="both"/>
        <w:rPr>
          <w:rFonts w:cstheme="minorHAnsi"/>
        </w:rPr>
      </w:pPr>
      <w:r w:rsidRPr="006B0B81">
        <w:rPr>
          <w:rFonts w:cstheme="minorHAnsi"/>
        </w:rPr>
        <w:t>3- di essere iscritto/a nelle liste elettorali del Comune di…………………………………; ovvero di non essere iscritto/a nelle liste elettorali per il seguente motivo…………</w:t>
      </w:r>
      <w:proofErr w:type="gramStart"/>
      <w:r w:rsidRPr="006B0B81">
        <w:rPr>
          <w:rFonts w:cstheme="minorHAnsi"/>
        </w:rPr>
        <w:t>…….</w:t>
      </w:r>
      <w:proofErr w:type="gramEnd"/>
      <w:r w:rsidRPr="006B0B81">
        <w:rPr>
          <w:rFonts w:cstheme="minorHAnsi"/>
        </w:rPr>
        <w:t xml:space="preserve">. </w:t>
      </w:r>
    </w:p>
    <w:p w:rsidR="008471B4" w:rsidRPr="006B0B81" w:rsidRDefault="008471B4" w:rsidP="008471B4">
      <w:pPr>
        <w:spacing w:after="0" w:line="20" w:lineRule="atLeast"/>
        <w:jc w:val="both"/>
        <w:rPr>
          <w:rFonts w:cstheme="minorHAnsi"/>
        </w:rPr>
      </w:pPr>
      <w:r w:rsidRPr="006B0B81">
        <w:rPr>
          <w:rFonts w:cstheme="minorHAnsi"/>
        </w:rPr>
        <w:t xml:space="preserve">4- di non aver riportato condanne penali e di non avere procedimenti penali in corso (in caso positivo indicare gli estremi della condanna riportata e/o i procedimenti in </w:t>
      </w:r>
      <w:proofErr w:type="gramStart"/>
      <w:r w:rsidRPr="006B0B81">
        <w:rPr>
          <w:rFonts w:cstheme="minorHAnsi"/>
        </w:rPr>
        <w:t>corso)…</w:t>
      </w:r>
      <w:proofErr w:type="gramEnd"/>
      <w:r w:rsidRPr="006B0B81">
        <w:rPr>
          <w:rFonts w:cstheme="minorHAnsi"/>
        </w:rPr>
        <w:t xml:space="preserve">… ………………………………………..…; </w:t>
      </w:r>
    </w:p>
    <w:p w:rsidR="008471B4" w:rsidRPr="006B0B81" w:rsidRDefault="008471B4" w:rsidP="008471B4">
      <w:pPr>
        <w:spacing w:after="0" w:line="20" w:lineRule="atLeast"/>
        <w:jc w:val="both"/>
        <w:rPr>
          <w:rFonts w:cstheme="minorHAnsi"/>
        </w:rPr>
      </w:pPr>
      <w:r w:rsidRPr="006B0B81">
        <w:rPr>
          <w:rFonts w:cstheme="minorHAnsi"/>
        </w:rPr>
        <w:t xml:space="preserve">5- di essere in possesso dell’idoneità fisica specifica al profilo professionale; </w:t>
      </w:r>
    </w:p>
    <w:p w:rsidR="008471B4" w:rsidRPr="006B0B81" w:rsidRDefault="008471B4" w:rsidP="008471B4">
      <w:pPr>
        <w:spacing w:after="0" w:line="20" w:lineRule="atLeast"/>
        <w:jc w:val="both"/>
        <w:rPr>
          <w:rFonts w:cstheme="minorHAnsi"/>
        </w:rPr>
      </w:pPr>
      <w:r w:rsidRPr="006B0B81">
        <w:rPr>
          <w:rFonts w:cstheme="minorHAnsi"/>
        </w:rPr>
        <w:t xml:space="preserve">6- di non essere stato destituito, dispensato o licenziato dall’impiego presso una Pubblica Amministrazione (in caso positivo </w:t>
      </w:r>
      <w:proofErr w:type="gramStart"/>
      <w:r w:rsidRPr="006B0B81">
        <w:rPr>
          <w:rFonts w:cstheme="minorHAnsi"/>
        </w:rPr>
        <w:t>specificare)…</w:t>
      </w:r>
      <w:proofErr w:type="gramEnd"/>
      <w:r w:rsidRPr="006B0B81">
        <w:rPr>
          <w:rFonts w:cstheme="minorHAnsi"/>
        </w:rPr>
        <w:t xml:space="preserve">…………………………………. </w:t>
      </w:r>
      <w:proofErr w:type="gramStart"/>
      <w:r w:rsidRPr="006B0B81">
        <w:rPr>
          <w:rFonts w:cstheme="minorHAnsi"/>
        </w:rPr>
        <w:t>ovvero</w:t>
      </w:r>
      <w:proofErr w:type="gramEnd"/>
      <w:r w:rsidRPr="006B0B81">
        <w:rPr>
          <w:rFonts w:cstheme="minorHAnsi"/>
        </w:rPr>
        <w:t xml:space="preserve"> di non aver prestato servizio presso una Pubblica Amministrazione; </w:t>
      </w:r>
    </w:p>
    <w:p w:rsidR="008471B4" w:rsidRPr="006B0B81" w:rsidRDefault="008471B4" w:rsidP="008471B4">
      <w:pPr>
        <w:spacing w:after="0" w:line="20" w:lineRule="atLeast"/>
        <w:jc w:val="both"/>
        <w:rPr>
          <w:rFonts w:cstheme="minorHAnsi"/>
        </w:rPr>
      </w:pPr>
      <w:r w:rsidRPr="006B0B81">
        <w:rPr>
          <w:rFonts w:cstheme="minorHAnsi"/>
        </w:rPr>
        <w:t xml:space="preserve">7-di essere in possesso dei seguenti titoli di studio previsti dal bando (Diploma di Laurea e/o LS/LM ovvero titolo equipollente conseguiti): </w:t>
      </w:r>
    </w:p>
    <w:p w:rsidR="008471B4" w:rsidRPr="006B0B81" w:rsidRDefault="008471B4" w:rsidP="008471B4">
      <w:pPr>
        <w:spacing w:after="0" w:line="20" w:lineRule="atLeast"/>
        <w:jc w:val="both"/>
        <w:rPr>
          <w:rFonts w:cstheme="minorHAnsi"/>
        </w:rPr>
      </w:pPr>
      <w:r w:rsidRPr="006B0B81">
        <w:rPr>
          <w:rFonts w:cstheme="minorHAnsi"/>
        </w:rPr>
        <w:t xml:space="preserve">A) titolo di </w:t>
      </w:r>
      <w:proofErr w:type="gramStart"/>
      <w:r w:rsidRPr="006B0B81">
        <w:rPr>
          <w:rFonts w:cstheme="minorHAnsi"/>
        </w:rPr>
        <w:t>studio:…</w:t>
      </w:r>
      <w:proofErr w:type="gramEnd"/>
      <w:r w:rsidRPr="006B0B81">
        <w:rPr>
          <w:rFonts w:cstheme="minorHAnsi"/>
        </w:rPr>
        <w:t xml:space="preserve">……………………………………………………..conseguito il ………… presso………………………………………………………….con voto………….. </w:t>
      </w:r>
      <w:proofErr w:type="gramStart"/>
      <w:r w:rsidRPr="006B0B81">
        <w:rPr>
          <w:rFonts w:cstheme="minorHAnsi"/>
        </w:rPr>
        <w:t>( da</w:t>
      </w:r>
      <w:proofErr w:type="gramEnd"/>
      <w:r w:rsidRPr="006B0B81">
        <w:rPr>
          <w:rFonts w:cstheme="minorHAnsi"/>
        </w:rPr>
        <w:t xml:space="preserve"> specificare per ogni titolo di studio posseduto); </w:t>
      </w:r>
    </w:p>
    <w:p w:rsidR="008471B4" w:rsidRPr="006B0B81" w:rsidRDefault="008471B4" w:rsidP="008471B4">
      <w:pPr>
        <w:spacing w:after="0" w:line="20" w:lineRule="atLeast"/>
        <w:jc w:val="both"/>
        <w:rPr>
          <w:rFonts w:cstheme="minorHAnsi"/>
        </w:rPr>
      </w:pPr>
      <w:r w:rsidRPr="006B0B81">
        <w:rPr>
          <w:rFonts w:cstheme="minorHAnsi"/>
        </w:rPr>
        <w:t xml:space="preserve">8-di essere iscritto all’Albo Professionale dei ……………….................................; </w:t>
      </w:r>
    </w:p>
    <w:p w:rsidR="008471B4" w:rsidRPr="006B0B81" w:rsidRDefault="008471B4" w:rsidP="008471B4">
      <w:pPr>
        <w:spacing w:after="0" w:line="20" w:lineRule="atLeast"/>
        <w:jc w:val="both"/>
        <w:rPr>
          <w:rFonts w:cstheme="minorHAnsi"/>
        </w:rPr>
      </w:pPr>
      <w:r w:rsidRPr="006B0B81">
        <w:rPr>
          <w:rFonts w:cstheme="minorHAnsi"/>
        </w:rPr>
        <w:t>9-di avere la seguente posizione nei riguardi degli obblighi militari………………………………………………………………………………</w:t>
      </w:r>
      <w:proofErr w:type="gramStart"/>
      <w:r w:rsidRPr="006B0B81">
        <w:rPr>
          <w:rFonts w:cstheme="minorHAnsi"/>
        </w:rPr>
        <w:t>…….</w:t>
      </w:r>
      <w:proofErr w:type="gramEnd"/>
      <w:r w:rsidRPr="006B0B81">
        <w:rPr>
          <w:rFonts w:cstheme="minorHAnsi"/>
        </w:rPr>
        <w:t xml:space="preserve">; </w:t>
      </w:r>
    </w:p>
    <w:p w:rsidR="008471B4" w:rsidRPr="006B0B81" w:rsidRDefault="008471B4" w:rsidP="008471B4">
      <w:pPr>
        <w:spacing w:after="0" w:line="20" w:lineRule="atLeast"/>
        <w:jc w:val="both"/>
        <w:rPr>
          <w:rFonts w:cstheme="minorHAnsi"/>
        </w:rPr>
      </w:pPr>
      <w:r w:rsidRPr="006B0B81">
        <w:rPr>
          <w:rFonts w:cstheme="minorHAnsi"/>
        </w:rPr>
        <w:t>10- di aver prestato i seguenti servizi presso pubbliche amministrazioni e le eventuali cause di cessazione e/o risoluzione di precedenti rapporti di pubblico impiego e la loro durata………</w:t>
      </w:r>
      <w:proofErr w:type="gramStart"/>
      <w:r w:rsidRPr="006B0B81">
        <w:rPr>
          <w:rFonts w:cstheme="minorHAnsi"/>
        </w:rPr>
        <w:t>…….</w:t>
      </w:r>
      <w:proofErr w:type="gramEnd"/>
      <w:r w:rsidRPr="006B0B81">
        <w:rPr>
          <w:rFonts w:cstheme="minorHAnsi"/>
        </w:rPr>
        <w:t xml:space="preserve">; </w:t>
      </w:r>
    </w:p>
    <w:p w:rsidR="008471B4" w:rsidRPr="006B0B81" w:rsidRDefault="008471B4" w:rsidP="008471B4">
      <w:pPr>
        <w:spacing w:after="0" w:line="20" w:lineRule="atLeast"/>
        <w:jc w:val="both"/>
        <w:rPr>
          <w:rFonts w:cstheme="minorHAnsi"/>
        </w:rPr>
      </w:pPr>
      <w:r w:rsidRPr="006B0B81">
        <w:rPr>
          <w:rFonts w:cstheme="minorHAnsi"/>
        </w:rPr>
        <w:t xml:space="preserve">11- di aver prestato le seguenti ed ulteriori attività di lavoro con indicazione precisa dei periodi e degli Enti ed Istituti presso cui sono state svolte…………………………………………………; </w:t>
      </w:r>
    </w:p>
    <w:p w:rsidR="008471B4" w:rsidRPr="006B0B81" w:rsidRDefault="008471B4" w:rsidP="008471B4">
      <w:pPr>
        <w:spacing w:after="0" w:line="20" w:lineRule="atLeast"/>
        <w:jc w:val="both"/>
        <w:rPr>
          <w:rFonts w:cstheme="minorHAnsi"/>
        </w:rPr>
      </w:pPr>
      <w:r w:rsidRPr="006B0B81">
        <w:rPr>
          <w:rFonts w:cstheme="minorHAnsi"/>
        </w:rPr>
        <w:t>12- di essere in possesso di eventuali titoli comprovanti il diritto di precedenza o preferenza a parità di punteggio nella graduatoria di merito, ai sensi della vigente normativa…………</w:t>
      </w:r>
      <w:proofErr w:type="gramStart"/>
      <w:r w:rsidRPr="006B0B81">
        <w:rPr>
          <w:rFonts w:cstheme="minorHAnsi"/>
        </w:rPr>
        <w:t>…….</w:t>
      </w:r>
      <w:proofErr w:type="gramEnd"/>
      <w:r w:rsidRPr="006B0B81">
        <w:rPr>
          <w:rFonts w:cstheme="minorHAnsi"/>
        </w:rPr>
        <w:t xml:space="preserve">., tra cui l’eventuale formazione e/o esperienza documentata nell’area delle Dipendenze Patologiche, rappresenterà titolo preferenziale; </w:t>
      </w:r>
    </w:p>
    <w:p w:rsidR="008471B4" w:rsidRPr="006B0B81" w:rsidRDefault="008471B4" w:rsidP="008471B4">
      <w:pPr>
        <w:spacing w:after="0" w:line="20" w:lineRule="atLeast"/>
        <w:jc w:val="both"/>
        <w:rPr>
          <w:rFonts w:cstheme="minorHAnsi"/>
        </w:rPr>
      </w:pPr>
      <w:r w:rsidRPr="006B0B81">
        <w:rPr>
          <w:rFonts w:cstheme="minorHAnsi"/>
        </w:rPr>
        <w:t>13- di indicare il seguente indirizzo presso il quale deve essere inviata al candidato ogni eventuale comunicazione relativa all’avviso comprensivo di c.a.p. e del numero telefonico. In caso di mancata indicazione vale la residenza indicata nella domanda…………………………………………………</w:t>
      </w:r>
      <w:proofErr w:type="gramStart"/>
      <w:r w:rsidRPr="006B0B81">
        <w:rPr>
          <w:rFonts w:cstheme="minorHAnsi"/>
        </w:rPr>
        <w:t>…….</w:t>
      </w:r>
      <w:proofErr w:type="gramEnd"/>
      <w:r w:rsidRPr="006B0B81">
        <w:rPr>
          <w:rFonts w:cstheme="minorHAnsi"/>
        </w:rPr>
        <w:t xml:space="preserve">.; </w:t>
      </w:r>
    </w:p>
    <w:p w:rsidR="008471B4" w:rsidRPr="006B0B81" w:rsidRDefault="008471B4" w:rsidP="008471B4">
      <w:pPr>
        <w:spacing w:after="0" w:line="20" w:lineRule="atLeast"/>
        <w:jc w:val="both"/>
        <w:rPr>
          <w:rFonts w:cstheme="minorHAnsi"/>
        </w:rPr>
      </w:pPr>
      <w:r w:rsidRPr="006B0B81">
        <w:rPr>
          <w:rFonts w:cstheme="minorHAnsi"/>
        </w:rPr>
        <w:t>14- di essere portatore di handicap ai sensi dell’art. 3 della L. n. 104/92 e pertanto di avere necessità di tempi aggiuntivi nonché di ausili, ove ritenuto indispensabile ed in tale caso indicandoli espressamente………………………………………………………………………………</w:t>
      </w:r>
      <w:proofErr w:type="gramStart"/>
      <w:r w:rsidRPr="006B0B81">
        <w:rPr>
          <w:rFonts w:cstheme="minorHAnsi"/>
        </w:rPr>
        <w:t>…….</w:t>
      </w:r>
      <w:proofErr w:type="gramEnd"/>
      <w:r w:rsidRPr="006B0B81">
        <w:rPr>
          <w:rFonts w:cstheme="minorHAnsi"/>
        </w:rPr>
        <w:t xml:space="preserve">; </w:t>
      </w:r>
    </w:p>
    <w:p w:rsidR="008471B4" w:rsidRPr="006B0B81" w:rsidRDefault="008471B4" w:rsidP="008471B4">
      <w:pPr>
        <w:spacing w:after="0" w:line="20" w:lineRule="atLeast"/>
        <w:jc w:val="both"/>
        <w:rPr>
          <w:rFonts w:cstheme="minorHAnsi"/>
        </w:rPr>
      </w:pPr>
      <w:r w:rsidRPr="006B0B81">
        <w:rPr>
          <w:rFonts w:cstheme="minorHAnsi"/>
        </w:rPr>
        <w:t xml:space="preserve">15-di accettare tutte le prescrizioni contenute nel presente avviso; </w:t>
      </w:r>
    </w:p>
    <w:p w:rsidR="008471B4" w:rsidRPr="006B0B81" w:rsidRDefault="008471B4" w:rsidP="008471B4">
      <w:pPr>
        <w:spacing w:after="0" w:line="20" w:lineRule="atLeast"/>
        <w:jc w:val="both"/>
        <w:rPr>
          <w:rFonts w:cstheme="minorHAnsi"/>
        </w:rPr>
      </w:pPr>
      <w:r w:rsidRPr="006B0B81">
        <w:rPr>
          <w:rFonts w:cstheme="minorHAnsi"/>
        </w:rPr>
        <w:t>16- di esprimere assenso, per le finalità inerenti la gestione del presente avviso, all’utilizzo dei dati personali forniti ai sensi del D.Lgs. n. 196/2003 e s.m.i. e del Regolamento UE 679/</w:t>
      </w:r>
    </w:p>
    <w:p w:rsidR="008471B4" w:rsidRPr="006B0B81" w:rsidRDefault="008471B4" w:rsidP="008471B4">
      <w:pPr>
        <w:spacing w:after="0" w:line="20" w:lineRule="atLeast"/>
        <w:jc w:val="both"/>
        <w:rPr>
          <w:rFonts w:cstheme="minorHAnsi"/>
        </w:rPr>
      </w:pPr>
      <w:r w:rsidRPr="006B0B81">
        <w:rPr>
          <w:rFonts w:cstheme="minorHAnsi"/>
        </w:rPr>
        <w:t xml:space="preserve">16. Dichiara infine di essere consapevole che quanto affermato corrisponde a verità e di essere a conoscenza delle sanzioni penali di cui all’art. 76 del Decreto del Presidente della Repubblica 28 dicembre 2000, n. 445. Al fine della valutazione di merito il sottoscritto presenta un curriculum formativo e professionale datato e firmato redatto nella forma di dichiarazione sostitutiva di certificazione e di atto notorio, ai sensi del DPR 445/2000. Si allega fotocopia (fronte retro) di un documento di riconoscimento, in corso di validità (senza tale fotocopia la dichiarazione non ha valore). </w:t>
      </w:r>
    </w:p>
    <w:p w:rsidR="008471B4" w:rsidRPr="006B0B81" w:rsidRDefault="008471B4" w:rsidP="008471B4">
      <w:pPr>
        <w:spacing w:after="0" w:line="20" w:lineRule="atLeast"/>
        <w:jc w:val="both"/>
        <w:rPr>
          <w:rFonts w:cstheme="minorHAnsi"/>
        </w:rPr>
      </w:pPr>
      <w:r w:rsidRPr="006B0B81">
        <w:rPr>
          <w:rFonts w:cstheme="minorHAnsi"/>
        </w:rPr>
        <w:t xml:space="preserve">Si allegano, </w:t>
      </w:r>
      <w:proofErr w:type="gramStart"/>
      <w:r w:rsidRPr="006B0B81">
        <w:rPr>
          <w:rFonts w:cstheme="minorHAnsi"/>
        </w:rPr>
        <w:t>inoltre,…</w:t>
      </w:r>
      <w:proofErr w:type="gramEnd"/>
      <w:r w:rsidRPr="006B0B81">
        <w:rPr>
          <w:rFonts w:cstheme="minorHAnsi"/>
        </w:rPr>
        <w:t>………………….…</w:t>
      </w:r>
    </w:p>
    <w:p w:rsidR="008471B4" w:rsidRDefault="008471B4" w:rsidP="008471B4">
      <w:pPr>
        <w:spacing w:after="0" w:line="20" w:lineRule="atLeast"/>
        <w:jc w:val="both"/>
        <w:rPr>
          <w:rFonts w:cstheme="minorHAnsi"/>
        </w:rPr>
      </w:pPr>
      <w:r w:rsidRPr="006B0B81">
        <w:rPr>
          <w:rFonts w:cstheme="minorHAnsi"/>
        </w:rPr>
        <w:t xml:space="preserve"> Luogo e data Firma …………………………… ……………………………...</w:t>
      </w:r>
    </w:p>
    <w:p w:rsidR="009A6502" w:rsidRDefault="009A6502" w:rsidP="008471B4">
      <w:pPr>
        <w:spacing w:after="0" w:line="20" w:lineRule="atLeast"/>
        <w:jc w:val="both"/>
        <w:rPr>
          <w:rFonts w:cstheme="minorHAnsi"/>
        </w:rPr>
      </w:pPr>
    </w:p>
    <w:p w:rsidR="00B60C6E" w:rsidRPr="008D6D10" w:rsidRDefault="00B60C6E" w:rsidP="00B60C6E">
      <w:pPr>
        <w:spacing w:after="0" w:line="20" w:lineRule="atLeast"/>
        <w:jc w:val="both"/>
        <w:rPr>
          <w:b/>
        </w:rPr>
      </w:pPr>
      <w:r w:rsidRPr="008D6D10">
        <w:rPr>
          <w:b/>
        </w:rPr>
        <w:t xml:space="preserve">ASL ROMA 2 </w:t>
      </w:r>
    </w:p>
    <w:p w:rsidR="00B60C6E" w:rsidRPr="009A6502" w:rsidRDefault="00B60C6E" w:rsidP="00B60C6E">
      <w:pPr>
        <w:spacing w:after="0" w:line="20" w:lineRule="atLeast"/>
        <w:jc w:val="both"/>
      </w:pPr>
      <w:r w:rsidRPr="008D6D10">
        <w:rPr>
          <w:b/>
        </w:rPr>
        <w:t xml:space="preserve">Avviso Pubblico per la procedura di stabilizzazione di cui all'art. 20, comma 1, del d.lgs. n. 75/2017 del personale precario del comparto: personale del comparto numero 1 posto Cp Assistente Sociale. </w:t>
      </w:r>
      <w:r w:rsidRPr="009A6502">
        <w:t>(BUR n.69 del 27.8.19)</w:t>
      </w:r>
    </w:p>
    <w:p w:rsidR="009A6502" w:rsidRPr="009A6502" w:rsidRDefault="009A6502" w:rsidP="009A6502">
      <w:pPr>
        <w:spacing w:after="0" w:line="20" w:lineRule="atLeast"/>
        <w:jc w:val="both"/>
      </w:pPr>
    </w:p>
    <w:p w:rsidR="009A6502" w:rsidRPr="009A6502" w:rsidRDefault="009A6502" w:rsidP="009A6502">
      <w:pPr>
        <w:spacing w:after="0" w:line="20" w:lineRule="atLeast"/>
        <w:jc w:val="both"/>
      </w:pPr>
      <w:r w:rsidRPr="009A6502">
        <w:t>In esecuzione della deliberazione n.889 del 15.4.2019 è stato approvato il seguente avviso pubblico riservato agli aventi diritto di cui all’art. 20 comma 1 del D.Lgs. n. 75/2017 per l’eventuale copertura a tempo indeterminato nel triennio 2018/2020 di: n. 1 posto di CP Assistente Sociale – ruolo sanitario.</w:t>
      </w:r>
    </w:p>
    <w:p w:rsidR="009A6502" w:rsidRPr="009A6502" w:rsidRDefault="009A6502" w:rsidP="009A6502">
      <w:pPr>
        <w:spacing w:after="0" w:line="20" w:lineRule="atLeast"/>
        <w:jc w:val="both"/>
      </w:pPr>
      <w:r w:rsidRPr="009A6502">
        <w:t xml:space="preserve"> Il posto a selezione è stato individuato dall’Azienda secondo le necessità effettive in coerenza con il piano del fabbisogno recentemente approvato, con gli atti di pianificazione e programmazione regionale in ambito sanitario, con le disposizioni statali, regionali e commissariali vigenti in materia di programmazione, organizzazione e assistenza sanitaria, con l’organizzazione della rete dell’assistenza, con i piani strategici aziendali e con gli atti aziendali, nonché con i vincoli economico finanziari posti dall’ordinamento. </w:t>
      </w:r>
    </w:p>
    <w:p w:rsidR="009A6502" w:rsidRPr="009A6502" w:rsidRDefault="009A6502" w:rsidP="009A6502">
      <w:pPr>
        <w:spacing w:after="0" w:line="20" w:lineRule="atLeast"/>
        <w:jc w:val="both"/>
      </w:pPr>
      <w:r w:rsidRPr="009A6502">
        <w:t xml:space="preserve">L’Azienda si riserva di valutare variazioni rispetto al posto sulla base di specifiche ulteriori necessità e nel rispetto del Piano dei Fabbisogni, entro il 31/12/2020, termine di conclusione del processo di stabilizzazione, tenendo anche conto del reclutamento ordinario e nel rispetto della vigente normativa nonché di vincoli economico-finanziari vigenti. Inoltre potranno essere effettuate variazioni, modificazioni e integrazioni in considerazione di valutazioni da parte del Tavolo Tecnico per la verifica degli adempimenti regionali con il Comitato permanente per la verifica dei L.E.A, delle risultanze dell’attività di sviluppo della metodologia di valutazione dei piani del fabbisogno di personale, di mutate esigenze della programmazione sanitaria regionale, della rete dell’assistenza, di novelle legislative in materia, di disposizioni da parte delle competenti strutture regionali in merito alle modalità di attuazione elle norme del Decreto Legislativo n. 75 del 25 maggio 2017 e in merito allo stato delle diverse procedure di stabilizzazione e di concorso avviate, così come in considerazione della predisposizione della programmazione del fabbisogno per l’anno 2018 e per l’anno 2019, sempre nel rispetto dei vincoli economicofinanziari del SSR e delle disposizioni statali, regionali e commissariali vigenti in materia di programmazione, organizzazione e assistenza sanitaria. L’Azienda ha facoltà di aumentare il numero dei posti. </w:t>
      </w:r>
    </w:p>
    <w:p w:rsidR="009A6502" w:rsidRPr="009A6502" w:rsidRDefault="009A6502" w:rsidP="009A6502">
      <w:pPr>
        <w:spacing w:after="0" w:line="20" w:lineRule="atLeast"/>
        <w:jc w:val="both"/>
      </w:pPr>
      <w:r w:rsidRPr="009A6502">
        <w:t xml:space="preserve">Lo stato giuridico ed economico inerente il posto messo a bando è quello previsto dai vigenti CCNL e dalla normativa contrattuale vigente. </w:t>
      </w:r>
    </w:p>
    <w:p w:rsidR="009A6502" w:rsidRPr="009A6502" w:rsidRDefault="009A6502" w:rsidP="009A6502">
      <w:pPr>
        <w:spacing w:after="0" w:line="20" w:lineRule="atLeast"/>
        <w:jc w:val="both"/>
      </w:pPr>
      <w:r w:rsidRPr="009A6502">
        <w:t>ART. 1 - REQUISITI DI AMMISSIONE REQUISITI GENERALI</w:t>
      </w:r>
    </w:p>
    <w:p w:rsidR="009A6502" w:rsidRPr="009A6502" w:rsidRDefault="009A6502" w:rsidP="009A6502">
      <w:pPr>
        <w:spacing w:after="0" w:line="20" w:lineRule="atLeast"/>
        <w:jc w:val="both"/>
      </w:pPr>
      <w:r w:rsidRPr="009A6502">
        <w:t xml:space="preserve">I requisiti generali e specifici di ammissione sono quelli previsti dagli artt. 1 e 24 del D.P.R. n. 483 del 10.12.1997 e DPR n. 220/2001 e cioè: </w:t>
      </w:r>
    </w:p>
    <w:p w:rsidR="009A6502" w:rsidRPr="009A6502" w:rsidRDefault="009A6502" w:rsidP="009A6502">
      <w:pPr>
        <w:spacing w:after="0" w:line="20" w:lineRule="atLeast"/>
        <w:jc w:val="both"/>
      </w:pPr>
      <w:r w:rsidRPr="009A6502">
        <w:t xml:space="preserve">a) Cittadinanza italiana, salve le equiparazioni stabilite dalle leggi vigenti o cittadinanza di uno dei Paesi dell’Unione europea o possesso di uno dei requisiti di cui all’art. 38 c. 1 e c. 3 bis del d.lgs 165/2001 s.m.i. I cittadini degli Stati membri dell’UE o di altra nazionalità devono dichiarare di possedere i seguenti requisiti: 1. Godere dei diritti civili e politici negli Stati di provenienza; </w:t>
      </w:r>
    </w:p>
    <w:p w:rsidR="009A6502" w:rsidRPr="009A6502" w:rsidRDefault="009A6502" w:rsidP="009A6502">
      <w:pPr>
        <w:spacing w:after="0" w:line="20" w:lineRule="atLeast"/>
        <w:jc w:val="both"/>
      </w:pPr>
      <w:r w:rsidRPr="009A6502">
        <w:t xml:space="preserve">2. Essere in possesso, fatta eccezione della titolarità della cittadinanza italiana, di tutti i requisiti previsti per i cittadini della Repubblica; </w:t>
      </w:r>
    </w:p>
    <w:p w:rsidR="009A6502" w:rsidRPr="009A6502" w:rsidRDefault="009A6502" w:rsidP="009A6502">
      <w:pPr>
        <w:spacing w:after="0" w:line="20" w:lineRule="atLeast"/>
        <w:jc w:val="both"/>
      </w:pPr>
      <w:r w:rsidRPr="009A6502">
        <w:t xml:space="preserve">3. Avere adeguata conoscenza della lingua italiana; b) Piena ed incondizionata idoneità fisica specifica alle mansioni della posizione funzionale a concorso. Il relativo accertamento sarà effettuato prima dell’immissione in servizio in sede di visita preventiva, ex art. 41 D.Lgs. n. 81/08. L’assunzione, pertanto, è subordinata alla sussistenza della predetta idoneità espressa dal medico competente; </w:t>
      </w:r>
    </w:p>
    <w:p w:rsidR="009A6502" w:rsidRPr="009A6502" w:rsidRDefault="009A6502" w:rsidP="009A6502">
      <w:pPr>
        <w:spacing w:after="0" w:line="20" w:lineRule="atLeast"/>
        <w:jc w:val="both"/>
      </w:pPr>
      <w:r w:rsidRPr="009A6502">
        <w:t xml:space="preserve">c) Non essere stati esclusi dall’elettorato attivo né essere stati destituiti o dispensati dall’impiego presso pubbliche amministrazioni; </w:t>
      </w:r>
    </w:p>
    <w:p w:rsidR="009A6502" w:rsidRPr="009A6502" w:rsidRDefault="009A6502" w:rsidP="009A6502">
      <w:pPr>
        <w:spacing w:after="0" w:line="20" w:lineRule="atLeast"/>
        <w:jc w:val="both"/>
      </w:pPr>
      <w:r w:rsidRPr="009A6502">
        <w:t xml:space="preserve">d) Non aver riportato condanne che comportino l’interdizione dai pubblici uffici in base a sentenza passata in giudicato; </w:t>
      </w:r>
    </w:p>
    <w:p w:rsidR="009A6502" w:rsidRPr="009A6502" w:rsidRDefault="009A6502" w:rsidP="009A6502">
      <w:pPr>
        <w:spacing w:after="0" w:line="20" w:lineRule="atLeast"/>
        <w:jc w:val="both"/>
      </w:pPr>
      <w:r w:rsidRPr="009A6502">
        <w:t xml:space="preserve">e) Essere in possesso della laurea in servizio sociale; </w:t>
      </w:r>
    </w:p>
    <w:p w:rsidR="009A6502" w:rsidRPr="009A6502" w:rsidRDefault="009A6502" w:rsidP="009A6502">
      <w:pPr>
        <w:spacing w:after="0" w:line="20" w:lineRule="atLeast"/>
        <w:jc w:val="both"/>
      </w:pPr>
      <w:r w:rsidRPr="009A6502">
        <w:t xml:space="preserve">f) Iscrizione all’albo dell’ordine professionale della categoria di cui a concorso; </w:t>
      </w:r>
    </w:p>
    <w:p w:rsidR="009A6502" w:rsidRPr="009A6502" w:rsidRDefault="009A6502" w:rsidP="009A6502">
      <w:pPr>
        <w:spacing w:after="0" w:line="20" w:lineRule="atLeast"/>
        <w:jc w:val="both"/>
      </w:pPr>
      <w:r w:rsidRPr="009A6502">
        <w:t xml:space="preserve">g) Consenso al trattamento dei dati personali ai sensi della vigente normativa. </w:t>
      </w:r>
    </w:p>
    <w:p w:rsidR="009A6502" w:rsidRPr="009A6502" w:rsidRDefault="009A6502" w:rsidP="009A6502">
      <w:pPr>
        <w:spacing w:after="0" w:line="20" w:lineRule="atLeast"/>
        <w:jc w:val="both"/>
      </w:pPr>
      <w:r w:rsidRPr="009A6502">
        <w:t xml:space="preserve">REQUISITI SPECIFICI </w:t>
      </w:r>
    </w:p>
    <w:p w:rsidR="009A6502" w:rsidRPr="009A6502" w:rsidRDefault="009A6502" w:rsidP="009A6502">
      <w:pPr>
        <w:spacing w:after="0" w:line="20" w:lineRule="atLeast"/>
        <w:jc w:val="both"/>
      </w:pPr>
      <w:r w:rsidRPr="009A6502">
        <w:lastRenderedPageBreak/>
        <w:t xml:space="preserve">a) Risulti in servizio successivamente alla data del 28/08/2015 con contratto di lavoro a tempo determinato nel profilo di CP assistente sociale - ruolo sanitario - oggetto della presente procedura di stabilizzazione, presso l’Azienda Sanitaria Locale Roma 2; </w:t>
      </w:r>
    </w:p>
    <w:p w:rsidR="009A6502" w:rsidRPr="009A6502" w:rsidRDefault="009A6502" w:rsidP="009A6502">
      <w:pPr>
        <w:spacing w:after="0" w:line="20" w:lineRule="atLeast"/>
        <w:jc w:val="both"/>
      </w:pPr>
      <w:r w:rsidRPr="009A6502">
        <w:t xml:space="preserve">b) Essere stato assunto/a a tempo determinato attingendo da una valida graduatoria a tempo determinato o indeterminato, riferita ad una procedura concorsuale, per esami e/o titoli, ovvero prevista anche in una normativa di legge; </w:t>
      </w:r>
    </w:p>
    <w:p w:rsidR="009A6502" w:rsidRPr="009A6502" w:rsidRDefault="009A6502" w:rsidP="009A6502">
      <w:pPr>
        <w:spacing w:after="0" w:line="20" w:lineRule="atLeast"/>
        <w:jc w:val="both"/>
      </w:pPr>
      <w:r w:rsidRPr="009A6502">
        <w:t xml:space="preserve">c) Aver maturato alla data del 31/12/2017 almeno tre anni di servizio, anche non continuativi, negli ultimi otto anni (dal 1 gennaio 2010 al 31 dicembre 2017) nel medesimo profilo di cui al punto a) CP assistente sociale – ruolo sanitario. Il requisito di cui al punto c) può essere stato maturato oltre che presso l’ASL Roma 2 anche presso diverse amministrazioni del SSN esclusivamente per il personale adibito allo svolgimento di attività e funzione di rilevanza e connessione diretta ai fini dell’erogazione dei LEA. Sono validi i servizi prestati con diverse tipologie di contratto flessibile (co.co.co e libero professionali) purché relative ad attività del medesimo profilo professionale di cui al punto a) dei requisiti specifici; </w:t>
      </w:r>
    </w:p>
    <w:p w:rsidR="009A6502" w:rsidRPr="009A6502" w:rsidRDefault="009A6502" w:rsidP="009A6502">
      <w:pPr>
        <w:spacing w:after="0" w:line="20" w:lineRule="atLeast"/>
        <w:jc w:val="both"/>
      </w:pPr>
      <w:r w:rsidRPr="009A6502">
        <w:t xml:space="preserve">d) Essere in possesso di tutti i requisiti previsti dalla normativa concorsuale vigente per l’assunzione nello specifico profilo. Non hanno titolo alla stabilizzazione coloro che sono già titolari di contratto di lavoro subordinato a tempo indeterminato presso una pubblica amministrazione in profilo equivalente o superiore a quello oggetto della procedura di stabilizzazione. Tutti i suddetti requisiti devono essere posseduti alla data di scadenza del termine stabilito per la presentazione delle domande di ammissione e devono permanere anche al momento dell’assunzione. </w:t>
      </w:r>
    </w:p>
    <w:p w:rsidR="009A6502" w:rsidRPr="009A6502" w:rsidRDefault="009A6502" w:rsidP="009A6502">
      <w:pPr>
        <w:spacing w:after="0" w:line="20" w:lineRule="atLeast"/>
        <w:jc w:val="both"/>
      </w:pPr>
      <w:r w:rsidRPr="009A6502">
        <w:t xml:space="preserve">ART. 2 - MODALITA’ DI PRESENTAZIONE DELLA DOMANDA </w:t>
      </w:r>
    </w:p>
    <w:p w:rsidR="009A6502" w:rsidRPr="009A6502" w:rsidRDefault="009A6502" w:rsidP="009A6502">
      <w:pPr>
        <w:spacing w:after="0" w:line="20" w:lineRule="atLeast"/>
        <w:jc w:val="both"/>
      </w:pPr>
      <w:r w:rsidRPr="009A6502">
        <w:t xml:space="preserve">La domanda, redatta in carta semplice, sulla scorta dell’allegato schema esemplificativo e senza autenticazione della firma (art. 39 DPR 445/2000), dovrà essere rivolta al Direttore Generale dell’Azienda Sanitaria Locale Roma 2 e deve essere inoltrata entro 15 giorni a decorrere dal giorno successivo a quello della data di pubblicazione del presente bando sul Bollettino Ufficiale della Regione Lazio. </w:t>
      </w:r>
    </w:p>
    <w:p w:rsidR="009A6502" w:rsidRPr="009A6502" w:rsidRDefault="009A6502" w:rsidP="009A6502">
      <w:pPr>
        <w:spacing w:after="0" w:line="20" w:lineRule="atLeast"/>
        <w:jc w:val="both"/>
      </w:pPr>
      <w:r w:rsidRPr="009A6502">
        <w:t xml:space="preserve">Si considerano prodotte in tempo utile le domande di ammissione spedite a mezzo di: </w:t>
      </w:r>
    </w:p>
    <w:p w:rsidR="009A6502" w:rsidRPr="009A6502" w:rsidRDefault="009A6502" w:rsidP="009A6502">
      <w:pPr>
        <w:spacing w:after="0" w:line="20" w:lineRule="atLeast"/>
        <w:jc w:val="both"/>
      </w:pPr>
      <w:r w:rsidRPr="009A6502">
        <w:t xml:space="preserve">1. consegna diretta all’Ufficio Protocollo dell’ASL Roma 2, Via Filippo Meda n. 35 (00157 Roma) </w:t>
      </w:r>
    </w:p>
    <w:p w:rsidR="009A6502" w:rsidRPr="009A6502" w:rsidRDefault="009A6502" w:rsidP="009A6502">
      <w:pPr>
        <w:spacing w:after="0" w:line="20" w:lineRule="atLeast"/>
        <w:jc w:val="both"/>
      </w:pPr>
      <w:r w:rsidRPr="009A6502">
        <w:t xml:space="preserve">Qualora il giorno di scadenza del presente bando cada nella giornata di sabato, l’invio della domanda in tale giorno potrà avvenire solo mediante raccomandata con avviso di ricevimento; </w:t>
      </w:r>
    </w:p>
    <w:p w:rsidR="009A6502" w:rsidRPr="009A6502" w:rsidRDefault="009A6502" w:rsidP="009A6502">
      <w:pPr>
        <w:spacing w:after="0" w:line="20" w:lineRule="atLeast"/>
        <w:jc w:val="both"/>
      </w:pPr>
      <w:r w:rsidRPr="009A6502">
        <w:t xml:space="preserve">2. raccomandata con avviso di ricevimento (a tal fine fa fede il timbro a data dell'ufficio postale - accettante). Qualora il giorno di scadenza sia festivo il termine è prorogato al primo giorno successivo non festivo. Si considerano, comunque, pervenute fuori termine, qualunque ne sia stata la causa, le domande presentate al servizio postale in tempo utile ma recapitate a questa Azienda oltre 10 giorni dal termine di scadenza. Il termine fissato per la presentazione delle domande e dei documenti è perentorio. L’eventuale riserva di invio successivo di documenti è priva di effetti. Non saranno esaminate le domande inviate prima della pubblicazione del bando sul Bollettino Ufficiale della Regione Lazio. Il mancato rispetto dei termini sopra descritti determina l’esclusione dalla procedura. L'Amministrazione declina ogni responsabilità per dispersione di comunicazioni, dipendente da inesatte o insufficienti indicazioni del recapito da parte del concorrente, da mancata o tardiva comunicazione del cambiamento di indirizzo indicato nella domanda, o, per eventuali disguidi postali o telegrafici non imputabili a colpa dell'Amministrazione stessa. La domanda deve essere datata e firmata. </w:t>
      </w:r>
    </w:p>
    <w:p w:rsidR="009A6502" w:rsidRPr="009A6502" w:rsidRDefault="009A6502" w:rsidP="009A6502">
      <w:pPr>
        <w:spacing w:after="0" w:line="20" w:lineRule="atLeast"/>
        <w:jc w:val="both"/>
      </w:pPr>
      <w:r w:rsidRPr="009A6502">
        <w:t xml:space="preserve">Non sono prese in considerazione le domande non firmate del candidato/a. Nella domanda il candidato/a deve indicare sotto la propria responsabilità, pena l’esclusione dall’Avviso: </w:t>
      </w:r>
    </w:p>
    <w:p w:rsidR="009A6502" w:rsidRPr="009A6502" w:rsidRDefault="009A6502" w:rsidP="009A6502">
      <w:pPr>
        <w:spacing w:after="0" w:line="20" w:lineRule="atLeast"/>
        <w:jc w:val="both"/>
      </w:pPr>
      <w:r w:rsidRPr="009A6502">
        <w:t xml:space="preserve">a) cognome e nome, la data, il luogo di nascita e la residenza; </w:t>
      </w:r>
    </w:p>
    <w:p w:rsidR="009A6502" w:rsidRPr="009A6502" w:rsidRDefault="009A6502" w:rsidP="009A6502">
      <w:pPr>
        <w:spacing w:after="0" w:line="20" w:lineRule="atLeast"/>
        <w:jc w:val="both"/>
      </w:pPr>
      <w:r w:rsidRPr="009A6502">
        <w:t>b) l’indicazione della cittadinanza posseduta;</w:t>
      </w:r>
    </w:p>
    <w:p w:rsidR="009A6502" w:rsidRPr="009A6502" w:rsidRDefault="009A6502" w:rsidP="009A6502">
      <w:pPr>
        <w:spacing w:after="0" w:line="20" w:lineRule="atLeast"/>
        <w:jc w:val="both"/>
      </w:pPr>
      <w:r w:rsidRPr="009A6502">
        <w:t xml:space="preserve">c) il Comune di iscrizione nelle cui liste elettorali sono iscritti, ovvero i motivi della non iscrizione o della cancellazione dalle liste medesime; </w:t>
      </w:r>
    </w:p>
    <w:p w:rsidR="009A6502" w:rsidRPr="009A6502" w:rsidRDefault="009A6502" w:rsidP="009A6502">
      <w:pPr>
        <w:spacing w:after="0" w:line="20" w:lineRule="atLeast"/>
        <w:jc w:val="both"/>
      </w:pPr>
      <w:r w:rsidRPr="009A6502">
        <w:t xml:space="preserve">d) le eventuali condanne penali riportate: in caso negativo dichiararne espressamente l’assenza; </w:t>
      </w:r>
    </w:p>
    <w:p w:rsidR="009A6502" w:rsidRPr="009A6502" w:rsidRDefault="009A6502" w:rsidP="009A6502">
      <w:pPr>
        <w:spacing w:after="0" w:line="20" w:lineRule="atLeast"/>
        <w:jc w:val="both"/>
      </w:pPr>
      <w:r w:rsidRPr="009A6502">
        <w:t xml:space="preserve">e) di non essere stato licenziato o dispensato presso pubbliche amministrazioni; </w:t>
      </w:r>
    </w:p>
    <w:p w:rsidR="009A6502" w:rsidRPr="009A6502" w:rsidRDefault="009A6502" w:rsidP="009A6502">
      <w:pPr>
        <w:spacing w:after="0" w:line="20" w:lineRule="atLeast"/>
        <w:jc w:val="both"/>
      </w:pPr>
      <w:r w:rsidRPr="009A6502">
        <w:t xml:space="preserve">f) di non essere inquadrato a tempo indeterminato presso una pubblica amministrazione nello stesso profilo oggetto della richiesta di stabilizzazione; </w:t>
      </w:r>
    </w:p>
    <w:p w:rsidR="009A6502" w:rsidRPr="009A6502" w:rsidRDefault="009A6502" w:rsidP="009A6502">
      <w:pPr>
        <w:spacing w:after="0" w:line="20" w:lineRule="atLeast"/>
        <w:jc w:val="both"/>
      </w:pPr>
      <w:r w:rsidRPr="009A6502">
        <w:t>g) di non aver riportato condanne che comportino l’interdizione dai pubblici uffici e di non essere a conoscenza di essere sottoposto/a a procedimenti penali ovvero a indagini;</w:t>
      </w:r>
    </w:p>
    <w:p w:rsidR="009A6502" w:rsidRPr="009A6502" w:rsidRDefault="009A6502" w:rsidP="009A6502">
      <w:pPr>
        <w:spacing w:after="0" w:line="20" w:lineRule="atLeast"/>
        <w:jc w:val="both"/>
      </w:pPr>
      <w:r w:rsidRPr="009A6502">
        <w:t>h) la posizione nei riguardi degli eventuali obblighi militari (per i nati dopo il 1985);</w:t>
      </w:r>
    </w:p>
    <w:p w:rsidR="009A6502" w:rsidRPr="009A6502" w:rsidRDefault="009A6502" w:rsidP="009A6502">
      <w:pPr>
        <w:spacing w:after="0" w:line="20" w:lineRule="atLeast"/>
        <w:jc w:val="both"/>
      </w:pPr>
      <w:r w:rsidRPr="009A6502">
        <w:lastRenderedPageBreak/>
        <w:t xml:space="preserve">i) il titolo di studio posseduto, quale requisito specifico di ammissione, con l’indicazione della data, sede e denominazione dell’istituto presso il quale lo stesso sia stato conseguito; nel caso di titolo conseguito all’estero deve essere indicato il provvedimento di riconoscimento in Italia; </w:t>
      </w:r>
    </w:p>
    <w:p w:rsidR="009A6502" w:rsidRPr="009A6502" w:rsidRDefault="009A6502" w:rsidP="009A6502">
      <w:pPr>
        <w:spacing w:after="0" w:line="20" w:lineRule="atLeast"/>
        <w:jc w:val="both"/>
      </w:pPr>
      <w:r w:rsidRPr="009A6502">
        <w:t xml:space="preserve">j) il servizio prestato / i servizi prestati, quale requisito specifico di ammissione, con l’indicazione di quelli che danno diritto alla partecipazione alla presente procedura, che dia evidenza di quanto segue: - dell’Azienda o Ente presso cui si è prestato servizio; - della tipologia del contratto di lavoro flessibile: - dell’esatto profilo professionale rivestito; - delle date iniziali e finali dei relativi periodi di attività; - delle eventuali cause di cessazione di precedenti rapporti; </w:t>
      </w:r>
    </w:p>
    <w:p w:rsidR="009A6502" w:rsidRPr="009A6502" w:rsidRDefault="009A6502" w:rsidP="009A6502">
      <w:pPr>
        <w:spacing w:after="0" w:line="20" w:lineRule="atLeast"/>
        <w:jc w:val="both"/>
      </w:pPr>
      <w:r w:rsidRPr="009A6502">
        <w:t xml:space="preserve">k) i riferimenti di iscrizione all’albo dell’ordine professionale della categoria a concorso; </w:t>
      </w:r>
    </w:p>
    <w:p w:rsidR="009A6502" w:rsidRPr="009A6502" w:rsidRDefault="009A6502" w:rsidP="009A6502">
      <w:pPr>
        <w:spacing w:after="0" w:line="20" w:lineRule="atLeast"/>
        <w:jc w:val="both"/>
      </w:pPr>
      <w:r w:rsidRPr="009A6502">
        <w:t xml:space="preserve">l) il consenso al trattamento dei dati personali (Regolamento UE 2016/679); </w:t>
      </w:r>
    </w:p>
    <w:p w:rsidR="009A6502" w:rsidRPr="009A6502" w:rsidRDefault="009A6502" w:rsidP="009A6502">
      <w:pPr>
        <w:spacing w:after="0" w:line="20" w:lineRule="atLeast"/>
        <w:jc w:val="both"/>
      </w:pPr>
      <w:r w:rsidRPr="009A6502">
        <w:t xml:space="preserve">m) il domicilio presso il quale deve, ad ogni effetto, essere fatta ogni necessaria comunicazione relativa alla selezione, nonché il recapito telefonico e l’indirizzo e-mail. In caso di mancata indicazione vale, ad ogni effetto, l’indirizzo di residenza indicato. </w:t>
      </w:r>
    </w:p>
    <w:p w:rsidR="009A6502" w:rsidRPr="009A6502" w:rsidRDefault="009A6502" w:rsidP="009A6502">
      <w:pPr>
        <w:spacing w:after="0" w:line="20" w:lineRule="atLeast"/>
        <w:jc w:val="both"/>
      </w:pPr>
      <w:r w:rsidRPr="009A6502">
        <w:t xml:space="preserve">ART.3 - DOCUMENTAZIONE DA ALLEGARE ALLA DOMANDA </w:t>
      </w:r>
    </w:p>
    <w:p w:rsidR="009A6502" w:rsidRPr="009A6502" w:rsidRDefault="009A6502" w:rsidP="009A6502">
      <w:pPr>
        <w:spacing w:after="0" w:line="20" w:lineRule="atLeast"/>
        <w:jc w:val="both"/>
      </w:pPr>
      <w:r w:rsidRPr="009A6502">
        <w:t xml:space="preserve">Alla domanda di partecipazione gli aspiranti devono allegare: </w:t>
      </w:r>
    </w:p>
    <w:p w:rsidR="009A6502" w:rsidRPr="009A6502" w:rsidRDefault="009A6502" w:rsidP="009A6502">
      <w:pPr>
        <w:spacing w:after="0" w:line="20" w:lineRule="atLeast"/>
        <w:jc w:val="both"/>
      </w:pPr>
      <w:r w:rsidRPr="009A6502">
        <w:t xml:space="preserve">a) un elenco, in carta semplice e in triplice copia, dei documenti e dei titoli presentati, datato e firmato; </w:t>
      </w:r>
    </w:p>
    <w:p w:rsidR="009A6502" w:rsidRPr="009A6502" w:rsidRDefault="009A6502" w:rsidP="009A6502">
      <w:pPr>
        <w:spacing w:after="0" w:line="20" w:lineRule="atLeast"/>
        <w:jc w:val="both"/>
      </w:pPr>
      <w:r w:rsidRPr="009A6502">
        <w:t xml:space="preserve">b) un curriculum formativo e professionale datato, firmato e formalmente documentato redatto in forma di dichiarazione sostitutiva ai sensi del DPR n.445/2000; </w:t>
      </w:r>
    </w:p>
    <w:p w:rsidR="009A6502" w:rsidRPr="009A6502" w:rsidRDefault="009A6502" w:rsidP="009A6502">
      <w:pPr>
        <w:spacing w:after="0" w:line="20" w:lineRule="atLeast"/>
        <w:jc w:val="both"/>
      </w:pPr>
      <w:r w:rsidRPr="009A6502">
        <w:t xml:space="preserve">c) una fotocopia di un valido documento di identità; </w:t>
      </w:r>
    </w:p>
    <w:p w:rsidR="009A6502" w:rsidRPr="009A6502" w:rsidRDefault="009A6502" w:rsidP="009A6502">
      <w:pPr>
        <w:spacing w:after="0" w:line="20" w:lineRule="atLeast"/>
        <w:jc w:val="both"/>
      </w:pPr>
      <w:r w:rsidRPr="009A6502">
        <w:t xml:space="preserve">I candidati non possono produrre certificazioni rilasciate da Pubbliche Amministrazioni ai sensi dell’art.15 lettera a), della Legge n.183/2011. Tutte le agevolazioni relative all’autocertificazione verranno applicate purché correttamente espresse e redatte in forma esaustiva in tutte le componenti. L’Amministrazione si riserva la facoltà di procedere ad idonei controlli sulla veridicità e l’autenticità delle dichiarazioni. Qualora dal controllo emerga la non veridicità del contenuto delle dichiarazioni, il dichiarante decade dai benefici conseguiti, fermo restando quanto previsto dall’art. 76 del D.P.R. n. 445/00. </w:t>
      </w:r>
    </w:p>
    <w:p w:rsidR="009A6502" w:rsidRPr="009A6502" w:rsidRDefault="009A6502" w:rsidP="009A6502">
      <w:pPr>
        <w:spacing w:after="0" w:line="20" w:lineRule="atLeast"/>
        <w:jc w:val="both"/>
      </w:pPr>
      <w:r w:rsidRPr="009A6502">
        <w:t xml:space="preserve">ART.4 - CRITERI PER LA FORMAZIONE DELLA GRADUATORIA DI MERITO </w:t>
      </w:r>
    </w:p>
    <w:p w:rsidR="009A6502" w:rsidRPr="009A6502" w:rsidRDefault="009A6502" w:rsidP="009A6502">
      <w:pPr>
        <w:spacing w:after="0" w:line="20" w:lineRule="atLeast"/>
        <w:jc w:val="both"/>
      </w:pPr>
      <w:r w:rsidRPr="009A6502">
        <w:t xml:space="preserve">La UOC Gestione Giuridica e Risorse Umane dell’Azienda, procederà ad esaminare le domande di partecipazione pervenute entro il termine di scadenza e, formulerà un elenco dei candidati in possesso dei requisiti richiesti – dando priorità al personale in servizio alla data del 22.6.2017 (entrata in vigore del D.Lgs.75/2017) - ed, eventualmente, un elenco di candidati da escludere dalla procedura di stabilizzazione. Nel caso che le domande pervenute siano in numero superiore ai posti indicati a bando, la graduatoria verrà formulata sulla scorta dell’anzianità di servizio nel SSN e, in caso di parità sulla scorta della valutazione dei titoli operata in base al DPR n. 220/2001 ovvero al DPR n. 483/1997. Il Direttore Generale dell’Azienda, riconosciuta la regolarità degli atti della procedura, con proprio atto deliberativo procederà alla approvazione degli elenchi suddetti e/o delle graduatorie. Detti elenchi/graduatorie saranno pubblicati sul sito dell’Azienda www.aslroma2.it – sezione Concorsi e Avvisi. </w:t>
      </w:r>
    </w:p>
    <w:p w:rsidR="009A6502" w:rsidRPr="009A6502" w:rsidRDefault="009A6502" w:rsidP="009A6502">
      <w:pPr>
        <w:spacing w:after="0" w:line="20" w:lineRule="atLeast"/>
        <w:jc w:val="both"/>
      </w:pPr>
      <w:r w:rsidRPr="009A6502">
        <w:t>ART. 5 - DICHIARAZIONI SOSTITUTIVE</w:t>
      </w:r>
    </w:p>
    <w:p w:rsidR="009A6502" w:rsidRPr="009A6502" w:rsidRDefault="009A6502" w:rsidP="009A6502">
      <w:pPr>
        <w:spacing w:after="0" w:line="20" w:lineRule="atLeast"/>
        <w:jc w:val="both"/>
      </w:pPr>
      <w:r w:rsidRPr="009A6502">
        <w:t xml:space="preserve">Il candidato/a, in luogo della certificazione rilasciata dall’autorità competente, può presentare: </w:t>
      </w:r>
      <w:proofErr w:type="gramStart"/>
      <w:r w:rsidRPr="009A6502">
        <w:t>a)“</w:t>
      </w:r>
      <w:proofErr w:type="gramEnd"/>
      <w:r w:rsidRPr="009A6502">
        <w:t xml:space="preserve">dichiarazione sostitutiva di certificazione”: nei casi tassativamente indicati nell’art.46 del D.P.R. n.445/00 (ad esempio: stato di famiglia, iscrizione all’albo professionale, possesso del titolo di studio, di specializzazione, di abilitazione, ecc,); </w:t>
      </w:r>
    </w:p>
    <w:p w:rsidR="009A6502" w:rsidRPr="009A6502" w:rsidRDefault="009A6502" w:rsidP="009A6502">
      <w:pPr>
        <w:spacing w:after="0" w:line="20" w:lineRule="atLeast"/>
        <w:jc w:val="both"/>
      </w:pPr>
      <w:r w:rsidRPr="009A6502">
        <w:t xml:space="preserve">b) “dichiarazione sostitutiva dell’atto di notorietà”: per tutti gli stati, fatti e qualità personali non compresi nell’elenco di cui al citato art.46 del D.P.R. n. 445/00 (ad esempio: borse di studio, attività di servizio, incarichi libero professionali, docenza, frequenza a corsi di aggiornamento, attività di docenza, ecc.). </w:t>
      </w:r>
    </w:p>
    <w:p w:rsidR="009A6502" w:rsidRPr="009A6502" w:rsidRDefault="009A6502" w:rsidP="009A6502">
      <w:pPr>
        <w:spacing w:after="0" w:line="20" w:lineRule="atLeast"/>
        <w:jc w:val="both"/>
      </w:pPr>
      <w:r w:rsidRPr="009A6502">
        <w:t xml:space="preserve">Ove il candidato/a alleghi alla domanda documenti e titoli in fotocopia semplice, questi devono essere accompagnati da dichiarazione sostitutiva dell’atto di notorietà con la quale l’interessato ne attesti la conformità all’originale. Tale dichiarazione di conformità può essere estesa anche alle pubblicazioni. Tutte le dichiarazioni sostitutive di certificazione e tutte le dichiarazioni di conformità all’originale di documenti o fotocopie di pubblicazioni devono essere sottoscritte dall’interessato e devono essere corredate dalla fotocopia di un valido documento di identità. </w:t>
      </w:r>
    </w:p>
    <w:p w:rsidR="009A6502" w:rsidRPr="009A6502" w:rsidRDefault="009A6502" w:rsidP="009A6502">
      <w:pPr>
        <w:spacing w:after="0" w:line="20" w:lineRule="atLeast"/>
        <w:jc w:val="both"/>
      </w:pPr>
      <w:r w:rsidRPr="009A6502">
        <w:t xml:space="preserve">Per quanto concerne tali dichiarazioni è sufficiente produrre una sola fotocopia del documento di identità ed apporvi in calce o in allegato la seguente dicitura: “Il sottoscritto (cognome e nome), consapevole delle conseguenze derivanti in caso di rilascio di dichiarazioni false, dichiara sotto la propria responsabilità che </w:t>
      </w:r>
      <w:r w:rsidRPr="009A6502">
        <w:lastRenderedPageBreak/>
        <w:t xml:space="preserve">tutte le fotocopie allegate alla presente domanda di partecipazione al concorso pubblico, sono conformi all’originale in suo possesso e che ogni dichiarazione resa risponde a verità”. </w:t>
      </w:r>
    </w:p>
    <w:p w:rsidR="009A6502" w:rsidRPr="009A6502" w:rsidRDefault="009A6502" w:rsidP="009A6502">
      <w:pPr>
        <w:spacing w:after="0" w:line="20" w:lineRule="atLeast"/>
        <w:jc w:val="both"/>
      </w:pPr>
      <w:r w:rsidRPr="009A6502">
        <w:t xml:space="preserve">Tutte le agevolazioni relative all’autocertificazione verranno applicate purché correttamente espresse e redatte in forma esaustiva in tutte le componenti. </w:t>
      </w:r>
    </w:p>
    <w:p w:rsidR="009A6502" w:rsidRPr="009A6502" w:rsidRDefault="009A6502" w:rsidP="009A6502">
      <w:pPr>
        <w:spacing w:after="0" w:line="20" w:lineRule="atLeast"/>
        <w:jc w:val="both"/>
      </w:pPr>
      <w:r w:rsidRPr="009A6502">
        <w:t xml:space="preserve">L’amministrazione si riserva la facoltà di procedere ad idonei controlli sulla veridicità e l’autenticità delle dichiarazioni. Qualora dal controllo emerga la non veridicità del contenuto delle dichiarazioni, il dichiarante decade dai benefici conseguiti, fermo restando quanto previsto dall’art.76 del D.P.R. n.445/00. </w:t>
      </w:r>
    </w:p>
    <w:p w:rsidR="009A6502" w:rsidRPr="009A6502" w:rsidRDefault="009A6502" w:rsidP="009A6502">
      <w:pPr>
        <w:spacing w:after="0" w:line="20" w:lineRule="atLeast"/>
        <w:jc w:val="both"/>
      </w:pPr>
      <w:r w:rsidRPr="009A6502">
        <w:t xml:space="preserve">ART. 6 - TRATTAMENTO DEI DATI PERSONALI </w:t>
      </w:r>
    </w:p>
    <w:p w:rsidR="009A6502" w:rsidRPr="009A6502" w:rsidRDefault="009A6502" w:rsidP="009A6502">
      <w:pPr>
        <w:spacing w:after="0" w:line="20" w:lineRule="atLeast"/>
        <w:jc w:val="both"/>
      </w:pPr>
      <w:r w:rsidRPr="009A6502">
        <w:t xml:space="preserve">Ai sensi delle disposizioni di cui al Regolamento UE 2016/679 del parlamento Europeo e del Consiglio del 27 aprile 2016 relativo alla protezione delle persone fisiche con riguardo al trattamento dei dati personali, nonché alla libera circolazione di tali dati (di seguito per brevità GDPR) e, in particolare, delle disposizioni di cui all’art. 28 del GDPR che hanno permesso la nomina, in qualità di titolare di questa Azienda Sanitaria Locale, nella persona del Direttore Generale, quale titolare dei dati inerenti il presente bando, si informa che il trattamento dei dati contenuti nelle domande presentate è finalizzato all’espletamento dell’Avviso Pubblico in questione. </w:t>
      </w:r>
    </w:p>
    <w:p w:rsidR="009A6502" w:rsidRPr="009A6502" w:rsidRDefault="009A6502" w:rsidP="009A6502">
      <w:pPr>
        <w:spacing w:after="0" w:line="20" w:lineRule="atLeast"/>
        <w:jc w:val="both"/>
      </w:pPr>
      <w:r w:rsidRPr="009A6502">
        <w:t xml:space="preserve">Gli stessi potranno essere messi a disposizione di coloro che, dimostrando un concreto interesse nei confronti della suddetta </w:t>
      </w:r>
      <w:proofErr w:type="gramStart"/>
      <w:r w:rsidRPr="009A6502">
        <w:t>procedura ,</w:t>
      </w:r>
      <w:proofErr w:type="gramEnd"/>
      <w:r w:rsidRPr="009A6502">
        <w:t xml:space="preserve"> ne facciano espressa richiesta ai sensi dell’art. 22 della Legge n. 241/90. </w:t>
      </w:r>
    </w:p>
    <w:p w:rsidR="009A6502" w:rsidRPr="009A6502" w:rsidRDefault="009A6502" w:rsidP="009A6502">
      <w:pPr>
        <w:spacing w:after="0" w:line="20" w:lineRule="atLeast"/>
        <w:jc w:val="both"/>
      </w:pPr>
      <w:r w:rsidRPr="009A6502">
        <w:t xml:space="preserve">Quest’Azienda USL precisa che, data la natura obbligatoria del conferimento dei dati, un eventuale rifiuto degli stessi (o una loro omissione) nei termini stabiliti sarà causa di esclusione dalla procedura di che trattasi. </w:t>
      </w:r>
    </w:p>
    <w:p w:rsidR="009A6502" w:rsidRPr="009A6502" w:rsidRDefault="009A6502" w:rsidP="009A6502">
      <w:pPr>
        <w:spacing w:after="0" w:line="20" w:lineRule="atLeast"/>
        <w:jc w:val="both"/>
      </w:pPr>
      <w:r w:rsidRPr="009A6502">
        <w:t xml:space="preserve">Ai sensi del GDPR, i candidati hanno diritto di conoscere i dati che li riguardano, di chiedere l’aggiornamento, la rettifica, la cancellazione o il blocco dei dati in caso di violazione di legge, nel rispetto tuttavia dei termini perentori previsti relativamente alla procedura di che trattasi. </w:t>
      </w:r>
    </w:p>
    <w:p w:rsidR="009A6502" w:rsidRPr="009A6502" w:rsidRDefault="009A6502" w:rsidP="009A6502">
      <w:pPr>
        <w:spacing w:after="0" w:line="20" w:lineRule="atLeast"/>
        <w:jc w:val="both"/>
      </w:pPr>
      <w:r w:rsidRPr="009A6502">
        <w:t xml:space="preserve"> ART.7 - COSTITUZIONE DEL RAPPORTO DI LAVORO </w:t>
      </w:r>
    </w:p>
    <w:p w:rsidR="009A6502" w:rsidRPr="009A6502" w:rsidRDefault="009A6502" w:rsidP="009A6502">
      <w:pPr>
        <w:spacing w:after="0" w:line="20" w:lineRule="atLeast"/>
        <w:jc w:val="both"/>
      </w:pPr>
      <w:r w:rsidRPr="009A6502">
        <w:t>Ai fini della stipula del contratto individuale di lavoro, l’Azienda procederà d’ufficio ad effettuare i controlli sulla veridicità delle dichiarazioni sostitutive di certificazioni e di atto di notorietà e ad acquisire tutti i dati e i documenti di rito per accertare il possesso dei requisiti prescritti per la partecipazione all’avviso e per l’ammissione agli impieghi pubblici.</w:t>
      </w:r>
    </w:p>
    <w:p w:rsidR="009A6502" w:rsidRPr="009A6502" w:rsidRDefault="009A6502" w:rsidP="009A6502">
      <w:pPr>
        <w:spacing w:after="0" w:line="20" w:lineRule="atLeast"/>
        <w:jc w:val="both"/>
      </w:pPr>
      <w:r w:rsidRPr="009A6502">
        <w:t xml:space="preserve"> La costituzione del rapporto di lavoro è comunque subordinata all’esito della visita medica di idoneità alle mansioni specifiche riferite al profilo oggetto del presente avviso. Con la stipula del contratto individuale di lavoro verrà instaurato un rapporto di lavoro a tempo indeterminato ed è implicita l’accettazione, senza riserve, di tutte le norme, ed in particolare di quelle previste nei contratti collettivi nazionali di lavoro, che disciplinano e disciplineranno lo stato giuridico ed il trattamento economico del personale del Servizio Sanitario Nazionale. Gli effetti economici decorreranno dalla data di effettiva presa di servizio.</w:t>
      </w:r>
    </w:p>
    <w:p w:rsidR="009A6502" w:rsidRPr="009A6502" w:rsidRDefault="009A6502" w:rsidP="009A6502">
      <w:pPr>
        <w:spacing w:after="0" w:line="20" w:lineRule="atLeast"/>
        <w:jc w:val="both"/>
      </w:pPr>
      <w:r w:rsidRPr="009A6502">
        <w:t xml:space="preserve"> ART. 8 - NORME DI SALVAGUARDIA P</w:t>
      </w:r>
    </w:p>
    <w:p w:rsidR="009A6502" w:rsidRPr="009A6502" w:rsidRDefault="009A6502" w:rsidP="009A6502">
      <w:pPr>
        <w:spacing w:after="0" w:line="20" w:lineRule="atLeast"/>
        <w:jc w:val="both"/>
        <w:rPr>
          <w:rFonts w:cstheme="minorHAnsi"/>
        </w:rPr>
      </w:pPr>
      <w:proofErr w:type="gramStart"/>
      <w:r w:rsidRPr="009A6502">
        <w:t>er</w:t>
      </w:r>
      <w:proofErr w:type="gramEnd"/>
      <w:r w:rsidRPr="009A6502">
        <w:t xml:space="preserve"> tutto quanto non particolarmente contemplato dal presente bando valgono le disposizioni di legge in materia. L’ASL Roma 2 si riserva piena facoltà di prorogare, sospendere, modificare e revocare il presente bando ove ricorrano motivi di pubblico interesse, escludendo per i candidati qualsiasi pretesa o diritto. Per ulteriori informazioni gli interessati potranno rivolgersi presso la UOC Gestione Giuridica Risorse Umane dell’Azienda - Sede Operativa - Via Primo Carnera n. 1 (00142 Roma) tel. 06/51004645 - 4650 - 8049 – 8409. IL DIRETTORE GENERALE Dr.ssa FLORI DEGRASSI</w:t>
      </w:r>
    </w:p>
    <w:p w:rsidR="009A6502" w:rsidRDefault="009A6502" w:rsidP="008471B4">
      <w:pPr>
        <w:spacing w:after="0" w:line="20" w:lineRule="atLeast"/>
        <w:jc w:val="both"/>
        <w:rPr>
          <w:rFonts w:cstheme="minorHAnsi"/>
        </w:rPr>
      </w:pPr>
    </w:p>
    <w:p w:rsidR="0025509D" w:rsidRDefault="0025509D" w:rsidP="008471B4">
      <w:pPr>
        <w:spacing w:after="0" w:line="20" w:lineRule="atLeast"/>
        <w:jc w:val="both"/>
        <w:rPr>
          <w:rFonts w:cstheme="minorHAnsi"/>
        </w:rPr>
      </w:pPr>
    </w:p>
    <w:p w:rsidR="0025509D" w:rsidRPr="0025509D" w:rsidRDefault="0025509D" w:rsidP="0025509D">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25509D">
        <w:rPr>
          <w:rFonts w:cstheme="minorHAnsi"/>
          <w:b/>
        </w:rPr>
        <w:t>ASSISTENZA PENITENZIARIA</w:t>
      </w:r>
    </w:p>
    <w:p w:rsidR="0025509D" w:rsidRPr="00B73FD1" w:rsidRDefault="0025509D" w:rsidP="0025509D">
      <w:pPr>
        <w:autoSpaceDE w:val="0"/>
        <w:autoSpaceDN w:val="0"/>
        <w:adjustRightInd w:val="0"/>
        <w:spacing w:after="0" w:line="20" w:lineRule="atLeast"/>
        <w:jc w:val="both"/>
        <w:rPr>
          <w:rFonts w:cstheme="minorHAnsi"/>
          <w:i/>
          <w:iCs/>
          <w:color w:val="FF0000"/>
        </w:rPr>
      </w:pPr>
    </w:p>
    <w:p w:rsidR="0025509D" w:rsidRPr="00A814D5" w:rsidRDefault="0025509D" w:rsidP="0025509D">
      <w:pPr>
        <w:autoSpaceDE w:val="0"/>
        <w:autoSpaceDN w:val="0"/>
        <w:adjustRightInd w:val="0"/>
        <w:spacing w:after="0" w:line="20" w:lineRule="atLeast"/>
        <w:jc w:val="both"/>
        <w:rPr>
          <w:rFonts w:cstheme="minorHAnsi"/>
          <w:b/>
        </w:rPr>
      </w:pPr>
      <w:r w:rsidRPr="00A814D5">
        <w:rPr>
          <w:rFonts w:cstheme="minorHAnsi"/>
          <w:b/>
        </w:rPr>
        <w:t>ISTITUTO REGIONALE JEMOLO</w:t>
      </w:r>
    </w:p>
    <w:p w:rsidR="0025509D" w:rsidRPr="00A814D5" w:rsidRDefault="0025509D" w:rsidP="0025509D">
      <w:pPr>
        <w:autoSpaceDE w:val="0"/>
        <w:autoSpaceDN w:val="0"/>
        <w:adjustRightInd w:val="0"/>
        <w:spacing w:after="0" w:line="20" w:lineRule="atLeast"/>
        <w:jc w:val="both"/>
        <w:rPr>
          <w:rFonts w:cstheme="minorHAnsi"/>
          <w:b/>
        </w:rPr>
      </w:pPr>
      <w:r w:rsidRPr="00A814D5">
        <w:rPr>
          <w:rFonts w:cstheme="minorHAnsi"/>
          <w:b/>
        </w:rPr>
        <w:t>Avviso</w:t>
      </w:r>
    </w:p>
    <w:p w:rsidR="0025509D" w:rsidRPr="0025509D" w:rsidRDefault="0025509D" w:rsidP="0025509D">
      <w:pPr>
        <w:autoSpaceDE w:val="0"/>
        <w:autoSpaceDN w:val="0"/>
        <w:adjustRightInd w:val="0"/>
        <w:spacing w:after="0" w:line="20" w:lineRule="atLeast"/>
        <w:jc w:val="both"/>
        <w:rPr>
          <w:rFonts w:cstheme="minorHAnsi"/>
          <w:bCs/>
          <w:color w:val="000000"/>
        </w:rPr>
      </w:pPr>
      <w:r w:rsidRPr="00B73FD1">
        <w:rPr>
          <w:rFonts w:cstheme="minorHAnsi"/>
          <w:b/>
          <w:bCs/>
          <w:color w:val="000000"/>
        </w:rPr>
        <w:t>BANDO PER L’AMMISSIONE A 40 POSTI AL CORSO</w:t>
      </w:r>
      <w:r>
        <w:rPr>
          <w:rFonts w:cstheme="minorHAnsi"/>
          <w:b/>
          <w:bCs/>
          <w:color w:val="000000"/>
        </w:rPr>
        <w:t xml:space="preserve"> </w:t>
      </w:r>
      <w:r w:rsidRPr="00B73FD1">
        <w:rPr>
          <w:rFonts w:cstheme="minorHAnsi"/>
          <w:b/>
          <w:bCs/>
          <w:color w:val="000000"/>
        </w:rPr>
        <w:t>“LA RIFORMA DELL’ORDINAMENTO PENITENZIARIO A UN ANNO DALLA</w:t>
      </w:r>
      <w:r>
        <w:rPr>
          <w:rFonts w:cstheme="minorHAnsi"/>
          <w:b/>
          <w:bCs/>
          <w:color w:val="000000"/>
        </w:rPr>
        <w:t xml:space="preserve"> </w:t>
      </w:r>
      <w:r w:rsidRPr="00B73FD1">
        <w:rPr>
          <w:rFonts w:cstheme="minorHAnsi"/>
          <w:b/>
          <w:bCs/>
          <w:color w:val="000000"/>
        </w:rPr>
        <w:t>RIFORMA” CODICE 11CAT19</w:t>
      </w:r>
      <w:r>
        <w:rPr>
          <w:rFonts w:cstheme="minorHAnsi"/>
          <w:b/>
          <w:bCs/>
          <w:color w:val="000000"/>
        </w:rPr>
        <w:t xml:space="preserve"> </w:t>
      </w:r>
      <w:r w:rsidRPr="0025509D">
        <w:rPr>
          <w:rFonts w:cstheme="minorHAnsi"/>
          <w:bCs/>
          <w:color w:val="000000"/>
        </w:rPr>
        <w:t>(BUR n. 65 del 13.8.19)</w:t>
      </w:r>
    </w:p>
    <w:p w:rsidR="0025509D" w:rsidRPr="00B73FD1" w:rsidRDefault="0025509D" w:rsidP="0025509D">
      <w:pPr>
        <w:autoSpaceDE w:val="0"/>
        <w:autoSpaceDN w:val="0"/>
        <w:adjustRightInd w:val="0"/>
        <w:spacing w:after="0" w:line="20" w:lineRule="atLeast"/>
        <w:jc w:val="both"/>
        <w:rPr>
          <w:rFonts w:cstheme="minorHAnsi"/>
          <w:color w:val="000000"/>
        </w:rPr>
      </w:pPr>
      <w:r w:rsidRPr="00B73FD1">
        <w:rPr>
          <w:rFonts w:cstheme="minorHAnsi"/>
          <w:color w:val="000000"/>
        </w:rPr>
        <w:t>L’Istituto Regionale di Studi Giuridici del Lazio “A. C. Jemolo”, nel rispetto della Legge Regionale</w:t>
      </w:r>
      <w:r>
        <w:rPr>
          <w:rFonts w:cstheme="minorHAnsi"/>
          <w:color w:val="000000"/>
        </w:rPr>
        <w:t xml:space="preserve"> </w:t>
      </w:r>
      <w:r w:rsidRPr="00B73FD1">
        <w:rPr>
          <w:rFonts w:cstheme="minorHAnsi"/>
          <w:color w:val="000000"/>
        </w:rPr>
        <w:t>n. 40\87 e successive modificazioni ed integrazioni, in collaborazione con il Garante delle persone</w:t>
      </w:r>
      <w:r>
        <w:rPr>
          <w:rFonts w:cstheme="minorHAnsi"/>
          <w:color w:val="000000"/>
        </w:rPr>
        <w:t xml:space="preserve"> </w:t>
      </w:r>
      <w:r w:rsidRPr="00B73FD1">
        <w:rPr>
          <w:rFonts w:cstheme="minorHAnsi"/>
          <w:color w:val="000000"/>
        </w:rPr>
        <w:t>private della libertà della Regione Lazio, bandisce 40 posti per l’ammissione al corso “La riforma</w:t>
      </w:r>
      <w:r>
        <w:rPr>
          <w:rFonts w:cstheme="minorHAnsi"/>
          <w:color w:val="000000"/>
        </w:rPr>
        <w:t xml:space="preserve"> </w:t>
      </w:r>
      <w:r w:rsidRPr="00B73FD1">
        <w:rPr>
          <w:rFonts w:cstheme="minorHAnsi"/>
          <w:color w:val="000000"/>
        </w:rPr>
        <w:t>dell’ordinamento penitenziario a un anno dalla riforma” codice11cat19.</w:t>
      </w:r>
    </w:p>
    <w:p w:rsidR="0025509D" w:rsidRPr="00B73FD1" w:rsidRDefault="0025509D" w:rsidP="0025509D">
      <w:pPr>
        <w:autoSpaceDE w:val="0"/>
        <w:autoSpaceDN w:val="0"/>
        <w:adjustRightInd w:val="0"/>
        <w:spacing w:after="0" w:line="20" w:lineRule="atLeast"/>
        <w:jc w:val="both"/>
        <w:rPr>
          <w:rFonts w:cstheme="minorHAnsi"/>
          <w:color w:val="000000"/>
        </w:rPr>
      </w:pPr>
      <w:r w:rsidRPr="00B73FD1">
        <w:rPr>
          <w:rFonts w:cstheme="minorHAnsi"/>
          <w:color w:val="000000"/>
        </w:rPr>
        <w:lastRenderedPageBreak/>
        <w:t>1. L’obiettivo del corso è quello di analizzare e approfondire i temi della recente riforma</w:t>
      </w:r>
      <w:r>
        <w:rPr>
          <w:rFonts w:cstheme="minorHAnsi"/>
          <w:color w:val="000000"/>
        </w:rPr>
        <w:t xml:space="preserve"> </w:t>
      </w:r>
      <w:r w:rsidRPr="00B73FD1">
        <w:rPr>
          <w:rFonts w:cstheme="minorHAnsi"/>
          <w:color w:val="000000"/>
        </w:rPr>
        <w:t>dell’ordinamento penitenziario approvata con i decreti legislativi 121,123 e 124 del 2 ottobre 2018 e</w:t>
      </w:r>
      <w:r>
        <w:rPr>
          <w:rFonts w:cstheme="minorHAnsi"/>
          <w:color w:val="000000"/>
        </w:rPr>
        <w:t xml:space="preserve"> </w:t>
      </w:r>
      <w:r w:rsidRPr="00B73FD1">
        <w:rPr>
          <w:rFonts w:cstheme="minorHAnsi"/>
          <w:color w:val="000000"/>
        </w:rPr>
        <w:t>specificatamente l’assistenza sanitaria in ambito penitenziario, i procedimenti davanti al tribunale di</w:t>
      </w:r>
      <w:r>
        <w:rPr>
          <w:rFonts w:cstheme="minorHAnsi"/>
          <w:color w:val="000000"/>
        </w:rPr>
        <w:t xml:space="preserve"> </w:t>
      </w:r>
      <w:r w:rsidRPr="00B73FD1">
        <w:rPr>
          <w:rFonts w:cstheme="minorHAnsi"/>
          <w:color w:val="000000"/>
        </w:rPr>
        <w:t>sorveglianza, l’esecuzione delle pene nei confronti dei minorenni, la vita detentiva e il lavoro</w:t>
      </w:r>
      <w:r>
        <w:rPr>
          <w:rFonts w:cstheme="minorHAnsi"/>
          <w:color w:val="000000"/>
        </w:rPr>
        <w:t xml:space="preserve"> </w:t>
      </w:r>
      <w:r w:rsidRPr="00B73FD1">
        <w:rPr>
          <w:rFonts w:cstheme="minorHAnsi"/>
          <w:color w:val="000000"/>
        </w:rPr>
        <w:t>penitenziario.</w:t>
      </w:r>
    </w:p>
    <w:p w:rsidR="0025509D" w:rsidRPr="00B73FD1" w:rsidRDefault="0025509D" w:rsidP="0025509D">
      <w:pPr>
        <w:autoSpaceDE w:val="0"/>
        <w:autoSpaceDN w:val="0"/>
        <w:adjustRightInd w:val="0"/>
        <w:spacing w:after="0" w:line="20" w:lineRule="atLeast"/>
        <w:jc w:val="both"/>
        <w:rPr>
          <w:rFonts w:cstheme="minorHAnsi"/>
          <w:color w:val="000000"/>
        </w:rPr>
      </w:pPr>
      <w:r w:rsidRPr="00B73FD1">
        <w:rPr>
          <w:rFonts w:cstheme="minorHAnsi"/>
          <w:color w:val="000000"/>
        </w:rPr>
        <w:t>2. Il corso è rivolto a professionisti, operatori pubblici, e del volontariato.</w:t>
      </w:r>
    </w:p>
    <w:p w:rsidR="0025509D" w:rsidRPr="00B73FD1" w:rsidRDefault="0025509D" w:rsidP="0025509D">
      <w:pPr>
        <w:autoSpaceDE w:val="0"/>
        <w:autoSpaceDN w:val="0"/>
        <w:adjustRightInd w:val="0"/>
        <w:spacing w:after="0" w:line="20" w:lineRule="atLeast"/>
        <w:jc w:val="both"/>
        <w:rPr>
          <w:rFonts w:cstheme="minorHAnsi"/>
          <w:color w:val="000000"/>
        </w:rPr>
      </w:pPr>
      <w:r w:rsidRPr="00B73FD1">
        <w:rPr>
          <w:rFonts w:cstheme="minorHAnsi"/>
          <w:color w:val="000000"/>
        </w:rPr>
        <w:t>3. Il corso sarà tenuto presso la sede dell’Istituto “A.C. Jemolo” in Roma, Viale Giulio Cesare, 31 nelle</w:t>
      </w:r>
      <w:r>
        <w:rPr>
          <w:rFonts w:cstheme="minorHAnsi"/>
          <w:color w:val="000000"/>
        </w:rPr>
        <w:t xml:space="preserve"> </w:t>
      </w:r>
      <w:r w:rsidRPr="00B73FD1">
        <w:rPr>
          <w:rFonts w:cstheme="minorHAnsi"/>
          <w:color w:val="000000"/>
        </w:rPr>
        <w:t>giornate di mercoledì 9 ottobre -16 ottobre e martedì 22 ottobre 2019 orario 14,00-18,00 per un totale</w:t>
      </w:r>
      <w:r>
        <w:rPr>
          <w:rFonts w:cstheme="minorHAnsi"/>
          <w:color w:val="000000"/>
        </w:rPr>
        <w:t xml:space="preserve"> </w:t>
      </w:r>
      <w:r w:rsidRPr="00B73FD1">
        <w:rPr>
          <w:rFonts w:cstheme="minorHAnsi"/>
          <w:color w:val="000000"/>
        </w:rPr>
        <w:t>di 12 ore.</w:t>
      </w:r>
    </w:p>
    <w:p w:rsidR="0025509D" w:rsidRPr="00B73FD1" w:rsidRDefault="0025509D" w:rsidP="0025509D">
      <w:pPr>
        <w:autoSpaceDE w:val="0"/>
        <w:autoSpaceDN w:val="0"/>
        <w:adjustRightInd w:val="0"/>
        <w:spacing w:after="0" w:line="20" w:lineRule="atLeast"/>
        <w:jc w:val="both"/>
        <w:rPr>
          <w:rFonts w:cstheme="minorHAnsi"/>
          <w:color w:val="000000"/>
        </w:rPr>
      </w:pPr>
      <w:r w:rsidRPr="00B73FD1">
        <w:rPr>
          <w:rFonts w:cstheme="minorHAnsi"/>
          <w:color w:val="000000"/>
        </w:rPr>
        <w:t xml:space="preserve">4. Le domande di partecipazione al corso dovranno pervenire all’Istituto Jemolo </w:t>
      </w:r>
      <w:r w:rsidRPr="00B73FD1">
        <w:rPr>
          <w:rFonts w:cstheme="minorHAnsi"/>
          <w:b/>
          <w:bCs/>
          <w:color w:val="000000"/>
        </w:rPr>
        <w:t>entro le ore 12.00 del</w:t>
      </w:r>
      <w:r>
        <w:rPr>
          <w:rFonts w:cstheme="minorHAnsi"/>
          <w:b/>
          <w:bCs/>
          <w:color w:val="000000"/>
        </w:rPr>
        <w:t xml:space="preserve"> </w:t>
      </w:r>
      <w:r w:rsidRPr="00B73FD1">
        <w:rPr>
          <w:rFonts w:cstheme="minorHAnsi"/>
          <w:b/>
          <w:bCs/>
          <w:color w:val="000000"/>
        </w:rPr>
        <w:t xml:space="preserve">2 ottobre 2019 </w:t>
      </w:r>
      <w:r w:rsidRPr="00B73FD1">
        <w:rPr>
          <w:rFonts w:cstheme="minorHAnsi"/>
          <w:color w:val="000000"/>
        </w:rPr>
        <w:t xml:space="preserve">tramite mail all’indirizzo </w:t>
      </w:r>
      <w:r w:rsidRPr="00B73FD1">
        <w:rPr>
          <w:rFonts w:cstheme="minorHAnsi"/>
          <w:color w:val="0000FF"/>
        </w:rPr>
        <w:t xml:space="preserve">didattica@jemolo.it </w:t>
      </w:r>
      <w:r w:rsidRPr="00B73FD1">
        <w:rPr>
          <w:rFonts w:cstheme="minorHAnsi"/>
          <w:color w:val="000000"/>
        </w:rPr>
        <w:t>– o consegnate direttamente a mano</w:t>
      </w:r>
      <w:r>
        <w:rPr>
          <w:rFonts w:cstheme="minorHAnsi"/>
          <w:color w:val="000000"/>
        </w:rPr>
        <w:t xml:space="preserve"> </w:t>
      </w:r>
      <w:r w:rsidRPr="00B73FD1">
        <w:rPr>
          <w:rFonts w:cstheme="minorHAnsi"/>
          <w:color w:val="000000"/>
        </w:rPr>
        <w:t>presso la segreteria didattica - utilizzando i modelli allegati al presente bando (Allegato A+D per le</w:t>
      </w:r>
      <w:r>
        <w:rPr>
          <w:rFonts w:cstheme="minorHAnsi"/>
          <w:color w:val="000000"/>
        </w:rPr>
        <w:t xml:space="preserve"> </w:t>
      </w:r>
      <w:r w:rsidRPr="00B73FD1">
        <w:rPr>
          <w:rFonts w:cstheme="minorHAnsi"/>
          <w:color w:val="000000"/>
        </w:rPr>
        <w:t>domande a pagamento/ Allegato B domande gratuite ISEE/ Allegato C domande gratuite regionali).</w:t>
      </w:r>
    </w:p>
    <w:p w:rsidR="0025509D" w:rsidRPr="00B73FD1" w:rsidRDefault="0025509D" w:rsidP="0025509D">
      <w:pPr>
        <w:autoSpaceDE w:val="0"/>
        <w:autoSpaceDN w:val="0"/>
        <w:adjustRightInd w:val="0"/>
        <w:spacing w:after="0" w:line="20" w:lineRule="atLeast"/>
        <w:jc w:val="both"/>
        <w:rPr>
          <w:rFonts w:cstheme="minorHAnsi"/>
          <w:color w:val="000000"/>
        </w:rPr>
      </w:pPr>
      <w:r w:rsidRPr="00B73FD1">
        <w:rPr>
          <w:rFonts w:cstheme="minorHAnsi"/>
          <w:color w:val="000000"/>
        </w:rPr>
        <w:t>5. Per l’ammissione al corso le domande di iscrizione vanno corredate dalla Dichiarazione di Consenso</w:t>
      </w:r>
      <w:r>
        <w:rPr>
          <w:rFonts w:cstheme="minorHAnsi"/>
          <w:color w:val="000000"/>
        </w:rPr>
        <w:t xml:space="preserve"> </w:t>
      </w:r>
      <w:r w:rsidRPr="00B73FD1">
        <w:rPr>
          <w:rFonts w:cstheme="minorHAnsi"/>
          <w:color w:val="000000"/>
        </w:rPr>
        <w:t>(raccolta dati personali finalizzata all’iscrizione al corso - all. E) e dalla Dichiarazione di Consenso –</w:t>
      </w:r>
      <w:r>
        <w:rPr>
          <w:rFonts w:cstheme="minorHAnsi"/>
          <w:color w:val="000000"/>
        </w:rPr>
        <w:t xml:space="preserve"> </w:t>
      </w:r>
      <w:r w:rsidRPr="00B73FD1">
        <w:rPr>
          <w:rFonts w:cstheme="minorHAnsi"/>
          <w:color w:val="000000"/>
        </w:rPr>
        <w:t>(registrazione del corso finalizzata al recupero e approfondimento delle lezioni - all. F) debitamente</w:t>
      </w:r>
      <w:r>
        <w:rPr>
          <w:rFonts w:cstheme="minorHAnsi"/>
          <w:color w:val="000000"/>
        </w:rPr>
        <w:t xml:space="preserve"> </w:t>
      </w:r>
      <w:r w:rsidRPr="00B73FD1">
        <w:rPr>
          <w:rFonts w:cstheme="minorHAnsi"/>
          <w:color w:val="000000"/>
        </w:rPr>
        <w:t>firmate. Le relative informative sul trattamento dei dati personali da parte dell’Istituto Jemolo ai sensi</w:t>
      </w:r>
      <w:r>
        <w:rPr>
          <w:rFonts w:cstheme="minorHAnsi"/>
          <w:color w:val="000000"/>
        </w:rPr>
        <w:t xml:space="preserve"> </w:t>
      </w:r>
      <w:r w:rsidRPr="00B73FD1">
        <w:rPr>
          <w:rFonts w:cstheme="minorHAnsi"/>
          <w:color w:val="000000"/>
        </w:rPr>
        <w:t>del G.D.P.R. 679/2016 sono reperibili sul sito www.jemolo.it nella sezione didattica - corsi –</w:t>
      </w:r>
      <w:r>
        <w:rPr>
          <w:rFonts w:cstheme="minorHAnsi"/>
          <w:color w:val="000000"/>
        </w:rPr>
        <w:t xml:space="preserve"> </w:t>
      </w:r>
      <w:r w:rsidRPr="00B73FD1">
        <w:rPr>
          <w:rFonts w:cstheme="minorHAnsi"/>
          <w:color w:val="000000"/>
        </w:rPr>
        <w:t>iscrizioni, come allegati al corrispondente bando in oggetto.</w:t>
      </w:r>
    </w:p>
    <w:p w:rsidR="0025509D" w:rsidRPr="00B73FD1" w:rsidRDefault="0025509D" w:rsidP="0025509D">
      <w:pPr>
        <w:autoSpaceDE w:val="0"/>
        <w:autoSpaceDN w:val="0"/>
        <w:adjustRightInd w:val="0"/>
        <w:spacing w:after="0" w:line="20" w:lineRule="atLeast"/>
        <w:jc w:val="both"/>
        <w:rPr>
          <w:rFonts w:cstheme="minorHAnsi"/>
          <w:color w:val="000000"/>
        </w:rPr>
      </w:pPr>
      <w:r w:rsidRPr="00B73FD1">
        <w:rPr>
          <w:rFonts w:cstheme="minorHAnsi"/>
          <w:color w:val="000000"/>
        </w:rPr>
        <w:t>6. La graduatoria degli ammessi – qualora il numero delle domande dovesse superare il numero di posti</w:t>
      </w:r>
      <w:r>
        <w:rPr>
          <w:rFonts w:cstheme="minorHAnsi"/>
          <w:color w:val="000000"/>
        </w:rPr>
        <w:t xml:space="preserve"> </w:t>
      </w:r>
      <w:r w:rsidRPr="00B73FD1">
        <w:rPr>
          <w:rFonts w:cstheme="minorHAnsi"/>
          <w:color w:val="000000"/>
        </w:rPr>
        <w:t>disponibili - sarà formulata in base alla data di presentazione delle domande e al numero di protocollo</w:t>
      </w:r>
      <w:r>
        <w:rPr>
          <w:rFonts w:cstheme="minorHAnsi"/>
          <w:color w:val="000000"/>
        </w:rPr>
        <w:t xml:space="preserve"> </w:t>
      </w:r>
      <w:r w:rsidRPr="00B73FD1">
        <w:rPr>
          <w:rFonts w:cstheme="minorHAnsi"/>
          <w:color w:val="000000"/>
        </w:rPr>
        <w:t xml:space="preserve">attribuito. La graduatoria sarà pubblicata sul sito dell’Istituto </w:t>
      </w:r>
      <w:hyperlink r:id="rId8" w:history="1">
        <w:r w:rsidRPr="009C4EF5">
          <w:rPr>
            <w:rStyle w:val="Collegamentoipertestuale"/>
            <w:rFonts w:cstheme="minorHAnsi"/>
          </w:rPr>
          <w:t>www.jemolo.it</w:t>
        </w:r>
      </w:hyperlink>
      <w:r w:rsidRPr="00B73FD1">
        <w:rPr>
          <w:rFonts w:cstheme="minorHAnsi"/>
          <w:color w:val="000000"/>
        </w:rPr>
        <w:t>.</w:t>
      </w:r>
      <w:r>
        <w:rPr>
          <w:rFonts w:cstheme="minorHAnsi"/>
          <w:color w:val="000000"/>
        </w:rPr>
        <w:t xml:space="preserve"> </w:t>
      </w:r>
      <w:r w:rsidRPr="00B73FD1">
        <w:rPr>
          <w:rFonts w:cstheme="minorHAnsi"/>
          <w:color w:val="000000"/>
        </w:rPr>
        <w:t xml:space="preserve">7. Gli ammessi al corso dovranno versare, </w:t>
      </w:r>
      <w:r w:rsidRPr="00B73FD1">
        <w:rPr>
          <w:rFonts w:cstheme="minorHAnsi"/>
          <w:b/>
          <w:bCs/>
          <w:color w:val="000000"/>
        </w:rPr>
        <w:t>dopo l’uscita della graduatoria e comunque prima</w:t>
      </w:r>
      <w:r>
        <w:rPr>
          <w:rFonts w:cstheme="minorHAnsi"/>
          <w:b/>
          <w:bCs/>
          <w:color w:val="000000"/>
        </w:rPr>
        <w:t xml:space="preserve"> </w:t>
      </w:r>
      <w:r w:rsidRPr="00B73FD1">
        <w:rPr>
          <w:rFonts w:cstheme="minorHAnsi"/>
          <w:b/>
          <w:bCs/>
          <w:color w:val="000000"/>
        </w:rPr>
        <w:t>dell’inizio del corso</w:t>
      </w:r>
      <w:r w:rsidRPr="00B73FD1">
        <w:rPr>
          <w:rFonts w:cstheme="minorHAnsi"/>
          <w:color w:val="000000"/>
        </w:rPr>
        <w:t>, in unica soluzione pena l’esclusione dal corso, la quota di partecipazione a titolo</w:t>
      </w:r>
      <w:r>
        <w:rPr>
          <w:rFonts w:cstheme="minorHAnsi"/>
          <w:color w:val="000000"/>
        </w:rPr>
        <w:t xml:space="preserve"> </w:t>
      </w:r>
      <w:r w:rsidRPr="00B73FD1">
        <w:rPr>
          <w:rFonts w:cstheme="minorHAnsi"/>
          <w:color w:val="000000"/>
        </w:rPr>
        <w:t>di contributo spese, pari ad € 200,00 (euroduecento/00);</w:t>
      </w:r>
    </w:p>
    <w:p w:rsidR="0025509D" w:rsidRPr="00B73FD1" w:rsidRDefault="0025509D" w:rsidP="0025509D">
      <w:pPr>
        <w:autoSpaceDE w:val="0"/>
        <w:autoSpaceDN w:val="0"/>
        <w:adjustRightInd w:val="0"/>
        <w:spacing w:after="0" w:line="20" w:lineRule="atLeast"/>
        <w:jc w:val="both"/>
        <w:rPr>
          <w:rFonts w:cstheme="minorHAnsi"/>
          <w:color w:val="000000"/>
        </w:rPr>
      </w:pPr>
      <w:r w:rsidRPr="00B73FD1">
        <w:rPr>
          <w:rFonts w:cstheme="minorHAnsi"/>
          <w:color w:val="000000"/>
        </w:rPr>
        <w:t>8. Gli iscritti ad organizzazioni che hanno stipulato accordi e convenzioni con l’Istituto Jemolo che</w:t>
      </w:r>
      <w:r>
        <w:rPr>
          <w:rFonts w:cstheme="minorHAnsi"/>
          <w:color w:val="000000"/>
        </w:rPr>
        <w:t xml:space="preserve"> </w:t>
      </w:r>
      <w:r w:rsidRPr="00B73FD1">
        <w:rPr>
          <w:rFonts w:cstheme="minorHAnsi"/>
          <w:color w:val="000000"/>
        </w:rPr>
        <w:t>prevedano sconti ed agevolazioni per l’iscrizione ai corsi usufruiranno delle agevolazioni previste</w:t>
      </w:r>
      <w:r>
        <w:rPr>
          <w:rFonts w:cstheme="minorHAnsi"/>
          <w:color w:val="000000"/>
        </w:rPr>
        <w:t xml:space="preserve"> </w:t>
      </w:r>
      <w:r w:rsidRPr="00B73FD1">
        <w:rPr>
          <w:rFonts w:cstheme="minorHAnsi"/>
          <w:color w:val="000000"/>
        </w:rPr>
        <w:t>dalle rispettive convenzioni e dovranno dichiarare nella domanda di iscrizione l’organizzazione a cui</w:t>
      </w:r>
      <w:r>
        <w:rPr>
          <w:rFonts w:cstheme="minorHAnsi"/>
          <w:color w:val="000000"/>
        </w:rPr>
        <w:t xml:space="preserve"> </w:t>
      </w:r>
      <w:r w:rsidRPr="00B73FD1">
        <w:rPr>
          <w:rFonts w:cstheme="minorHAnsi"/>
          <w:color w:val="000000"/>
        </w:rPr>
        <w:t>sono iscritti. L’Istituto si riserva la verifica dell’esistenza delle condizioni che danno diritto alle</w:t>
      </w:r>
      <w:r>
        <w:rPr>
          <w:rFonts w:cstheme="minorHAnsi"/>
          <w:color w:val="000000"/>
        </w:rPr>
        <w:t xml:space="preserve"> </w:t>
      </w:r>
      <w:r w:rsidRPr="00B73FD1">
        <w:rPr>
          <w:rFonts w:cstheme="minorHAnsi"/>
          <w:color w:val="000000"/>
        </w:rPr>
        <w:t>agevolazioni.</w:t>
      </w:r>
    </w:p>
    <w:p w:rsidR="0025509D" w:rsidRPr="00B73FD1" w:rsidRDefault="0025509D" w:rsidP="0025509D">
      <w:pPr>
        <w:autoSpaceDE w:val="0"/>
        <w:autoSpaceDN w:val="0"/>
        <w:adjustRightInd w:val="0"/>
        <w:spacing w:after="0" w:line="20" w:lineRule="atLeast"/>
        <w:jc w:val="both"/>
        <w:rPr>
          <w:rFonts w:cstheme="minorHAnsi"/>
          <w:color w:val="000000"/>
        </w:rPr>
      </w:pPr>
      <w:r w:rsidRPr="00B73FD1">
        <w:rPr>
          <w:rFonts w:cstheme="minorHAnsi"/>
          <w:color w:val="000000"/>
        </w:rPr>
        <w:t>9. L’Istituto Jemolo riserverà l’ammissione gratuita al corso a 5 partecipanti con reddito ISEE inferiore</w:t>
      </w:r>
      <w:r>
        <w:rPr>
          <w:rFonts w:cstheme="minorHAnsi"/>
          <w:color w:val="000000"/>
        </w:rPr>
        <w:t xml:space="preserve"> </w:t>
      </w:r>
      <w:r w:rsidRPr="00B73FD1">
        <w:rPr>
          <w:rFonts w:cstheme="minorHAnsi"/>
          <w:color w:val="000000"/>
        </w:rPr>
        <w:t>a € 20.000,00 individuati sulla base dei curricula e dell’attestazione isee che dovranno essere allegati</w:t>
      </w:r>
      <w:r>
        <w:rPr>
          <w:rFonts w:cstheme="minorHAnsi"/>
          <w:color w:val="000000"/>
        </w:rPr>
        <w:t xml:space="preserve"> </w:t>
      </w:r>
      <w:r w:rsidRPr="00B73FD1">
        <w:rPr>
          <w:rFonts w:cstheme="minorHAnsi"/>
          <w:color w:val="000000"/>
        </w:rPr>
        <w:t>alla domanda. I partecipanti che richiedono l’ammissione al corso a titolo gratuito dovranno inviare</w:t>
      </w:r>
      <w:r>
        <w:rPr>
          <w:rFonts w:cstheme="minorHAnsi"/>
          <w:color w:val="000000"/>
        </w:rPr>
        <w:t xml:space="preserve"> </w:t>
      </w:r>
      <w:r w:rsidRPr="00B73FD1">
        <w:rPr>
          <w:rFonts w:cstheme="minorHAnsi"/>
          <w:color w:val="000000"/>
        </w:rPr>
        <w:t>all’Istituto Jemolo la domanda di partecipazione utilizzando il modello allegato al presente bando</w:t>
      </w:r>
      <w:r>
        <w:rPr>
          <w:rFonts w:cstheme="minorHAnsi"/>
          <w:color w:val="000000"/>
        </w:rPr>
        <w:t xml:space="preserve"> </w:t>
      </w:r>
      <w:r w:rsidRPr="00B73FD1">
        <w:rPr>
          <w:rFonts w:cstheme="minorHAnsi"/>
          <w:color w:val="000000"/>
        </w:rPr>
        <w:t>(Allegato B) secondo le modalità riportate al precedente punto 4). L’ammissione gratuita al corso</w:t>
      </w:r>
      <w:r>
        <w:rPr>
          <w:rFonts w:cstheme="minorHAnsi"/>
          <w:color w:val="000000"/>
        </w:rPr>
        <w:t xml:space="preserve"> </w:t>
      </w:r>
      <w:r w:rsidRPr="00B73FD1">
        <w:rPr>
          <w:rFonts w:cstheme="minorHAnsi"/>
          <w:color w:val="000000"/>
        </w:rPr>
        <w:t>sarà assegnata dal Direttore amministrativo dell’Istituto ai 5 partecipanti che risulteranno ai primi 5</w:t>
      </w:r>
      <w:r>
        <w:rPr>
          <w:rFonts w:cstheme="minorHAnsi"/>
          <w:color w:val="000000"/>
        </w:rPr>
        <w:t xml:space="preserve"> </w:t>
      </w:r>
      <w:r w:rsidRPr="00B73FD1">
        <w:rPr>
          <w:rFonts w:cstheme="minorHAnsi"/>
          <w:color w:val="000000"/>
        </w:rPr>
        <w:t>posti della graduatoria che sarà predisposta dal Responsabile del procedimento utilizzando i seguenti</w:t>
      </w:r>
      <w:r>
        <w:rPr>
          <w:rFonts w:cstheme="minorHAnsi"/>
          <w:color w:val="000000"/>
        </w:rPr>
        <w:t xml:space="preserve"> </w:t>
      </w:r>
      <w:r w:rsidRPr="00B73FD1">
        <w:rPr>
          <w:rFonts w:cstheme="minorHAnsi"/>
          <w:color w:val="000000"/>
        </w:rPr>
        <w:t>criteri:</w:t>
      </w:r>
    </w:p>
    <w:p w:rsidR="0025509D" w:rsidRPr="00B73FD1" w:rsidRDefault="0025509D" w:rsidP="0025509D">
      <w:pPr>
        <w:autoSpaceDE w:val="0"/>
        <w:autoSpaceDN w:val="0"/>
        <w:adjustRightInd w:val="0"/>
        <w:spacing w:after="0" w:line="20" w:lineRule="atLeast"/>
        <w:jc w:val="both"/>
        <w:rPr>
          <w:rFonts w:cstheme="minorHAnsi"/>
          <w:color w:val="000000"/>
        </w:rPr>
      </w:pPr>
      <w:r w:rsidRPr="00B73FD1">
        <w:rPr>
          <w:rFonts w:cstheme="minorHAnsi"/>
          <w:color w:val="000000"/>
        </w:rPr>
        <w:t>A parità di punteggio la priorità sarà assegnata in base alla data di presentazione e al numero di</w:t>
      </w:r>
      <w:r>
        <w:rPr>
          <w:rFonts w:cstheme="minorHAnsi"/>
          <w:color w:val="000000"/>
        </w:rPr>
        <w:t xml:space="preserve"> </w:t>
      </w:r>
      <w:r w:rsidRPr="00B73FD1">
        <w:rPr>
          <w:rFonts w:cstheme="minorHAnsi"/>
          <w:color w:val="000000"/>
        </w:rPr>
        <w:t>protocollo attribuito alle domande di ammissione al beneficio.</w:t>
      </w:r>
    </w:p>
    <w:p w:rsidR="0025509D" w:rsidRPr="00B73FD1" w:rsidRDefault="0025509D" w:rsidP="0025509D">
      <w:pPr>
        <w:autoSpaceDE w:val="0"/>
        <w:autoSpaceDN w:val="0"/>
        <w:adjustRightInd w:val="0"/>
        <w:spacing w:after="0" w:line="20" w:lineRule="atLeast"/>
        <w:jc w:val="both"/>
        <w:rPr>
          <w:rFonts w:cstheme="minorHAnsi"/>
          <w:color w:val="000000"/>
        </w:rPr>
      </w:pPr>
      <w:r w:rsidRPr="00B73FD1">
        <w:rPr>
          <w:rFonts w:cstheme="minorHAnsi"/>
          <w:color w:val="000000"/>
        </w:rPr>
        <w:t>10. I soggetti non ammessi all’iscrizione a titolo gratuito potranno partecipare al corso come soggetti</w:t>
      </w:r>
      <w:r>
        <w:rPr>
          <w:rFonts w:cstheme="minorHAnsi"/>
          <w:color w:val="000000"/>
        </w:rPr>
        <w:t xml:space="preserve"> </w:t>
      </w:r>
      <w:r w:rsidRPr="00B73FD1">
        <w:rPr>
          <w:rFonts w:cstheme="minorHAnsi"/>
          <w:color w:val="000000"/>
        </w:rPr>
        <w:t>paganti solo se avranno inviato anche la domanda di ammissione al corso a pagamento e risultino</w:t>
      </w:r>
      <w:r>
        <w:rPr>
          <w:rFonts w:cstheme="minorHAnsi"/>
          <w:color w:val="000000"/>
        </w:rPr>
        <w:t xml:space="preserve"> </w:t>
      </w:r>
      <w:r w:rsidRPr="00B73FD1">
        <w:rPr>
          <w:rFonts w:cstheme="minorHAnsi"/>
          <w:color w:val="000000"/>
        </w:rPr>
        <w:t>utilmente collocati in graduatoria di cui all’art. 6) del presente bando.</w:t>
      </w:r>
    </w:p>
    <w:p w:rsidR="0025509D" w:rsidRPr="00B73FD1" w:rsidRDefault="0025509D" w:rsidP="0025509D">
      <w:pPr>
        <w:autoSpaceDE w:val="0"/>
        <w:autoSpaceDN w:val="0"/>
        <w:adjustRightInd w:val="0"/>
        <w:spacing w:after="0" w:line="20" w:lineRule="atLeast"/>
        <w:jc w:val="both"/>
        <w:rPr>
          <w:rFonts w:cstheme="minorHAnsi"/>
          <w:color w:val="000000"/>
        </w:rPr>
      </w:pPr>
      <w:r w:rsidRPr="00B73FD1">
        <w:rPr>
          <w:rFonts w:cstheme="minorHAnsi"/>
          <w:color w:val="000000"/>
        </w:rPr>
        <w:t>11. L’Istituto Jemolo riserverà inoltre 5 posti per l’ammissione gratuita al corso a dipendenti della</w:t>
      </w:r>
      <w:r>
        <w:rPr>
          <w:rFonts w:cstheme="minorHAnsi"/>
          <w:color w:val="000000"/>
        </w:rPr>
        <w:t xml:space="preserve"> </w:t>
      </w:r>
      <w:r w:rsidRPr="00B73FD1">
        <w:rPr>
          <w:rFonts w:cstheme="minorHAnsi"/>
          <w:color w:val="000000"/>
        </w:rPr>
        <w:t>Regione Lazio autorizzati dai Direttori regionali delle Direzioni di appartenenza.</w:t>
      </w:r>
    </w:p>
    <w:p w:rsidR="0025509D" w:rsidRPr="00B73FD1" w:rsidRDefault="0025509D" w:rsidP="0025509D">
      <w:pPr>
        <w:autoSpaceDE w:val="0"/>
        <w:autoSpaceDN w:val="0"/>
        <w:adjustRightInd w:val="0"/>
        <w:spacing w:after="0" w:line="20" w:lineRule="atLeast"/>
        <w:jc w:val="both"/>
        <w:rPr>
          <w:rFonts w:cstheme="minorHAnsi"/>
          <w:color w:val="000000"/>
        </w:rPr>
      </w:pPr>
      <w:r w:rsidRPr="00B73FD1">
        <w:rPr>
          <w:rFonts w:cstheme="minorHAnsi"/>
          <w:color w:val="000000"/>
        </w:rPr>
        <w:t>12. I dipendenti regionali che richiedono l’ammissione al corso a titolo gratuito dovranno inviare</w:t>
      </w:r>
      <w:r>
        <w:rPr>
          <w:rFonts w:cstheme="minorHAnsi"/>
          <w:color w:val="000000"/>
        </w:rPr>
        <w:t xml:space="preserve"> </w:t>
      </w:r>
      <w:r w:rsidRPr="00B73FD1">
        <w:rPr>
          <w:rFonts w:cstheme="minorHAnsi"/>
          <w:color w:val="000000"/>
        </w:rPr>
        <w:t xml:space="preserve">all’Istituto Jemolo la domanda di partecipazione </w:t>
      </w:r>
      <w:r w:rsidRPr="00B73FD1">
        <w:rPr>
          <w:rFonts w:cstheme="minorHAnsi"/>
          <w:b/>
          <w:bCs/>
          <w:color w:val="000000"/>
        </w:rPr>
        <w:t>secondo le modalità riportate nel precedente</w:t>
      </w:r>
      <w:r>
        <w:rPr>
          <w:rFonts w:cstheme="minorHAnsi"/>
          <w:b/>
          <w:bCs/>
          <w:color w:val="000000"/>
        </w:rPr>
        <w:t xml:space="preserve"> </w:t>
      </w:r>
      <w:r w:rsidRPr="00B73FD1">
        <w:rPr>
          <w:rFonts w:cstheme="minorHAnsi"/>
          <w:b/>
          <w:bCs/>
          <w:color w:val="000000"/>
        </w:rPr>
        <w:t xml:space="preserve">punto 4). </w:t>
      </w:r>
      <w:r w:rsidRPr="00B73FD1">
        <w:rPr>
          <w:rFonts w:cstheme="minorHAnsi"/>
          <w:color w:val="000000"/>
        </w:rPr>
        <w:t>La priorità sarà assegnata in base alla data di presentazione delle domande e al numero di</w:t>
      </w:r>
      <w:r>
        <w:rPr>
          <w:rFonts w:cstheme="minorHAnsi"/>
          <w:color w:val="000000"/>
        </w:rPr>
        <w:t xml:space="preserve"> </w:t>
      </w:r>
      <w:r w:rsidRPr="00B73FD1">
        <w:rPr>
          <w:rFonts w:cstheme="minorHAnsi"/>
          <w:color w:val="000000"/>
        </w:rPr>
        <w:t>protocollo attribuito alle domande di ammissione.</w:t>
      </w:r>
    </w:p>
    <w:p w:rsidR="0025509D" w:rsidRPr="00B73FD1" w:rsidRDefault="0025509D" w:rsidP="0025509D">
      <w:pPr>
        <w:autoSpaceDE w:val="0"/>
        <w:autoSpaceDN w:val="0"/>
        <w:adjustRightInd w:val="0"/>
        <w:spacing w:after="0" w:line="20" w:lineRule="atLeast"/>
        <w:jc w:val="both"/>
        <w:rPr>
          <w:rFonts w:cstheme="minorHAnsi"/>
          <w:color w:val="000000"/>
        </w:rPr>
      </w:pPr>
      <w:r w:rsidRPr="00B73FD1">
        <w:rPr>
          <w:rFonts w:cstheme="minorHAnsi"/>
          <w:color w:val="000000"/>
        </w:rPr>
        <w:t>13. I partecipanti sono tenuti all’effettiva frequenza e non possono effettuare assenze in misura superiore</w:t>
      </w:r>
      <w:r>
        <w:rPr>
          <w:rFonts w:cstheme="minorHAnsi"/>
          <w:color w:val="000000"/>
        </w:rPr>
        <w:t xml:space="preserve"> </w:t>
      </w:r>
      <w:r w:rsidRPr="00B73FD1">
        <w:rPr>
          <w:rFonts w:cstheme="minorHAnsi"/>
          <w:color w:val="000000"/>
        </w:rPr>
        <w:t>al 20% delle ore di lezione. Al superamento della quota di assenze precedentemente indicata l’Istituto</w:t>
      </w:r>
      <w:r>
        <w:rPr>
          <w:rFonts w:cstheme="minorHAnsi"/>
          <w:color w:val="000000"/>
        </w:rPr>
        <w:t xml:space="preserve"> </w:t>
      </w:r>
      <w:r w:rsidRPr="00B73FD1">
        <w:rPr>
          <w:rFonts w:cstheme="minorHAnsi"/>
          <w:color w:val="000000"/>
        </w:rPr>
        <w:t>avrà la facoltà di interrompere la partecipazione al corso del partecipante che abbia superato tale</w:t>
      </w:r>
      <w:r>
        <w:rPr>
          <w:rFonts w:cstheme="minorHAnsi"/>
          <w:color w:val="000000"/>
        </w:rPr>
        <w:t xml:space="preserve"> </w:t>
      </w:r>
      <w:r w:rsidRPr="00B73FD1">
        <w:rPr>
          <w:rFonts w:cstheme="minorHAnsi"/>
          <w:color w:val="000000"/>
        </w:rPr>
        <w:t>quota.</w:t>
      </w:r>
    </w:p>
    <w:p w:rsidR="0025509D" w:rsidRPr="00B73FD1" w:rsidRDefault="0025509D" w:rsidP="0025509D">
      <w:pPr>
        <w:autoSpaceDE w:val="0"/>
        <w:autoSpaceDN w:val="0"/>
        <w:adjustRightInd w:val="0"/>
        <w:spacing w:after="0" w:line="20" w:lineRule="atLeast"/>
        <w:jc w:val="both"/>
        <w:rPr>
          <w:rFonts w:cstheme="minorHAnsi"/>
          <w:color w:val="000000"/>
        </w:rPr>
      </w:pPr>
      <w:r w:rsidRPr="00B73FD1">
        <w:rPr>
          <w:rFonts w:cstheme="minorHAnsi"/>
          <w:color w:val="000000"/>
        </w:rPr>
        <w:t>14. L’Istituto “A. C. Jemolo” si riserva la facoltà di non attivare o rimodulare il corso alla luce delle</w:t>
      </w:r>
      <w:r>
        <w:rPr>
          <w:rFonts w:cstheme="minorHAnsi"/>
          <w:color w:val="000000"/>
        </w:rPr>
        <w:t xml:space="preserve"> </w:t>
      </w:r>
      <w:r w:rsidRPr="00B73FD1">
        <w:rPr>
          <w:rFonts w:cstheme="minorHAnsi"/>
          <w:color w:val="000000"/>
        </w:rPr>
        <w:t>domande pervenute.</w:t>
      </w:r>
    </w:p>
    <w:p w:rsidR="0025509D" w:rsidRPr="00B73FD1" w:rsidRDefault="0025509D" w:rsidP="0025509D">
      <w:pPr>
        <w:autoSpaceDE w:val="0"/>
        <w:autoSpaceDN w:val="0"/>
        <w:adjustRightInd w:val="0"/>
        <w:spacing w:after="0" w:line="20" w:lineRule="atLeast"/>
        <w:jc w:val="both"/>
        <w:rPr>
          <w:rFonts w:cstheme="minorHAnsi"/>
          <w:i/>
          <w:iCs/>
          <w:color w:val="FF0000"/>
        </w:rPr>
      </w:pPr>
    </w:p>
    <w:p w:rsidR="0025509D" w:rsidRPr="00A814D5" w:rsidRDefault="0025509D" w:rsidP="0025509D">
      <w:pPr>
        <w:autoSpaceDE w:val="0"/>
        <w:autoSpaceDN w:val="0"/>
        <w:adjustRightInd w:val="0"/>
        <w:spacing w:after="0" w:line="20" w:lineRule="atLeast"/>
        <w:jc w:val="both"/>
        <w:rPr>
          <w:rFonts w:cstheme="minorHAnsi"/>
          <w:b/>
        </w:rPr>
      </w:pPr>
      <w:r w:rsidRPr="00A814D5">
        <w:rPr>
          <w:rFonts w:cstheme="minorHAnsi"/>
          <w:b/>
        </w:rPr>
        <w:t>ISTITUTO REGIONALE JEMOLO</w:t>
      </w:r>
    </w:p>
    <w:p w:rsidR="0025509D" w:rsidRPr="00A814D5" w:rsidRDefault="0025509D" w:rsidP="0025509D">
      <w:pPr>
        <w:autoSpaceDE w:val="0"/>
        <w:autoSpaceDN w:val="0"/>
        <w:adjustRightInd w:val="0"/>
        <w:spacing w:after="0" w:line="20" w:lineRule="atLeast"/>
        <w:jc w:val="both"/>
        <w:rPr>
          <w:rFonts w:cstheme="minorHAnsi"/>
          <w:b/>
        </w:rPr>
      </w:pPr>
      <w:r w:rsidRPr="00A814D5">
        <w:rPr>
          <w:rFonts w:cstheme="minorHAnsi"/>
          <w:b/>
        </w:rPr>
        <w:t>Avviso</w:t>
      </w:r>
    </w:p>
    <w:p w:rsidR="0025509D" w:rsidRPr="00B73FD1" w:rsidRDefault="0025509D" w:rsidP="0025509D">
      <w:pPr>
        <w:autoSpaceDE w:val="0"/>
        <w:autoSpaceDN w:val="0"/>
        <w:adjustRightInd w:val="0"/>
        <w:spacing w:after="0" w:line="20" w:lineRule="atLeast"/>
        <w:jc w:val="both"/>
        <w:rPr>
          <w:rFonts w:cstheme="minorHAnsi"/>
          <w:b/>
          <w:bCs/>
          <w:color w:val="000000"/>
        </w:rPr>
      </w:pPr>
      <w:r w:rsidRPr="00B73FD1">
        <w:rPr>
          <w:rFonts w:cstheme="minorHAnsi"/>
          <w:b/>
          <w:bCs/>
          <w:color w:val="000000"/>
        </w:rPr>
        <w:lastRenderedPageBreak/>
        <w:t>BANDO PER L’AMMISSIONE A 40 POSTI AL CORSO</w:t>
      </w:r>
      <w:r>
        <w:rPr>
          <w:rFonts w:cstheme="minorHAnsi"/>
          <w:b/>
          <w:bCs/>
          <w:color w:val="000000"/>
        </w:rPr>
        <w:t xml:space="preserve"> </w:t>
      </w:r>
      <w:r w:rsidRPr="00B73FD1">
        <w:rPr>
          <w:rFonts w:cstheme="minorHAnsi"/>
          <w:b/>
          <w:bCs/>
          <w:color w:val="000000"/>
        </w:rPr>
        <w:t>“LA RIFORMA DELL’ORDINAMENTO PENITENZIARIO A UN ANNO DALLA</w:t>
      </w:r>
      <w:r>
        <w:rPr>
          <w:rFonts w:cstheme="minorHAnsi"/>
          <w:b/>
          <w:bCs/>
          <w:color w:val="000000"/>
        </w:rPr>
        <w:t xml:space="preserve"> </w:t>
      </w:r>
      <w:r w:rsidRPr="00B73FD1">
        <w:rPr>
          <w:rFonts w:cstheme="minorHAnsi"/>
          <w:b/>
          <w:bCs/>
          <w:color w:val="000000"/>
        </w:rPr>
        <w:t>RIFORMA” CODICE 11CAT19</w:t>
      </w:r>
    </w:p>
    <w:p w:rsidR="0025509D" w:rsidRPr="00B73FD1" w:rsidRDefault="0025509D" w:rsidP="0025509D">
      <w:pPr>
        <w:autoSpaceDE w:val="0"/>
        <w:autoSpaceDN w:val="0"/>
        <w:adjustRightInd w:val="0"/>
        <w:spacing w:after="0" w:line="20" w:lineRule="atLeast"/>
        <w:jc w:val="both"/>
        <w:rPr>
          <w:rFonts w:cstheme="minorHAnsi"/>
          <w:color w:val="000000"/>
        </w:rPr>
      </w:pPr>
      <w:r w:rsidRPr="00B73FD1">
        <w:rPr>
          <w:rFonts w:cstheme="minorHAnsi"/>
          <w:color w:val="000000"/>
        </w:rPr>
        <w:t>L’Istituto Regionale di Studi Giuridici del Lazio “A. C. Jemolo”, nel rispetto della Legge Regionale</w:t>
      </w:r>
      <w:r>
        <w:rPr>
          <w:rFonts w:cstheme="minorHAnsi"/>
          <w:color w:val="000000"/>
        </w:rPr>
        <w:t xml:space="preserve"> </w:t>
      </w:r>
      <w:r w:rsidRPr="00B73FD1">
        <w:rPr>
          <w:rFonts w:cstheme="minorHAnsi"/>
          <w:color w:val="000000"/>
        </w:rPr>
        <w:t>n. 40\87 e successive modificazioni ed integrazioni, in collaborazione con il Garante delle persone</w:t>
      </w:r>
      <w:r>
        <w:rPr>
          <w:rFonts w:cstheme="minorHAnsi"/>
          <w:color w:val="000000"/>
        </w:rPr>
        <w:t xml:space="preserve"> </w:t>
      </w:r>
      <w:r w:rsidRPr="00B73FD1">
        <w:rPr>
          <w:rFonts w:cstheme="minorHAnsi"/>
          <w:color w:val="000000"/>
        </w:rPr>
        <w:t>private della libertà della Regione Lazio, bandisce 40 posti per l’ammissione al corso “La riforma</w:t>
      </w:r>
      <w:r>
        <w:rPr>
          <w:rFonts w:cstheme="minorHAnsi"/>
          <w:color w:val="000000"/>
        </w:rPr>
        <w:t xml:space="preserve"> </w:t>
      </w:r>
      <w:r w:rsidRPr="00B73FD1">
        <w:rPr>
          <w:rFonts w:cstheme="minorHAnsi"/>
          <w:color w:val="000000"/>
        </w:rPr>
        <w:t>dell’ordinamento penitenziario a un anno dalla riforma” codice11cat19.</w:t>
      </w:r>
    </w:p>
    <w:p w:rsidR="0025509D" w:rsidRPr="00B73FD1" w:rsidRDefault="0025509D" w:rsidP="0025509D">
      <w:pPr>
        <w:autoSpaceDE w:val="0"/>
        <w:autoSpaceDN w:val="0"/>
        <w:adjustRightInd w:val="0"/>
        <w:spacing w:after="0" w:line="20" w:lineRule="atLeast"/>
        <w:jc w:val="both"/>
        <w:rPr>
          <w:rFonts w:cstheme="minorHAnsi"/>
          <w:color w:val="000000"/>
        </w:rPr>
      </w:pPr>
      <w:r w:rsidRPr="00B73FD1">
        <w:rPr>
          <w:rFonts w:cstheme="minorHAnsi"/>
          <w:color w:val="000000"/>
        </w:rPr>
        <w:t>1. L’obiettivo del corso è quello di analizzare e approfondire i temi della recente riforma</w:t>
      </w:r>
      <w:r>
        <w:rPr>
          <w:rFonts w:cstheme="minorHAnsi"/>
          <w:color w:val="000000"/>
        </w:rPr>
        <w:t xml:space="preserve"> </w:t>
      </w:r>
      <w:r w:rsidRPr="00B73FD1">
        <w:rPr>
          <w:rFonts w:cstheme="minorHAnsi"/>
          <w:color w:val="000000"/>
        </w:rPr>
        <w:t>dell’ordinamento penitenziario approvata con i decreti legislativi 121,123 e 124 del 2 ottobre 2018 e</w:t>
      </w:r>
      <w:r>
        <w:rPr>
          <w:rFonts w:cstheme="minorHAnsi"/>
          <w:color w:val="000000"/>
        </w:rPr>
        <w:t xml:space="preserve"> </w:t>
      </w:r>
      <w:r w:rsidRPr="00B73FD1">
        <w:rPr>
          <w:rFonts w:cstheme="minorHAnsi"/>
          <w:color w:val="000000"/>
        </w:rPr>
        <w:t>specificatamente l’assistenza sanitaria in ambito penitenziario, i procedimenti davanti al tribunale di</w:t>
      </w:r>
      <w:r>
        <w:rPr>
          <w:rFonts w:cstheme="minorHAnsi"/>
          <w:color w:val="000000"/>
        </w:rPr>
        <w:t xml:space="preserve"> </w:t>
      </w:r>
      <w:r w:rsidRPr="00B73FD1">
        <w:rPr>
          <w:rFonts w:cstheme="minorHAnsi"/>
          <w:color w:val="000000"/>
        </w:rPr>
        <w:t>sorveglianza, l’esecuzione delle pene nei confronti dei minorenni, la vita detentiva e il lavoro</w:t>
      </w:r>
      <w:r>
        <w:rPr>
          <w:rFonts w:cstheme="minorHAnsi"/>
          <w:color w:val="000000"/>
        </w:rPr>
        <w:t xml:space="preserve"> </w:t>
      </w:r>
      <w:r w:rsidRPr="00B73FD1">
        <w:rPr>
          <w:rFonts w:cstheme="minorHAnsi"/>
          <w:color w:val="000000"/>
        </w:rPr>
        <w:t>penitenziario.</w:t>
      </w:r>
    </w:p>
    <w:p w:rsidR="0025509D" w:rsidRPr="00B73FD1" w:rsidRDefault="0025509D" w:rsidP="0025509D">
      <w:pPr>
        <w:autoSpaceDE w:val="0"/>
        <w:autoSpaceDN w:val="0"/>
        <w:adjustRightInd w:val="0"/>
        <w:spacing w:after="0" w:line="20" w:lineRule="atLeast"/>
        <w:jc w:val="both"/>
        <w:rPr>
          <w:rFonts w:cstheme="minorHAnsi"/>
          <w:color w:val="000000"/>
        </w:rPr>
      </w:pPr>
      <w:r w:rsidRPr="00B73FD1">
        <w:rPr>
          <w:rFonts w:cstheme="minorHAnsi"/>
          <w:color w:val="000000"/>
        </w:rPr>
        <w:t>2. Il corso è rivolto a professionisti, operatori pubblici, e del volontariato.</w:t>
      </w:r>
    </w:p>
    <w:p w:rsidR="0025509D" w:rsidRPr="00B73FD1" w:rsidRDefault="0025509D" w:rsidP="0025509D">
      <w:pPr>
        <w:autoSpaceDE w:val="0"/>
        <w:autoSpaceDN w:val="0"/>
        <w:adjustRightInd w:val="0"/>
        <w:spacing w:after="0" w:line="20" w:lineRule="atLeast"/>
        <w:jc w:val="both"/>
        <w:rPr>
          <w:rFonts w:cstheme="minorHAnsi"/>
          <w:color w:val="000000"/>
        </w:rPr>
      </w:pPr>
      <w:r w:rsidRPr="00B73FD1">
        <w:rPr>
          <w:rFonts w:cstheme="minorHAnsi"/>
          <w:color w:val="000000"/>
        </w:rPr>
        <w:t>3. Il corso sarà tenuto presso la sede dell’Istituto “A.C. Jemolo” in Roma, Viale Giulio Cesare, 31 nelle</w:t>
      </w:r>
      <w:r>
        <w:rPr>
          <w:rFonts w:cstheme="minorHAnsi"/>
          <w:color w:val="000000"/>
        </w:rPr>
        <w:t xml:space="preserve"> </w:t>
      </w:r>
      <w:r w:rsidRPr="00B73FD1">
        <w:rPr>
          <w:rFonts w:cstheme="minorHAnsi"/>
          <w:color w:val="000000"/>
        </w:rPr>
        <w:t>giornate di mercoledì 9 ottobre -16 ottobre e martedì 22 ottobre 2019 orario 14,00-18,00 per un totale</w:t>
      </w:r>
      <w:r>
        <w:rPr>
          <w:rFonts w:cstheme="minorHAnsi"/>
          <w:color w:val="000000"/>
        </w:rPr>
        <w:t xml:space="preserve"> </w:t>
      </w:r>
      <w:r w:rsidRPr="00B73FD1">
        <w:rPr>
          <w:rFonts w:cstheme="minorHAnsi"/>
          <w:color w:val="000000"/>
        </w:rPr>
        <w:t>di 12 ore.</w:t>
      </w:r>
    </w:p>
    <w:p w:rsidR="0025509D" w:rsidRPr="00B73FD1" w:rsidRDefault="0025509D" w:rsidP="0025509D">
      <w:pPr>
        <w:autoSpaceDE w:val="0"/>
        <w:autoSpaceDN w:val="0"/>
        <w:adjustRightInd w:val="0"/>
        <w:spacing w:after="0" w:line="20" w:lineRule="atLeast"/>
        <w:jc w:val="both"/>
        <w:rPr>
          <w:rFonts w:cstheme="minorHAnsi"/>
          <w:color w:val="000000"/>
        </w:rPr>
      </w:pPr>
      <w:r w:rsidRPr="00B73FD1">
        <w:rPr>
          <w:rFonts w:cstheme="minorHAnsi"/>
          <w:color w:val="000000"/>
        </w:rPr>
        <w:t xml:space="preserve">4. Le domande di partecipazione al corso dovranno pervenire all’Istituto Jemolo </w:t>
      </w:r>
      <w:r w:rsidRPr="00B73FD1">
        <w:rPr>
          <w:rFonts w:cstheme="minorHAnsi"/>
          <w:b/>
          <w:bCs/>
          <w:color w:val="000000"/>
        </w:rPr>
        <w:t>entro le ore 12.00 del</w:t>
      </w:r>
      <w:r>
        <w:rPr>
          <w:rFonts w:cstheme="minorHAnsi"/>
          <w:b/>
          <w:bCs/>
          <w:color w:val="000000"/>
        </w:rPr>
        <w:t xml:space="preserve"> </w:t>
      </w:r>
      <w:r w:rsidRPr="00B73FD1">
        <w:rPr>
          <w:rFonts w:cstheme="minorHAnsi"/>
          <w:b/>
          <w:bCs/>
          <w:color w:val="000000"/>
        </w:rPr>
        <w:t xml:space="preserve">2 ottobre 2019 </w:t>
      </w:r>
      <w:r w:rsidRPr="00B73FD1">
        <w:rPr>
          <w:rFonts w:cstheme="minorHAnsi"/>
          <w:color w:val="000000"/>
        </w:rPr>
        <w:t xml:space="preserve">tramite mail all’indirizzo </w:t>
      </w:r>
      <w:r w:rsidRPr="00B73FD1">
        <w:rPr>
          <w:rFonts w:cstheme="minorHAnsi"/>
          <w:color w:val="0000FF"/>
        </w:rPr>
        <w:t xml:space="preserve">didattica@jemolo.it </w:t>
      </w:r>
      <w:r w:rsidRPr="00B73FD1">
        <w:rPr>
          <w:rFonts w:cstheme="minorHAnsi"/>
          <w:color w:val="000000"/>
        </w:rPr>
        <w:t>– o consegnate direttamente a mano</w:t>
      </w:r>
      <w:r>
        <w:rPr>
          <w:rFonts w:cstheme="minorHAnsi"/>
          <w:color w:val="000000"/>
        </w:rPr>
        <w:t xml:space="preserve"> </w:t>
      </w:r>
      <w:r w:rsidRPr="00B73FD1">
        <w:rPr>
          <w:rFonts w:cstheme="minorHAnsi"/>
          <w:color w:val="000000"/>
        </w:rPr>
        <w:t>presso la segreteria didattica - utilizzando i modelli allegati al presente bando (Allegato A+D per le</w:t>
      </w:r>
      <w:r>
        <w:rPr>
          <w:rFonts w:cstheme="minorHAnsi"/>
          <w:color w:val="000000"/>
        </w:rPr>
        <w:t xml:space="preserve"> </w:t>
      </w:r>
      <w:r w:rsidRPr="00B73FD1">
        <w:rPr>
          <w:rFonts w:cstheme="minorHAnsi"/>
          <w:color w:val="000000"/>
        </w:rPr>
        <w:t>domande a pagamento/ Allegato B domande gratuite ISEE/ Allegato C domande gratuite regionali).</w:t>
      </w:r>
    </w:p>
    <w:p w:rsidR="0025509D" w:rsidRPr="00B73FD1" w:rsidRDefault="0025509D" w:rsidP="0025509D">
      <w:pPr>
        <w:autoSpaceDE w:val="0"/>
        <w:autoSpaceDN w:val="0"/>
        <w:adjustRightInd w:val="0"/>
        <w:spacing w:after="0" w:line="20" w:lineRule="atLeast"/>
        <w:jc w:val="both"/>
        <w:rPr>
          <w:rFonts w:cstheme="minorHAnsi"/>
          <w:color w:val="000000"/>
        </w:rPr>
      </w:pPr>
      <w:r w:rsidRPr="00B73FD1">
        <w:rPr>
          <w:rFonts w:cstheme="minorHAnsi"/>
          <w:color w:val="000000"/>
        </w:rPr>
        <w:t>5. Per l’ammissione al corso le domande di iscrizione vanno corredate dalla Dichiarazione di Consenso</w:t>
      </w:r>
      <w:r>
        <w:rPr>
          <w:rFonts w:cstheme="minorHAnsi"/>
          <w:color w:val="000000"/>
        </w:rPr>
        <w:t xml:space="preserve"> </w:t>
      </w:r>
      <w:r w:rsidRPr="00B73FD1">
        <w:rPr>
          <w:rFonts w:cstheme="minorHAnsi"/>
          <w:color w:val="000000"/>
        </w:rPr>
        <w:t>(raccolta dati personali finalizzata all’iscrizione al corso - all. E) e dalla Dichiarazione di Consenso –</w:t>
      </w:r>
      <w:r>
        <w:rPr>
          <w:rFonts w:cstheme="minorHAnsi"/>
          <w:color w:val="000000"/>
        </w:rPr>
        <w:t xml:space="preserve"> </w:t>
      </w:r>
      <w:r w:rsidRPr="00B73FD1">
        <w:rPr>
          <w:rFonts w:cstheme="minorHAnsi"/>
          <w:color w:val="000000"/>
        </w:rPr>
        <w:t>(registrazione del corso finalizzata al recupero e approfondimento delle lezioni - all. F) debitamente</w:t>
      </w:r>
      <w:r>
        <w:rPr>
          <w:rFonts w:cstheme="minorHAnsi"/>
          <w:color w:val="000000"/>
        </w:rPr>
        <w:t xml:space="preserve"> </w:t>
      </w:r>
      <w:r w:rsidRPr="00B73FD1">
        <w:rPr>
          <w:rFonts w:cstheme="minorHAnsi"/>
          <w:color w:val="000000"/>
        </w:rPr>
        <w:t>firmate. Le relative informative sul trattamento dei dati personali da parte dell’Istituto Jemolo ai sensi</w:t>
      </w:r>
      <w:r>
        <w:rPr>
          <w:rFonts w:cstheme="minorHAnsi"/>
          <w:color w:val="000000"/>
        </w:rPr>
        <w:t xml:space="preserve"> </w:t>
      </w:r>
      <w:r w:rsidRPr="00B73FD1">
        <w:rPr>
          <w:rFonts w:cstheme="minorHAnsi"/>
          <w:color w:val="000000"/>
        </w:rPr>
        <w:t>del G.D.P.R. 679/2016 sono reperibili sul sito www.jemolo.it nella sezione didattica - corsi –</w:t>
      </w:r>
      <w:r>
        <w:rPr>
          <w:rFonts w:cstheme="minorHAnsi"/>
          <w:color w:val="000000"/>
        </w:rPr>
        <w:t xml:space="preserve"> </w:t>
      </w:r>
      <w:r w:rsidRPr="00B73FD1">
        <w:rPr>
          <w:rFonts w:cstheme="minorHAnsi"/>
          <w:color w:val="000000"/>
        </w:rPr>
        <w:t>iscrizioni, come allegati al corrispondente bando in oggetto.</w:t>
      </w:r>
    </w:p>
    <w:p w:rsidR="0025509D" w:rsidRPr="00B73FD1" w:rsidRDefault="0025509D" w:rsidP="0025509D">
      <w:pPr>
        <w:autoSpaceDE w:val="0"/>
        <w:autoSpaceDN w:val="0"/>
        <w:adjustRightInd w:val="0"/>
        <w:spacing w:after="0" w:line="20" w:lineRule="atLeast"/>
        <w:jc w:val="both"/>
        <w:rPr>
          <w:rFonts w:cstheme="minorHAnsi"/>
          <w:color w:val="000000"/>
        </w:rPr>
      </w:pPr>
      <w:r w:rsidRPr="00B73FD1">
        <w:rPr>
          <w:rFonts w:cstheme="minorHAnsi"/>
          <w:color w:val="000000"/>
        </w:rPr>
        <w:t>6. La graduatoria degli ammessi – qualora il numero delle domande dovesse superare il numero di posti</w:t>
      </w:r>
      <w:r>
        <w:rPr>
          <w:rFonts w:cstheme="minorHAnsi"/>
          <w:color w:val="000000"/>
        </w:rPr>
        <w:t xml:space="preserve"> </w:t>
      </w:r>
      <w:r w:rsidRPr="00B73FD1">
        <w:rPr>
          <w:rFonts w:cstheme="minorHAnsi"/>
          <w:color w:val="000000"/>
        </w:rPr>
        <w:t>disponibili - sarà formulata in base alla data di presentazione delle domande e al numero di protocollo</w:t>
      </w:r>
      <w:r>
        <w:rPr>
          <w:rFonts w:cstheme="minorHAnsi"/>
          <w:color w:val="000000"/>
        </w:rPr>
        <w:t xml:space="preserve"> </w:t>
      </w:r>
      <w:r w:rsidRPr="00B73FD1">
        <w:rPr>
          <w:rFonts w:cstheme="minorHAnsi"/>
          <w:color w:val="000000"/>
        </w:rPr>
        <w:t xml:space="preserve">attribuito. La graduatoria sarà pubblicata sul sito dell’Istituto </w:t>
      </w:r>
      <w:hyperlink r:id="rId9" w:history="1">
        <w:r w:rsidRPr="009C4EF5">
          <w:rPr>
            <w:rStyle w:val="Collegamentoipertestuale"/>
            <w:rFonts w:cstheme="minorHAnsi"/>
          </w:rPr>
          <w:t>www.jemolo.it</w:t>
        </w:r>
      </w:hyperlink>
      <w:r w:rsidRPr="00B73FD1">
        <w:rPr>
          <w:rFonts w:cstheme="minorHAnsi"/>
          <w:color w:val="000000"/>
        </w:rPr>
        <w:t>.</w:t>
      </w:r>
      <w:r>
        <w:rPr>
          <w:rFonts w:cstheme="minorHAnsi"/>
          <w:color w:val="000000"/>
        </w:rPr>
        <w:t xml:space="preserve"> </w:t>
      </w:r>
      <w:r w:rsidRPr="00B73FD1">
        <w:rPr>
          <w:rFonts w:cstheme="minorHAnsi"/>
          <w:color w:val="000000"/>
        </w:rPr>
        <w:t xml:space="preserve">7. Gli ammessi al corso dovranno versare, </w:t>
      </w:r>
      <w:r w:rsidRPr="00B73FD1">
        <w:rPr>
          <w:rFonts w:cstheme="minorHAnsi"/>
          <w:b/>
          <w:bCs/>
          <w:color w:val="000000"/>
        </w:rPr>
        <w:t>dopo l’uscita della graduatoria e comunque prima</w:t>
      </w:r>
      <w:r>
        <w:rPr>
          <w:rFonts w:cstheme="minorHAnsi"/>
          <w:b/>
          <w:bCs/>
          <w:color w:val="000000"/>
        </w:rPr>
        <w:t xml:space="preserve"> </w:t>
      </w:r>
      <w:r w:rsidRPr="00B73FD1">
        <w:rPr>
          <w:rFonts w:cstheme="minorHAnsi"/>
          <w:b/>
          <w:bCs/>
          <w:color w:val="000000"/>
        </w:rPr>
        <w:t>dell’inizio del corso</w:t>
      </w:r>
      <w:r w:rsidRPr="00B73FD1">
        <w:rPr>
          <w:rFonts w:cstheme="minorHAnsi"/>
          <w:color w:val="000000"/>
        </w:rPr>
        <w:t>, in unica soluzione pena l’esclusione dal corso, la quota di partecipazione a titolo</w:t>
      </w:r>
      <w:r>
        <w:rPr>
          <w:rFonts w:cstheme="minorHAnsi"/>
          <w:color w:val="000000"/>
        </w:rPr>
        <w:t xml:space="preserve"> </w:t>
      </w:r>
      <w:r w:rsidRPr="00B73FD1">
        <w:rPr>
          <w:rFonts w:cstheme="minorHAnsi"/>
          <w:color w:val="000000"/>
        </w:rPr>
        <w:t>di contributo spese, pari ad € 200,00 (euroduecento/00);</w:t>
      </w:r>
    </w:p>
    <w:p w:rsidR="0025509D" w:rsidRPr="00B73FD1" w:rsidRDefault="0025509D" w:rsidP="0025509D">
      <w:pPr>
        <w:autoSpaceDE w:val="0"/>
        <w:autoSpaceDN w:val="0"/>
        <w:adjustRightInd w:val="0"/>
        <w:spacing w:after="0" w:line="20" w:lineRule="atLeast"/>
        <w:jc w:val="both"/>
        <w:rPr>
          <w:rFonts w:cstheme="minorHAnsi"/>
          <w:color w:val="000000"/>
        </w:rPr>
      </w:pPr>
      <w:r w:rsidRPr="00B73FD1">
        <w:rPr>
          <w:rFonts w:cstheme="minorHAnsi"/>
          <w:color w:val="000000"/>
        </w:rPr>
        <w:t>8. Gli iscritti ad organizzazioni che hanno stipulato accordi e convenzioni con l’Istituto Jemolo che</w:t>
      </w:r>
      <w:r>
        <w:rPr>
          <w:rFonts w:cstheme="minorHAnsi"/>
          <w:color w:val="000000"/>
        </w:rPr>
        <w:t xml:space="preserve"> </w:t>
      </w:r>
      <w:r w:rsidRPr="00B73FD1">
        <w:rPr>
          <w:rFonts w:cstheme="minorHAnsi"/>
          <w:color w:val="000000"/>
        </w:rPr>
        <w:t>prevedano sconti ed agevolazioni per l’iscrizione ai corsi usufruiranno delle agevolazioni previste</w:t>
      </w:r>
      <w:r>
        <w:rPr>
          <w:rFonts w:cstheme="minorHAnsi"/>
          <w:color w:val="000000"/>
        </w:rPr>
        <w:t xml:space="preserve"> </w:t>
      </w:r>
      <w:r w:rsidRPr="00B73FD1">
        <w:rPr>
          <w:rFonts w:cstheme="minorHAnsi"/>
          <w:color w:val="000000"/>
        </w:rPr>
        <w:t>dalle rispettive convenzioni e dovranno dichiarare nella domanda di iscrizione l’organizzazione a cui</w:t>
      </w:r>
      <w:r>
        <w:rPr>
          <w:rFonts w:cstheme="minorHAnsi"/>
          <w:color w:val="000000"/>
        </w:rPr>
        <w:t xml:space="preserve"> </w:t>
      </w:r>
      <w:r w:rsidRPr="00B73FD1">
        <w:rPr>
          <w:rFonts w:cstheme="minorHAnsi"/>
          <w:color w:val="000000"/>
        </w:rPr>
        <w:t>sono iscritti. L’Istituto si riserva la verifica dell’esistenza delle condizioni che danno diritto alle</w:t>
      </w:r>
      <w:r>
        <w:rPr>
          <w:rFonts w:cstheme="minorHAnsi"/>
          <w:color w:val="000000"/>
        </w:rPr>
        <w:t xml:space="preserve"> </w:t>
      </w:r>
      <w:r w:rsidRPr="00B73FD1">
        <w:rPr>
          <w:rFonts w:cstheme="minorHAnsi"/>
          <w:color w:val="000000"/>
        </w:rPr>
        <w:t>agevolazioni.</w:t>
      </w:r>
    </w:p>
    <w:p w:rsidR="0025509D" w:rsidRPr="00B73FD1" w:rsidRDefault="0025509D" w:rsidP="0025509D">
      <w:pPr>
        <w:autoSpaceDE w:val="0"/>
        <w:autoSpaceDN w:val="0"/>
        <w:adjustRightInd w:val="0"/>
        <w:spacing w:after="0" w:line="20" w:lineRule="atLeast"/>
        <w:jc w:val="both"/>
        <w:rPr>
          <w:rFonts w:cstheme="minorHAnsi"/>
          <w:color w:val="000000"/>
        </w:rPr>
      </w:pPr>
      <w:r w:rsidRPr="00B73FD1">
        <w:rPr>
          <w:rFonts w:cstheme="minorHAnsi"/>
          <w:color w:val="000000"/>
        </w:rPr>
        <w:t>9. L’Istituto Jemolo riserverà l’ammissione gratuita al corso a 5 partecipanti con reddito ISEE inferiore</w:t>
      </w:r>
      <w:r>
        <w:rPr>
          <w:rFonts w:cstheme="minorHAnsi"/>
          <w:color w:val="000000"/>
        </w:rPr>
        <w:t xml:space="preserve"> </w:t>
      </w:r>
      <w:r w:rsidRPr="00B73FD1">
        <w:rPr>
          <w:rFonts w:cstheme="minorHAnsi"/>
          <w:color w:val="000000"/>
        </w:rPr>
        <w:t>a € 20.000,00 individuati sulla base dei curricula e dell’attestazione isee che dovranno essere allegati</w:t>
      </w:r>
      <w:r>
        <w:rPr>
          <w:rFonts w:cstheme="minorHAnsi"/>
          <w:color w:val="000000"/>
        </w:rPr>
        <w:t xml:space="preserve"> </w:t>
      </w:r>
      <w:r w:rsidRPr="00B73FD1">
        <w:rPr>
          <w:rFonts w:cstheme="minorHAnsi"/>
          <w:color w:val="000000"/>
        </w:rPr>
        <w:t>alla domanda. I partecipanti che richiedono l’ammissione al corso a titolo gratuito dovranno inviare</w:t>
      </w:r>
      <w:r>
        <w:rPr>
          <w:rFonts w:cstheme="minorHAnsi"/>
          <w:color w:val="000000"/>
        </w:rPr>
        <w:t xml:space="preserve"> </w:t>
      </w:r>
      <w:r w:rsidRPr="00B73FD1">
        <w:rPr>
          <w:rFonts w:cstheme="minorHAnsi"/>
          <w:color w:val="000000"/>
        </w:rPr>
        <w:t>all’Istituto Jemolo la domanda di partecipazione utilizzando il modello allegato al presente bando</w:t>
      </w:r>
      <w:r>
        <w:rPr>
          <w:rFonts w:cstheme="minorHAnsi"/>
          <w:color w:val="000000"/>
        </w:rPr>
        <w:t xml:space="preserve"> </w:t>
      </w:r>
      <w:r w:rsidRPr="00B73FD1">
        <w:rPr>
          <w:rFonts w:cstheme="minorHAnsi"/>
          <w:color w:val="000000"/>
        </w:rPr>
        <w:t>(Allegato B) secondo le modalità riportate al precedente punto 4). L’ammissione gratuita al corso</w:t>
      </w:r>
      <w:r>
        <w:rPr>
          <w:rFonts w:cstheme="minorHAnsi"/>
          <w:color w:val="000000"/>
        </w:rPr>
        <w:t xml:space="preserve"> </w:t>
      </w:r>
      <w:r w:rsidRPr="00B73FD1">
        <w:rPr>
          <w:rFonts w:cstheme="minorHAnsi"/>
          <w:color w:val="000000"/>
        </w:rPr>
        <w:t>sarà assegnata dal Direttore amministrativo dell’Istituto ai 5 partecipanti che risulteranno ai primi 5</w:t>
      </w:r>
      <w:r>
        <w:rPr>
          <w:rFonts w:cstheme="minorHAnsi"/>
          <w:color w:val="000000"/>
        </w:rPr>
        <w:t xml:space="preserve"> </w:t>
      </w:r>
      <w:r w:rsidRPr="00B73FD1">
        <w:rPr>
          <w:rFonts w:cstheme="minorHAnsi"/>
          <w:color w:val="000000"/>
        </w:rPr>
        <w:t>posti della graduatoria che sarà predisposta dal Responsabile del procedimento utilizzando i seguenti</w:t>
      </w:r>
      <w:r>
        <w:rPr>
          <w:rFonts w:cstheme="minorHAnsi"/>
          <w:color w:val="000000"/>
        </w:rPr>
        <w:t xml:space="preserve"> </w:t>
      </w:r>
      <w:r w:rsidRPr="00B73FD1">
        <w:rPr>
          <w:rFonts w:cstheme="minorHAnsi"/>
          <w:color w:val="000000"/>
        </w:rPr>
        <w:t>criteri:</w:t>
      </w:r>
    </w:p>
    <w:p w:rsidR="0025509D" w:rsidRPr="00B73FD1" w:rsidRDefault="0025509D" w:rsidP="0025509D">
      <w:pPr>
        <w:autoSpaceDE w:val="0"/>
        <w:autoSpaceDN w:val="0"/>
        <w:adjustRightInd w:val="0"/>
        <w:spacing w:after="0" w:line="20" w:lineRule="atLeast"/>
        <w:jc w:val="both"/>
        <w:rPr>
          <w:rFonts w:cstheme="minorHAnsi"/>
          <w:color w:val="000000"/>
        </w:rPr>
      </w:pPr>
      <w:r w:rsidRPr="00B73FD1">
        <w:rPr>
          <w:rFonts w:cstheme="minorHAnsi"/>
          <w:color w:val="000000"/>
        </w:rPr>
        <w:t>A parità di punteggio la priorità sarà assegnata in base alla data di presentazione e al numero di</w:t>
      </w:r>
      <w:r>
        <w:rPr>
          <w:rFonts w:cstheme="minorHAnsi"/>
          <w:color w:val="000000"/>
        </w:rPr>
        <w:t xml:space="preserve"> </w:t>
      </w:r>
      <w:r w:rsidRPr="00B73FD1">
        <w:rPr>
          <w:rFonts w:cstheme="minorHAnsi"/>
          <w:color w:val="000000"/>
        </w:rPr>
        <w:t>protocollo attribuito alle domande di ammissione al beneficio.</w:t>
      </w:r>
    </w:p>
    <w:p w:rsidR="0025509D" w:rsidRPr="00B73FD1" w:rsidRDefault="0025509D" w:rsidP="0025509D">
      <w:pPr>
        <w:autoSpaceDE w:val="0"/>
        <w:autoSpaceDN w:val="0"/>
        <w:adjustRightInd w:val="0"/>
        <w:spacing w:after="0" w:line="20" w:lineRule="atLeast"/>
        <w:jc w:val="both"/>
        <w:rPr>
          <w:rFonts w:cstheme="minorHAnsi"/>
          <w:color w:val="000000"/>
        </w:rPr>
      </w:pPr>
      <w:r w:rsidRPr="00B73FD1">
        <w:rPr>
          <w:rFonts w:cstheme="minorHAnsi"/>
          <w:color w:val="000000"/>
        </w:rPr>
        <w:t>10. I soggetti non ammessi all’iscrizione a titolo gratuito potranno partecipare al corso come soggetti</w:t>
      </w:r>
      <w:r>
        <w:rPr>
          <w:rFonts w:cstheme="minorHAnsi"/>
          <w:color w:val="000000"/>
        </w:rPr>
        <w:t xml:space="preserve"> </w:t>
      </w:r>
      <w:r w:rsidRPr="00B73FD1">
        <w:rPr>
          <w:rFonts w:cstheme="minorHAnsi"/>
          <w:color w:val="000000"/>
        </w:rPr>
        <w:t>paganti solo se avranno inviato anche la domanda di ammissione al corso a pagamento e risultino</w:t>
      </w:r>
      <w:r>
        <w:rPr>
          <w:rFonts w:cstheme="minorHAnsi"/>
          <w:color w:val="000000"/>
        </w:rPr>
        <w:t xml:space="preserve"> </w:t>
      </w:r>
      <w:r w:rsidRPr="00B73FD1">
        <w:rPr>
          <w:rFonts w:cstheme="minorHAnsi"/>
          <w:color w:val="000000"/>
        </w:rPr>
        <w:t>utilmente collocati in graduatoria di cui all’art. 6) del presente bando.</w:t>
      </w:r>
    </w:p>
    <w:p w:rsidR="0025509D" w:rsidRPr="00B73FD1" w:rsidRDefault="0025509D" w:rsidP="0025509D">
      <w:pPr>
        <w:autoSpaceDE w:val="0"/>
        <w:autoSpaceDN w:val="0"/>
        <w:adjustRightInd w:val="0"/>
        <w:spacing w:after="0" w:line="20" w:lineRule="atLeast"/>
        <w:jc w:val="both"/>
        <w:rPr>
          <w:rFonts w:cstheme="minorHAnsi"/>
          <w:color w:val="000000"/>
        </w:rPr>
      </w:pPr>
      <w:r w:rsidRPr="00B73FD1">
        <w:rPr>
          <w:rFonts w:cstheme="minorHAnsi"/>
          <w:color w:val="000000"/>
        </w:rPr>
        <w:t>11. L’Istituto Jemolo riserverà inoltre 5 posti per l’ammissione gratuita al corso a dipendenti della</w:t>
      </w:r>
      <w:r>
        <w:rPr>
          <w:rFonts w:cstheme="minorHAnsi"/>
          <w:color w:val="000000"/>
        </w:rPr>
        <w:t xml:space="preserve"> </w:t>
      </w:r>
      <w:r w:rsidRPr="00B73FD1">
        <w:rPr>
          <w:rFonts w:cstheme="minorHAnsi"/>
          <w:color w:val="000000"/>
        </w:rPr>
        <w:t>Regione Lazio autorizzati dai Direttori regionali delle Direzioni di appartenenza.</w:t>
      </w:r>
    </w:p>
    <w:p w:rsidR="0025509D" w:rsidRPr="00B73FD1" w:rsidRDefault="0025509D" w:rsidP="0025509D">
      <w:pPr>
        <w:autoSpaceDE w:val="0"/>
        <w:autoSpaceDN w:val="0"/>
        <w:adjustRightInd w:val="0"/>
        <w:spacing w:after="0" w:line="20" w:lineRule="atLeast"/>
        <w:jc w:val="both"/>
        <w:rPr>
          <w:rFonts w:cstheme="minorHAnsi"/>
          <w:color w:val="000000"/>
        </w:rPr>
      </w:pPr>
      <w:r w:rsidRPr="00B73FD1">
        <w:rPr>
          <w:rFonts w:cstheme="minorHAnsi"/>
          <w:color w:val="000000"/>
        </w:rPr>
        <w:t>12. I dipendenti regionali che richiedono l’ammissione al corso a titolo gratuito dovranno inviare</w:t>
      </w:r>
      <w:r>
        <w:rPr>
          <w:rFonts w:cstheme="minorHAnsi"/>
          <w:color w:val="000000"/>
        </w:rPr>
        <w:t xml:space="preserve"> </w:t>
      </w:r>
      <w:r w:rsidRPr="00B73FD1">
        <w:rPr>
          <w:rFonts w:cstheme="minorHAnsi"/>
          <w:color w:val="000000"/>
        </w:rPr>
        <w:t xml:space="preserve">all’Istituto Jemolo la domanda di partecipazione </w:t>
      </w:r>
      <w:r w:rsidRPr="00B73FD1">
        <w:rPr>
          <w:rFonts w:cstheme="minorHAnsi"/>
          <w:b/>
          <w:bCs/>
          <w:color w:val="000000"/>
        </w:rPr>
        <w:t>secondo le modalità riportate nel precedente</w:t>
      </w:r>
      <w:r>
        <w:rPr>
          <w:rFonts w:cstheme="minorHAnsi"/>
          <w:b/>
          <w:bCs/>
          <w:color w:val="000000"/>
        </w:rPr>
        <w:t xml:space="preserve"> </w:t>
      </w:r>
      <w:r w:rsidRPr="00B73FD1">
        <w:rPr>
          <w:rFonts w:cstheme="minorHAnsi"/>
          <w:b/>
          <w:bCs/>
          <w:color w:val="000000"/>
        </w:rPr>
        <w:t xml:space="preserve">punto 4). </w:t>
      </w:r>
      <w:r w:rsidRPr="00B73FD1">
        <w:rPr>
          <w:rFonts w:cstheme="minorHAnsi"/>
          <w:color w:val="000000"/>
        </w:rPr>
        <w:t>La priorità sarà assegnata in base alla data di presentazione delle domande e al numero di</w:t>
      </w:r>
      <w:r>
        <w:rPr>
          <w:rFonts w:cstheme="minorHAnsi"/>
          <w:color w:val="000000"/>
        </w:rPr>
        <w:t xml:space="preserve"> </w:t>
      </w:r>
      <w:r w:rsidRPr="00B73FD1">
        <w:rPr>
          <w:rFonts w:cstheme="minorHAnsi"/>
          <w:color w:val="000000"/>
        </w:rPr>
        <w:t>protocollo attribuito alle domande di ammissione.</w:t>
      </w:r>
    </w:p>
    <w:p w:rsidR="0025509D" w:rsidRPr="00B73FD1" w:rsidRDefault="0025509D" w:rsidP="0025509D">
      <w:pPr>
        <w:autoSpaceDE w:val="0"/>
        <w:autoSpaceDN w:val="0"/>
        <w:adjustRightInd w:val="0"/>
        <w:spacing w:after="0" w:line="20" w:lineRule="atLeast"/>
        <w:jc w:val="both"/>
        <w:rPr>
          <w:rFonts w:cstheme="minorHAnsi"/>
          <w:color w:val="000000"/>
        </w:rPr>
      </w:pPr>
      <w:r w:rsidRPr="00B73FD1">
        <w:rPr>
          <w:rFonts w:cstheme="minorHAnsi"/>
          <w:color w:val="000000"/>
        </w:rPr>
        <w:lastRenderedPageBreak/>
        <w:t>13. I partecipanti sono tenuti all’effettiva frequenza e non possono effettuare assenze in misura superiore</w:t>
      </w:r>
      <w:r>
        <w:rPr>
          <w:rFonts w:cstheme="minorHAnsi"/>
          <w:color w:val="000000"/>
        </w:rPr>
        <w:t xml:space="preserve"> </w:t>
      </w:r>
      <w:r w:rsidRPr="00B73FD1">
        <w:rPr>
          <w:rFonts w:cstheme="minorHAnsi"/>
          <w:color w:val="000000"/>
        </w:rPr>
        <w:t>al 20% delle ore di lezione. Al superamento della quota di assenze precedentemente indicata l’Istituto</w:t>
      </w:r>
      <w:r>
        <w:rPr>
          <w:rFonts w:cstheme="minorHAnsi"/>
          <w:color w:val="000000"/>
        </w:rPr>
        <w:t xml:space="preserve"> </w:t>
      </w:r>
      <w:r w:rsidRPr="00B73FD1">
        <w:rPr>
          <w:rFonts w:cstheme="minorHAnsi"/>
          <w:color w:val="000000"/>
        </w:rPr>
        <w:t>avrà la facoltà di interrompere la partecipazione al corso del partecipante che abbia superato tale</w:t>
      </w:r>
      <w:r>
        <w:rPr>
          <w:rFonts w:cstheme="minorHAnsi"/>
          <w:color w:val="000000"/>
        </w:rPr>
        <w:t xml:space="preserve"> </w:t>
      </w:r>
      <w:r w:rsidRPr="00B73FD1">
        <w:rPr>
          <w:rFonts w:cstheme="minorHAnsi"/>
          <w:color w:val="000000"/>
        </w:rPr>
        <w:t>quota.</w:t>
      </w:r>
    </w:p>
    <w:p w:rsidR="0025509D" w:rsidRDefault="0025509D" w:rsidP="0025509D">
      <w:pPr>
        <w:autoSpaceDE w:val="0"/>
        <w:autoSpaceDN w:val="0"/>
        <w:adjustRightInd w:val="0"/>
        <w:spacing w:after="0" w:line="20" w:lineRule="atLeast"/>
        <w:jc w:val="both"/>
        <w:rPr>
          <w:rFonts w:cstheme="minorHAnsi"/>
          <w:color w:val="000000"/>
        </w:rPr>
      </w:pPr>
      <w:r w:rsidRPr="00B73FD1">
        <w:rPr>
          <w:rFonts w:cstheme="minorHAnsi"/>
          <w:color w:val="000000"/>
        </w:rPr>
        <w:t>14. L’Istituto “A. C. Jemolo” si riserva la facoltà di non attivare o rimodulare il corso alla luce delle</w:t>
      </w:r>
      <w:r>
        <w:rPr>
          <w:rFonts w:cstheme="minorHAnsi"/>
          <w:color w:val="000000"/>
        </w:rPr>
        <w:t xml:space="preserve"> </w:t>
      </w:r>
      <w:r w:rsidRPr="00B73FD1">
        <w:rPr>
          <w:rFonts w:cstheme="minorHAnsi"/>
          <w:color w:val="000000"/>
        </w:rPr>
        <w:t>domande pervenute.</w:t>
      </w:r>
    </w:p>
    <w:p w:rsidR="00D272D7" w:rsidRDefault="00D272D7" w:rsidP="0025509D">
      <w:pPr>
        <w:autoSpaceDE w:val="0"/>
        <w:autoSpaceDN w:val="0"/>
        <w:adjustRightInd w:val="0"/>
        <w:spacing w:after="0" w:line="20" w:lineRule="atLeast"/>
        <w:jc w:val="both"/>
        <w:rPr>
          <w:rFonts w:cstheme="minorHAnsi"/>
          <w:color w:val="000000"/>
        </w:rPr>
      </w:pPr>
    </w:p>
    <w:p w:rsidR="00D272D7" w:rsidRPr="00D272D7" w:rsidRDefault="00D272D7" w:rsidP="00D272D7">
      <w:pPr>
        <w:autoSpaceDE w:val="0"/>
        <w:autoSpaceDN w:val="0"/>
        <w:adjustRightInd w:val="0"/>
        <w:spacing w:after="0" w:line="20" w:lineRule="atLeast"/>
        <w:jc w:val="both"/>
      </w:pPr>
      <w:r w:rsidRPr="00D272D7">
        <w:rPr>
          <w:b/>
        </w:rPr>
        <w:t>Determinazione 1 agosto 2019, n. G</w:t>
      </w:r>
      <w:proofErr w:type="gramStart"/>
      <w:r w:rsidRPr="00D272D7">
        <w:rPr>
          <w:b/>
        </w:rPr>
        <w:t>10546</w:t>
      </w:r>
      <w:r w:rsidRPr="00D272D7">
        <w:t>,  Centro</w:t>
      </w:r>
      <w:proofErr w:type="gramEnd"/>
      <w:r w:rsidRPr="00D272D7">
        <w:t xml:space="preserve"> di giustizia riparativa e di mediazione penale minorile". Presa d'atto dei lavori della Commissione giudicatrice e riesame documentazione amministrativa di IBIS Soc. coop. Sociale RL. </w:t>
      </w:r>
      <w:proofErr w:type="gramStart"/>
      <w:r w:rsidRPr="00D272D7">
        <w:t>relativamente</w:t>
      </w:r>
      <w:proofErr w:type="gramEnd"/>
      <w:r w:rsidRPr="00D272D7">
        <w:t xml:space="preserve"> al possesso dei requisiti di partecipazione di cui all'art. 3 comma 3 del Disciplinare di gara approvato con Determinazione n. G17625/2018. Esclusione dalle fasi successive della procedura negoziata di IBIS - Soc. coop. Sociale RL. CIG 7739570F32. (BUR n. 66 del 16.8.19)</w:t>
      </w:r>
    </w:p>
    <w:p w:rsidR="00D272D7" w:rsidRPr="00D272D7" w:rsidRDefault="00D272D7" w:rsidP="00D272D7">
      <w:pPr>
        <w:autoSpaceDE w:val="0"/>
        <w:autoSpaceDN w:val="0"/>
        <w:adjustRightInd w:val="0"/>
        <w:spacing w:after="0" w:line="20" w:lineRule="atLeast"/>
        <w:jc w:val="both"/>
        <w:rPr>
          <w:b/>
        </w:rPr>
      </w:pPr>
      <w:r w:rsidRPr="00D272D7">
        <w:rPr>
          <w:b/>
        </w:rPr>
        <w:t>Note</w:t>
      </w:r>
    </w:p>
    <w:p w:rsidR="00D272D7" w:rsidRPr="00D272D7" w:rsidRDefault="00D272D7" w:rsidP="00D272D7">
      <w:pPr>
        <w:autoSpaceDE w:val="0"/>
        <w:autoSpaceDN w:val="0"/>
        <w:adjustRightInd w:val="0"/>
        <w:spacing w:after="0" w:line="20" w:lineRule="atLeast"/>
        <w:jc w:val="both"/>
      </w:pPr>
      <w:r w:rsidRPr="00D272D7">
        <w:t>Viene preso atto del Verbale n. 4 del 24 giugno 2019, trasmesso al RUP dal Presidente della Commissione giudicatrice, con cui si sospende la valutazione dell’offerta tecnica presentata dalla Soc. Coop. Sociale Ibis, rimettendo gli atti al RUP per un riesame del possesso dei requisiti di partecipazione di cui all’art. 3 comma 3 del Disciplinare di gara.</w:t>
      </w:r>
    </w:p>
    <w:p w:rsidR="00D272D7" w:rsidRPr="00D272D7" w:rsidRDefault="00D272D7" w:rsidP="00D272D7">
      <w:pPr>
        <w:autoSpaceDE w:val="0"/>
        <w:autoSpaceDN w:val="0"/>
        <w:adjustRightInd w:val="0"/>
        <w:spacing w:after="0" w:line="20" w:lineRule="atLeast"/>
        <w:jc w:val="both"/>
      </w:pPr>
      <w:r w:rsidRPr="00D272D7">
        <w:t xml:space="preserve">Viene </w:t>
      </w:r>
      <w:proofErr w:type="gramStart"/>
      <w:r w:rsidRPr="00D272D7">
        <w:t>altresì  preso</w:t>
      </w:r>
      <w:proofErr w:type="gramEnd"/>
      <w:r w:rsidRPr="00D272D7">
        <w:t xml:space="preserve"> atto del riesame da parte del RUP della documentazione amministrativa presentata dalla Soc. Coop. Sociale Ibis.</w:t>
      </w:r>
    </w:p>
    <w:p w:rsidR="00D272D7" w:rsidRPr="00D272D7" w:rsidRDefault="00D272D7" w:rsidP="00D272D7">
      <w:pPr>
        <w:autoSpaceDE w:val="0"/>
        <w:autoSpaceDN w:val="0"/>
        <w:adjustRightInd w:val="0"/>
        <w:spacing w:after="0" w:line="20" w:lineRule="atLeast"/>
        <w:jc w:val="both"/>
      </w:pPr>
      <w:r w:rsidRPr="00D272D7">
        <w:t>Viene esclusa dalle fasi successive della procedura negoziata la Soc. Coop. Sociale Ibis, a seguito del riesame da parte del RUP e della effettiva verifica relativa alla non coerenza e alla non corrispondenza tra le dichiarazioni contenute nella busta amministrativa, in particolare con quanto affermato nell’Allegato 4 (Schema dichiarazioni Amministrative), nell’Allegato 6 (DGUE) e nell’ elenco dettagliato dei principali servizi effettuati per tre anni nell’ultimo quinquennio, e quanto emerso dalle valutazioni dell’offerta tecnica, relativamente ai requisiti di partecipazione di cui all’art. 3 comma 3 del Disciplinare di gara.</w:t>
      </w:r>
    </w:p>
    <w:p w:rsidR="00D272D7" w:rsidRDefault="00D272D7" w:rsidP="00D272D7">
      <w:pPr>
        <w:autoSpaceDE w:val="0"/>
        <w:autoSpaceDN w:val="0"/>
        <w:adjustRightInd w:val="0"/>
        <w:spacing w:after="0" w:line="20" w:lineRule="atLeast"/>
        <w:jc w:val="both"/>
      </w:pPr>
      <w:r w:rsidRPr="00D272D7">
        <w:t>La Commissione giudicatrice non procederà alla valutazione dell’offerta tecnica presentata dal soggetto in questione e all’attribuzione dei relativi punteggi.</w:t>
      </w:r>
    </w:p>
    <w:p w:rsidR="00F23649" w:rsidRDefault="00F23649" w:rsidP="00D272D7">
      <w:pPr>
        <w:autoSpaceDE w:val="0"/>
        <w:autoSpaceDN w:val="0"/>
        <w:adjustRightInd w:val="0"/>
        <w:spacing w:after="0" w:line="20" w:lineRule="atLeast"/>
        <w:jc w:val="both"/>
      </w:pPr>
    </w:p>
    <w:p w:rsidR="00F23649" w:rsidRDefault="00F23649" w:rsidP="00F23649">
      <w:pPr>
        <w:spacing w:after="0" w:line="20" w:lineRule="atLeast"/>
        <w:jc w:val="both"/>
      </w:pPr>
      <w:r w:rsidRPr="00F23649">
        <w:rPr>
          <w:b/>
        </w:rPr>
        <w:t xml:space="preserve">DGR  6 agosto 2019, n. </w:t>
      </w:r>
      <w:proofErr w:type="gramStart"/>
      <w:r w:rsidRPr="00F23649">
        <w:rPr>
          <w:b/>
        </w:rPr>
        <w:t>605</w:t>
      </w:r>
      <w:r>
        <w:t xml:space="preserve"> ,</w:t>
      </w:r>
      <w:proofErr w:type="gramEnd"/>
      <w:r>
        <w:t xml:space="preserve">  Approvazione schema di Protocollo d'intesa tra Regione Lazio, Comune di Roma Capitale e Raggruppamento delle Istituzioni Pubbliche di Assistenza e Beneficenza Opera Pia Asilo Savoia, Pio Istituto SS. Annunziata e Opera Pia Lascito Giovanni e Margherita Achillini per il rapporto di collaborazione interistituzionale finalizzato alla realizzazione di interventi volti a sostenere il progetto di convivenza protetta per genitori con figli denominato "Casa di Leda". (BUR n. 70 del 29.8.19)</w:t>
      </w:r>
    </w:p>
    <w:p w:rsidR="00F23649" w:rsidRPr="0055374E" w:rsidRDefault="0055374E" w:rsidP="00F23649">
      <w:pPr>
        <w:spacing w:after="0" w:line="20" w:lineRule="atLeast"/>
        <w:jc w:val="both"/>
        <w:rPr>
          <w:b/>
        </w:rPr>
      </w:pPr>
      <w:r w:rsidRPr="0055374E">
        <w:rPr>
          <w:b/>
        </w:rPr>
        <w:t>Note</w:t>
      </w:r>
    </w:p>
    <w:p w:rsidR="00F23649" w:rsidRDefault="00F23649" w:rsidP="00F23649">
      <w:pPr>
        <w:spacing w:after="0" w:line="20" w:lineRule="atLeast"/>
        <w:jc w:val="both"/>
      </w:pPr>
      <w:r>
        <w:t>Viene</w:t>
      </w:r>
      <w:r w:rsidR="0055374E">
        <w:t xml:space="preserve"> </w:t>
      </w:r>
      <w:r>
        <w:t xml:space="preserve"> stabili</w:t>
      </w:r>
      <w:r w:rsidR="0055374E">
        <w:t xml:space="preserve">to </w:t>
      </w:r>
      <w:r>
        <w:t xml:space="preserve"> un</w:t>
      </w:r>
      <w:r w:rsidR="0055374E">
        <w:t xml:space="preserve">o specifico </w:t>
      </w:r>
      <w:r>
        <w:t xml:space="preserve"> percorso mediante un accordo istituzionale tra Regione Lazio, Comune di Roma Capitale e Raggruppamento delle Istituzioni Pubbliche di Assistenza e Beneficenza Opera Pia Asilo Savoia, Pio Istituto SS. Annunziata e Opera Pia Lascito Giovanni e Margherita Achillini per l’adozione di un Protocollo d’Intesa, che abbia come obiettivo congiunto la prosecuzione del progetto e delle attività di accoglienza in favore di adulti detenuti con figli, ai sensi di quanto previsto dall’art. 4 L. 62/2011 – ovvero detenuti adulti con figli che possono usufruire della continuità della pena presso domicili privati, riservando tale opportunità a detenuti privi di adeguato alloggio o risorse tali da poter usufruire della prevista riserva di legge;</w:t>
      </w:r>
    </w:p>
    <w:p w:rsidR="00F23649" w:rsidRDefault="00F23649" w:rsidP="00F23649">
      <w:pPr>
        <w:spacing w:after="0" w:line="20" w:lineRule="atLeast"/>
        <w:jc w:val="both"/>
      </w:pPr>
      <w:proofErr w:type="gramStart"/>
      <w:r>
        <w:t>Viene  destinata</w:t>
      </w:r>
      <w:proofErr w:type="gramEnd"/>
      <w:r>
        <w:t xml:space="preserve"> la somma di Euro 90.000,00  per la realizzazione delle attività previste dal Protocollo di Intesa di cui allo schema allegato, rimettendo alla Direzione regionale Inclusione Sociale l’adozione degli atti conseguenti</w:t>
      </w:r>
      <w:r w:rsidR="0055374E">
        <w:t>.</w:t>
      </w:r>
    </w:p>
    <w:p w:rsidR="00F23649" w:rsidRDefault="00F23649" w:rsidP="00F23649">
      <w:pPr>
        <w:spacing w:after="0" w:line="20" w:lineRule="atLeast"/>
        <w:jc w:val="both"/>
      </w:pPr>
      <w:r>
        <w:t xml:space="preserve">Viene approvato lo schema di Protocollo d’Intesa tra Regione Lazio, Comune di Roma Capitale e Raggruppamento delle Istituzioni Pubbliche di Assistenza e Beneficenza Opera Pia Asilo Savoia, Pio Istituto SS. Annunziata e Opera Pia Lascito Giovanni e Margherita Achillini per il rapporto di collaborazione interistituzionale finalizzato alla realizzazione di interventi volti a sostenere il progetto di convivenza protetta per genitori con figli </w:t>
      </w:r>
      <w:proofErr w:type="gramStart"/>
      <w:r>
        <w:t>denominato ”Casa</w:t>
      </w:r>
      <w:proofErr w:type="gramEnd"/>
      <w:r>
        <w:t xml:space="preserve"> di Leda” </w:t>
      </w:r>
    </w:p>
    <w:p w:rsidR="00F23649" w:rsidRDefault="00F23649" w:rsidP="00F23649">
      <w:pPr>
        <w:spacing w:after="0" w:line="20" w:lineRule="atLeast"/>
        <w:jc w:val="both"/>
      </w:pPr>
    </w:p>
    <w:p w:rsidR="00F23649" w:rsidRPr="0055374E" w:rsidRDefault="0055374E" w:rsidP="00F23649">
      <w:pPr>
        <w:spacing w:after="0" w:line="20" w:lineRule="atLeast"/>
        <w:jc w:val="both"/>
        <w:rPr>
          <w:b/>
        </w:rPr>
      </w:pPr>
      <w:r w:rsidRPr="0055374E">
        <w:rPr>
          <w:b/>
        </w:rPr>
        <w:t xml:space="preserve">PROTOCOLLO D’INTESA </w:t>
      </w:r>
    </w:p>
    <w:p w:rsidR="00F23649" w:rsidRDefault="00F23649" w:rsidP="00F23649">
      <w:pPr>
        <w:spacing w:after="0" w:line="20" w:lineRule="atLeast"/>
        <w:jc w:val="both"/>
      </w:pPr>
      <w:r>
        <w:t>VISTI</w:t>
      </w:r>
    </w:p>
    <w:p w:rsidR="00F23649" w:rsidRDefault="00F23649" w:rsidP="00F23649">
      <w:pPr>
        <w:spacing w:after="0" w:line="20" w:lineRule="atLeast"/>
        <w:jc w:val="both"/>
      </w:pPr>
      <w:r>
        <w:sym w:font="Symbol" w:char="F0B7"/>
      </w:r>
      <w:proofErr w:type="gramStart"/>
      <w:r>
        <w:t>la</w:t>
      </w:r>
      <w:proofErr w:type="gramEnd"/>
      <w:r>
        <w:t xml:space="preserve"> Legge 26 luglio n. 1975, n. 354, “Norme sull’ordinamento penitenziario e sull’esecuzione delle misure privative e limitative della libertà 354/75, la legge 26 luglio”;</w:t>
      </w:r>
    </w:p>
    <w:p w:rsidR="00F23649" w:rsidRDefault="00F23649" w:rsidP="00F23649">
      <w:pPr>
        <w:spacing w:after="0" w:line="20" w:lineRule="atLeast"/>
        <w:jc w:val="both"/>
      </w:pPr>
      <w:r>
        <w:lastRenderedPageBreak/>
        <w:sym w:font="Symbol" w:char="F0B7"/>
      </w:r>
      <w:proofErr w:type="gramStart"/>
      <w:r>
        <w:t>il</w:t>
      </w:r>
      <w:proofErr w:type="gramEnd"/>
      <w:r>
        <w:t xml:space="preserve"> D.P.R. 230/2000, Regolamento di esecuzione dell'Ordinamento Penitenziario, che prevede:</w:t>
      </w:r>
    </w:p>
    <w:p w:rsidR="00F23649" w:rsidRDefault="00F23649" w:rsidP="00F23649">
      <w:pPr>
        <w:spacing w:after="0" w:line="20" w:lineRule="atLeast"/>
        <w:jc w:val="both"/>
      </w:pPr>
      <w:r>
        <w:t xml:space="preserve"> - all'art. 1, comma 2, che il trattamento rieducativo "è diretto, inoltre, a promuovere un processo di modificazione delle condizioni e degli atteggiamenti personali, nonché delle relazioni familiari e sociali che sono di ostacolo ad una costruttiva partecipazione sociale"; </w:t>
      </w:r>
    </w:p>
    <w:p w:rsidR="00F23649" w:rsidRDefault="00F23649" w:rsidP="00F23649">
      <w:pPr>
        <w:spacing w:after="0" w:line="20" w:lineRule="atLeast"/>
        <w:jc w:val="both"/>
      </w:pPr>
      <w:r>
        <w:t xml:space="preserve">- all'art. 68, comma 6, che le Direzioni degli Istituti e degli UEPE "curino la partecipazione della comunità al reinserimento sociale dei condannati e le possibili forme di essa"; la Legge 8 novembre 2000, n. 328, “Legge quadro per la realizzazione del sistema integrato di interventi e servizi sociali”, che prevede: </w:t>
      </w:r>
    </w:p>
    <w:p w:rsidR="00F23649" w:rsidRDefault="00F23649" w:rsidP="00F23649">
      <w:pPr>
        <w:spacing w:after="0" w:line="20" w:lineRule="atLeast"/>
        <w:jc w:val="both"/>
      </w:pPr>
      <w:r>
        <w:t>a) all'art. 6, che i Comuni "nell'esercizio delle loro funzioni provvedono a promuovere, nell'ambito del sistema locale dei servizi sociali a rete, risorse della collettività tramite forme innovative di collaborazione per lo sviluppo di interventi di auto-aiuto e per favorire la reciprocità tra cittadini nell'ambito della vita comunitaria";</w:t>
      </w:r>
    </w:p>
    <w:p w:rsidR="00F23649" w:rsidRDefault="00F23649" w:rsidP="00F23649">
      <w:pPr>
        <w:spacing w:after="0" w:line="20" w:lineRule="atLeast"/>
        <w:jc w:val="both"/>
      </w:pPr>
      <w:r>
        <w:t xml:space="preserve"> b) all'art. 19, che i Comuni provvedono a definire il piano di zona che individua, fra l'altro, le modalità per realizzare il coordinamento con gli organi periferici delle Amministrazioni statali, con particolare riferimento all'Amministrazione penitenziaria e della giustizia"; </w:t>
      </w:r>
    </w:p>
    <w:p w:rsidR="00F23649" w:rsidRDefault="00F23649" w:rsidP="00F23649">
      <w:pPr>
        <w:spacing w:after="0" w:line="20" w:lineRule="atLeast"/>
        <w:jc w:val="both"/>
      </w:pPr>
      <w:proofErr w:type="gramStart"/>
      <w:r>
        <w:t>l</w:t>
      </w:r>
      <w:proofErr w:type="gramEnd"/>
      <w:r>
        <w:sym w:font="Symbol" w:char="F0B7"/>
      </w:r>
      <w:r>
        <w:t xml:space="preserve">a Legge 7 agosto 1990, n. 241 “Nuove norme sul procedimento amministrativo”, che all’ art. 15 (Accordi tra pubbliche amministrazioni), stabilisce che le amministrazioni pubbliche possono sempre concludere tra loro accordi per disciplinare lo svolgimento in collaborazione di attività di interesse comune, in modo complementare e sinergico, in maniera gratuita e nell’obiettivo comune di fornire servizi indistintamente a favore della collettività; </w:t>
      </w:r>
    </w:p>
    <w:p w:rsidR="00F23649" w:rsidRDefault="00F23649" w:rsidP="00F23649">
      <w:pPr>
        <w:spacing w:after="0" w:line="20" w:lineRule="atLeast"/>
        <w:jc w:val="both"/>
      </w:pPr>
      <w:r>
        <w:sym w:font="Symbol" w:char="F0B7"/>
      </w:r>
      <w:r>
        <w:t xml:space="preserve">la L. R. 8 giugno 2007, n.7 “Interventi a sostegno dei diritti della popolazione detenuta della Regione Lazio”, in particolare all’art. 12, comma 1 a bis) “La Regione, nell’ambito delle proprie competenze, opera per promuovere il miglioramento della condizione carceraria, con gli obiettivi, in particolare, di […]:favorire la realizzazione di strutture destinate alla detenzione delle detenute madri con figli di età non superiore ai sei anni ai sensi della legge 21 aprile 2011, n. 62 (Modifiche al codice di procedura penale e alla legge 26 luglio 1975, n. 354, e altre disposizioni a tutela del rapporto fra detenute madri e figli minori); </w:t>
      </w:r>
    </w:p>
    <w:p w:rsidR="00F23649" w:rsidRDefault="00F23649" w:rsidP="00F23649">
      <w:pPr>
        <w:spacing w:after="0" w:line="20" w:lineRule="atLeast"/>
        <w:jc w:val="both"/>
      </w:pPr>
      <w:r>
        <w:sym w:font="Symbol" w:char="F0B7"/>
      </w:r>
      <w:proofErr w:type="gramStart"/>
      <w:r>
        <w:t>la</w:t>
      </w:r>
      <w:proofErr w:type="gramEnd"/>
      <w:r>
        <w:t xml:space="preserve"> L.R. 10 agosto 2016, n. 11, “Sistema integrato degli interventi e dei servizi sociali” della Regione Lazio, artt. 9, 16 e 33; </w:t>
      </w:r>
    </w:p>
    <w:p w:rsidR="00F23649" w:rsidRDefault="00F23649" w:rsidP="00F23649">
      <w:pPr>
        <w:spacing w:after="0" w:line="20" w:lineRule="atLeast"/>
        <w:jc w:val="both"/>
      </w:pPr>
      <w:r>
        <w:sym w:font="Symbol" w:char="F0B7"/>
      </w:r>
      <w:r>
        <w:t xml:space="preserve">la deliberazione del Consiglio regionale del 24 gennaio 2019, n. 1, con la quale è stato approvato il Piano sociale regionale denominato "Prendersi cura, un bene comune", che prevede tra le Aree prioritarie di interventi, la Regione Lazio, per il reinserimento dei detenuti e delle persone sottoposte a misure di sicurezza detentiva presso le residenze per l’esecuzione di misure di sicurezze, nell’ambito delle proprie competenze, promuove il miglioramento della condizione carceraria, con l’obiettivo di favorire il ricorso a misure alternative alla detenzione, con particolare attenzione per le detenute madri con figlie, potenziando il sistema integrato il sistema integrato di rete sociale regionale, nonché promuovendo l’individuazione e l’istituzione delle case famiglia protette di cui all’art. 4 della L. 21 aprile 2011, n. 62; </w:t>
      </w:r>
    </w:p>
    <w:p w:rsidR="00F23649" w:rsidRDefault="00F23649" w:rsidP="00F23649">
      <w:pPr>
        <w:spacing w:after="0" w:line="20" w:lineRule="atLeast"/>
        <w:jc w:val="both"/>
      </w:pPr>
      <w:r>
        <w:sym w:font="Symbol" w:char="F0B7"/>
      </w:r>
      <w:proofErr w:type="gramStart"/>
      <w:r>
        <w:t>la</w:t>
      </w:r>
      <w:proofErr w:type="gramEnd"/>
      <w:r>
        <w:t xml:space="preserve"> legge regionale 28 dicembre 2018, n. 13 “Legge di Stabilità Regionale 2019”, art. 4 che prevede l’istituzione nell’ambito del programma 02 “Casa circondariale e altri servizi” della missione 02 “Giustizia” di un apposito fondo di parte corrente pari ad euro 250.000,00 per ciascuna annualità 2019 e 2020, per la realizzazione di attività rivolte alla popolazione detenuta; </w:t>
      </w:r>
    </w:p>
    <w:p w:rsidR="00F23649" w:rsidRDefault="00F23649" w:rsidP="00F23649">
      <w:pPr>
        <w:spacing w:after="0" w:line="20" w:lineRule="atLeast"/>
        <w:jc w:val="both"/>
      </w:pPr>
      <w:r>
        <w:t xml:space="preserve">Richiamati </w:t>
      </w:r>
    </w:p>
    <w:p w:rsidR="00F23649" w:rsidRDefault="00F23649" w:rsidP="00F23649">
      <w:pPr>
        <w:spacing w:after="0" w:line="20" w:lineRule="atLeast"/>
        <w:jc w:val="both"/>
      </w:pPr>
      <w:proofErr w:type="gramStart"/>
      <w:r>
        <w:t>il</w:t>
      </w:r>
      <w:proofErr w:type="gramEnd"/>
      <w:r>
        <w:t xml:space="preserve"> Protocollo Operativo tra Dipartimento dell'Amministrazione Penitenziaria e la Conferenza Nazionale del Volontariato in ambito penitenziario, sottoscritto il 13 novembre 2014; la legge 21 Aprile 2011 n. 62 che al comma 2 dell'art. 4 prevede che il Ministro della Giustizia può stipulare con gli enti locali convenzioni volte ad individuare le strutture idonee ad essere utilizzate come Case Famiglia Protette; </w:t>
      </w:r>
    </w:p>
    <w:p w:rsidR="00F23649" w:rsidRDefault="00F23649" w:rsidP="00F23649">
      <w:pPr>
        <w:spacing w:after="0" w:line="20" w:lineRule="atLeast"/>
        <w:jc w:val="both"/>
      </w:pPr>
      <w:r>
        <w:t>Considerato che</w:t>
      </w:r>
    </w:p>
    <w:p w:rsidR="00F23649" w:rsidRDefault="00F23649" w:rsidP="00F23649">
      <w:pPr>
        <w:spacing w:after="0" w:line="20" w:lineRule="atLeast"/>
        <w:jc w:val="both"/>
      </w:pPr>
      <w:r>
        <w:t xml:space="preserve"> </w:t>
      </w:r>
      <w:proofErr w:type="gramStart"/>
      <w:r>
        <w:t>il</w:t>
      </w:r>
      <w:proofErr w:type="gramEnd"/>
      <w:r>
        <w:t xml:space="preserve"> Comune di Roma Capitale con deliberazione di Giunta Capitolina n. 145 dell'8 maggio 2015, ha manifestato l'interesse all'assegnazione in comodato d'uso gratuito dell'immobile sequestrato alla criminalità organizzata, ubicato in via Kenya 72, con ingresso anche da via Algeria 11, per adibirlo a casa famiglia per genitori provenienti dalla detenzione con figli minori; </w:t>
      </w:r>
    </w:p>
    <w:p w:rsidR="00F23649" w:rsidRDefault="00F23649" w:rsidP="00F23649">
      <w:pPr>
        <w:spacing w:after="0" w:line="20" w:lineRule="atLeast"/>
        <w:jc w:val="both"/>
      </w:pPr>
      <w:r>
        <w:t xml:space="preserve">con apposito Protocollo d’Intesa, stipulato in data 27 ottobre 2015, con il Dipartimento Amministrazione Penitenziaria e la Fondazione Poste Italiane Insieme Onlus, è stata stabilita la realizzazione del progetto sperimentale di convivenza protetta per genitori con figli, agli arresti domiciliari o in detenzione domiciliare; </w:t>
      </w:r>
      <w:r>
        <w:lastRenderedPageBreak/>
        <w:t xml:space="preserve">che per rendere operativa la struttura, considerata la tipologia di accoglienza, l’innovatività dell’iniziativa e la delicatezza del target, ha ritenuto indispensabile l’individuazione di un organismo idoneo per tali interventi, limitando la scelta tra quelli autorizzati a svolgere attività sociali all’interno del carcere di Rebibbia, preselezionati dal DAP; </w:t>
      </w:r>
    </w:p>
    <w:p w:rsidR="00F23649" w:rsidRDefault="00F23649" w:rsidP="00F23649">
      <w:pPr>
        <w:spacing w:after="0" w:line="20" w:lineRule="atLeast"/>
        <w:jc w:val="both"/>
      </w:pPr>
      <w:proofErr w:type="gramStart"/>
      <w:r>
        <w:t>con</w:t>
      </w:r>
      <w:proofErr w:type="gramEnd"/>
      <w:r>
        <w:t xml:space="preserve"> Determinazione Dirigenziale n. 433 del 4 febbraio 2016 ha avviato una procedura di selezione, rivolta ad organismi del terzo settore al fine di acquisire candidature per l’assegnazione dei locali sopra descritti, da adibire alla convivenza di genitori detenuti con figli minori ai sensi dell’art. 4 della L. n. 62/2011; </w:t>
      </w:r>
    </w:p>
    <w:p w:rsidR="00F23649" w:rsidRDefault="00F23649" w:rsidP="00F23649">
      <w:pPr>
        <w:spacing w:after="0" w:line="20" w:lineRule="atLeast"/>
        <w:jc w:val="both"/>
      </w:pPr>
      <w:proofErr w:type="gramStart"/>
      <w:r>
        <w:t>con</w:t>
      </w:r>
      <w:proofErr w:type="gramEnd"/>
      <w:r>
        <w:t xml:space="preserve"> Determinazione Dirigenziale n. 2295 del 27 luglio 2016 ha provveduto ad approvare la graduatoria relativa alla procedura di assegnazione in comodato d’uso gratuito dell’immobile situato in via Algeria 11 – con accesso da via Kenya n. 70 – e ad assegnarlo, per il periodo di tre anni, all’ A.T.I. costituita con “Cecilia società Coop. Sociale Onlus” Associazione di Volontariato “Roma Insieme” “P.I.D.” – pronto intervento disagio coop. Sociale Onlus, Associazione di Volontariato “Ain Karim”; </w:t>
      </w:r>
    </w:p>
    <w:p w:rsidR="00F23649" w:rsidRDefault="00F23649" w:rsidP="00F23649">
      <w:pPr>
        <w:spacing w:after="0" w:line="20" w:lineRule="atLeast"/>
        <w:jc w:val="both"/>
      </w:pPr>
      <w:r>
        <w:t>Considerato inoltre che</w:t>
      </w:r>
    </w:p>
    <w:p w:rsidR="00F23649" w:rsidRDefault="00F23649" w:rsidP="00F23649">
      <w:pPr>
        <w:spacing w:after="0" w:line="20" w:lineRule="atLeast"/>
        <w:jc w:val="both"/>
      </w:pPr>
      <w:proofErr w:type="gramStart"/>
      <w:r>
        <w:t>la</w:t>
      </w:r>
      <w:proofErr w:type="gramEnd"/>
      <w:r>
        <w:t xml:space="preserve"> Fondazione Poste Insieme Onlus, nel primo anno e nell'ambito delle proprie finalità statutarie ha individuato tra le sue priorità un intervento volto a sostenere economicamente la realizzazione e il funzionamento nella città di Roma della prima casa protetta per madri detenute con bambini, impegnandosi a concorrere alla realizzazione del progetto attraverso la copertura degli oneri necessari alla sua gestione, pari ad € 150.000,00 annui; </w:t>
      </w:r>
    </w:p>
    <w:p w:rsidR="00F23649" w:rsidRDefault="00F23649" w:rsidP="00F23649">
      <w:pPr>
        <w:spacing w:after="0" w:line="20" w:lineRule="atLeast"/>
        <w:jc w:val="both"/>
      </w:pPr>
      <w:proofErr w:type="gramStart"/>
      <w:r>
        <w:t>si</w:t>
      </w:r>
      <w:proofErr w:type="gramEnd"/>
      <w:r>
        <w:t xml:space="preserve"> è dato inizio alle attività per il progetto sperimentale “Casa di Leda” il 19 dicembre 2016 a seguito della stipula del contratto di comodato d’uso gratuito dell’immobile per il periodo di tre anni, ed è stata ufficialmente inaugurata in data 11 luglio 2017; </w:t>
      </w:r>
    </w:p>
    <w:p w:rsidR="00F23649" w:rsidRDefault="00F23649" w:rsidP="00F23649">
      <w:pPr>
        <w:spacing w:after="0" w:line="20" w:lineRule="atLeast"/>
        <w:jc w:val="both"/>
      </w:pPr>
      <w:r>
        <w:t>Dato atto che</w:t>
      </w:r>
    </w:p>
    <w:p w:rsidR="00F23649" w:rsidRDefault="00F23649" w:rsidP="00F23649">
      <w:pPr>
        <w:spacing w:after="0" w:line="20" w:lineRule="atLeast"/>
        <w:jc w:val="both"/>
      </w:pPr>
      <w:proofErr w:type="gramStart"/>
      <w:r>
        <w:t>in</w:t>
      </w:r>
      <w:proofErr w:type="gramEnd"/>
      <w:r>
        <w:t xml:space="preserve"> applicazione di quanto previsto dalla L. 328/2000 e dall’art. 38 della la L.R. 10 agosto 2016, n. 11, i soggetti pubblici possono avvalersi delle prestazioni delle IPAB, con riguardo alle loro specifiche finalità statutarie, ricorrendo ai contratti di servizio e/o agli accordi di cui all’art. 15 della legge 7 agosto 1990, n. 241 e ss.mm.ii. a) per i servizi e gli interventi programmati nei piani sociali di zona; b) per l’istituzione e la sperimentazione di servizi innovativi; </w:t>
      </w:r>
    </w:p>
    <w:p w:rsidR="00F23649" w:rsidRDefault="00F23649" w:rsidP="00F23649">
      <w:pPr>
        <w:spacing w:after="0" w:line="20" w:lineRule="atLeast"/>
        <w:jc w:val="both"/>
      </w:pPr>
      <w:r>
        <w:t xml:space="preserve">con Deliberazione della Giunta regionale del 21 aprile 2018, n. 190 si è disposto, ai sensi dell’art. 58 della legge 17 luglio 1890, n 6972 , il Raggruppamento delle Istituzioni Pubbliche di Assistenza e Beneficenza (II.PP.A.B), Pio Istituto SS. Annunziata, Opera Pia Lascito Giovanni Margherita Achillini e Opera Pia Asilo Savoia, attesa l’affinità di scopi, individuando quale organo di amministrazione del raggruppamento l’attuale Consiglio di Amministrazione dell’Istituzione Pubblica di Assistenza e Beneficenza Opera Pia Asilo Savoia; </w:t>
      </w:r>
    </w:p>
    <w:p w:rsidR="00F23649" w:rsidRDefault="00F23649" w:rsidP="00F23649">
      <w:pPr>
        <w:spacing w:after="0" w:line="20" w:lineRule="atLeast"/>
        <w:jc w:val="both"/>
      </w:pPr>
      <w:proofErr w:type="gramStart"/>
      <w:r>
        <w:t>con</w:t>
      </w:r>
      <w:proofErr w:type="gramEnd"/>
      <w:r>
        <w:t xml:space="preserve"> Deliberazione della Giunta regionale del 26 giugno 2018, n. 335 si è provveduto ad approvare il Regolamento del Raggruppamento delle Istituzioni Pubbliche di Assistenza e Beneficenza (II.PP.A.B), Pio Istituto SS. Annunziata, Opera Pia Lascito Giovanni Margherita Achillini e Opera Pia Asilo Savoia; </w:t>
      </w:r>
    </w:p>
    <w:p w:rsidR="00F23649" w:rsidRDefault="00F23649" w:rsidP="00F23649">
      <w:pPr>
        <w:spacing w:after="0" w:line="20" w:lineRule="atLeast"/>
        <w:jc w:val="both"/>
      </w:pPr>
      <w:proofErr w:type="gramStart"/>
      <w:r>
        <w:t>le</w:t>
      </w:r>
      <w:proofErr w:type="gramEnd"/>
      <w:r>
        <w:t xml:space="preserve"> disposizioni statutarie delle II.PP.A.B. facenti parte del Raggruppamento, prevedono tra i principali scopi: assistenza ai minori, attività in favore dell’infanzia e interventi di prevenzione, sostegno e reinserimento rivolti a donne in situazione di svantaggio o esclusione sociale, di disagio economico, marginalità sociale o vittime di violenza, prevedendo anche l’attivazione di progetti - percorsi individualizzati;</w:t>
      </w:r>
    </w:p>
    <w:p w:rsidR="00F23649" w:rsidRDefault="00F23649" w:rsidP="00F23649">
      <w:pPr>
        <w:spacing w:after="0" w:line="20" w:lineRule="atLeast"/>
        <w:jc w:val="both"/>
      </w:pPr>
      <w:r>
        <w:t xml:space="preserve"> </w:t>
      </w:r>
      <w:proofErr w:type="gramStart"/>
      <w:r>
        <w:t>il</w:t>
      </w:r>
      <w:proofErr w:type="gramEnd"/>
      <w:r>
        <w:t xml:space="preserve"> sopramenzionato Raggruppamento di II.PP.A.B ha manifestato la volontà di contribuire a sostenere il progetto “Casa di Leda” attraverso un finanziamento per il primo quadrimestre del 2019 pari ad € 60.000,00, evitando in tal modo l’interruzione delle attività;</w:t>
      </w:r>
    </w:p>
    <w:p w:rsidR="00F23649" w:rsidRDefault="00F23649" w:rsidP="00F23649">
      <w:pPr>
        <w:spacing w:after="0" w:line="20" w:lineRule="atLeast"/>
        <w:jc w:val="both"/>
      </w:pPr>
      <w:r>
        <w:t xml:space="preserve"> Atteso che </w:t>
      </w:r>
    </w:p>
    <w:p w:rsidR="00F23649" w:rsidRDefault="00F23649" w:rsidP="00F23649">
      <w:pPr>
        <w:spacing w:after="0" w:line="20" w:lineRule="atLeast"/>
        <w:jc w:val="both"/>
      </w:pPr>
      <w:proofErr w:type="gramStart"/>
      <w:r>
        <w:t>si</w:t>
      </w:r>
      <w:proofErr w:type="gramEnd"/>
      <w:r>
        <w:t xml:space="preserve"> ritiene opportuno attivare moduli e strumenti organizzativi di collaborazione tra Regione Lazio, Comune di Roma Capitale e Raggruppamento delle Istituzioni Pubbliche di Assistenza e Beneficenza (II.PP.AA.BB), Pio Istituto SS. Annunziata e Opera Pia Lascito Giovanni Margherita Achillini e Opera Pia Asilo Savoia, al fine di garantire la prosecuzione delle attività e il funzionamento della Casa di Leda, consapevoli dell’utilità dell’intervento che ne assicuri la sua piena realizzazione. </w:t>
      </w:r>
    </w:p>
    <w:p w:rsidR="00F23649" w:rsidRDefault="00F23649" w:rsidP="00F23649">
      <w:pPr>
        <w:spacing w:after="0" w:line="20" w:lineRule="atLeast"/>
        <w:jc w:val="both"/>
      </w:pPr>
      <w:r>
        <w:t xml:space="preserve">Tutto ciò premesso e considerato, </w:t>
      </w:r>
    </w:p>
    <w:p w:rsidR="00F23649" w:rsidRDefault="00F23649" w:rsidP="00F23649">
      <w:pPr>
        <w:spacing w:after="0" w:line="20" w:lineRule="atLeast"/>
        <w:jc w:val="both"/>
      </w:pPr>
      <w:proofErr w:type="gramStart"/>
      <w:r>
        <w:t>si</w:t>
      </w:r>
      <w:proofErr w:type="gramEnd"/>
      <w:r>
        <w:t xml:space="preserve"> conviene e si stipula quanto segue </w:t>
      </w:r>
    </w:p>
    <w:p w:rsidR="00F23649" w:rsidRDefault="00F23649" w:rsidP="00F23649">
      <w:pPr>
        <w:spacing w:after="0" w:line="20" w:lineRule="atLeast"/>
        <w:jc w:val="both"/>
      </w:pPr>
      <w:r>
        <w:t xml:space="preserve">Art.1-Premessa </w:t>
      </w:r>
    </w:p>
    <w:p w:rsidR="00F23649" w:rsidRDefault="00F23649" w:rsidP="00F23649">
      <w:pPr>
        <w:spacing w:after="0" w:line="20" w:lineRule="atLeast"/>
        <w:jc w:val="both"/>
      </w:pPr>
      <w:r>
        <w:t xml:space="preserve">Le premesse costituiscono parte integrante e sostanziale del presente Protocollo d'Intesa e si considerano integralmente richiamate, trascritte e riportate nel presente articolo. Art. 2 - Oggetto e finalità Il presente </w:t>
      </w:r>
      <w:r>
        <w:lastRenderedPageBreak/>
        <w:t xml:space="preserve">Protocollo d'Intesa è volto a stabilire un accordo istituzionale tra Regione Lazio, Comune di Roma Capitale e Raggruppamento delle Istituzioni Pubbliche di Assistenza e Beneficienza (II.PP.A.B), Pio Istituto SS. Annunziata, Opera Pia Lascito Giovanni Margherita Achillini e Opera Pia Asilo Savoia, per l'adozione di strumenti organizzativi e di collaborazione per un funzionale, efficiente ed efficace esercizio dei servizi e delle funzioni con l’obiettivo congiunto di dare prosecuzione all’ attività di accoglienza in favore di adulti detenuti con figli, ai sensi di quanto previsto ex art. 4 L. 62/2011 – ovvero: detenuti adulti con figli che possono usufruire della continuità della pena presso domicili privati, riservando tale opportunità a detenuti privi di adeguato alloggio o risorse tali da poter usufruire della prevista riserva di legge. La finalità del presente accordo mira a garantire la continuità delle attività e del funzionamento della “Casa di Leda”, progetto sperimentale di convivenza protetta per genitori con figli, agli arresti domiciliari o in detenzione domiciliare, la quale rappresenta attualmente l’unica struttura operante nel territorio della Regione Lazio, presso un immobile già nella disponibilità del Comune di Roma, situato in Via Kenya, 72, sottratto alla criminalità organizzata, che è stato inaugurato l’11 luglio 2017. L’obiettivo prioritario è la tutela degli interessi e dei diritti dei minori, e tale struttura tende ad agevolare il ripristino della rete di rapporti familiari in funzione dell’equilibrato sviluppo del minore, favorendo percorsi di semi autonomia a donne, con bambini da 0 a 10 anni, nei cui confronti l’autorità Giudiziaria abbia disposto gli arresti domiciliari, sprovviste di riferimenti materiali ed abitativi, evitando in tal modo l’ingesso in strutture penitenziarie, garantendo in tal modo il potenziamento delle funzioni genitoriali e la progressiva acquisizione di strumenti indirizzati verso l’autonomia. Le parti, si impegnano pertanto a: </w:t>
      </w:r>
    </w:p>
    <w:p w:rsidR="00F23649" w:rsidRDefault="00F23649" w:rsidP="00F23649">
      <w:pPr>
        <w:spacing w:after="0" w:line="20" w:lineRule="atLeast"/>
        <w:jc w:val="both"/>
      </w:pPr>
      <w:r>
        <w:sym w:font="Symbol" w:char="F0B7"/>
      </w:r>
      <w:r>
        <w:t xml:space="preserve"> </w:t>
      </w:r>
      <w:proofErr w:type="gramStart"/>
      <w:r>
        <w:t>a</w:t>
      </w:r>
      <w:proofErr w:type="gramEnd"/>
      <w:r>
        <w:t xml:space="preserve"> promuovere azioni di sensibilizzazione nei confronti della comunità locale rispetto al sostegno e al reinserimento di persone in esecuzione penale; </w:t>
      </w:r>
    </w:p>
    <w:p w:rsidR="00F23649" w:rsidRDefault="00F23649" w:rsidP="00F23649">
      <w:pPr>
        <w:spacing w:after="0" w:line="20" w:lineRule="atLeast"/>
        <w:jc w:val="both"/>
      </w:pPr>
      <w:r>
        <w:sym w:font="Symbol" w:char="F0B7"/>
      </w:r>
      <w:r>
        <w:t xml:space="preserve"> </w:t>
      </w:r>
      <w:proofErr w:type="gramStart"/>
      <w:r>
        <w:t>a</w:t>
      </w:r>
      <w:proofErr w:type="gramEnd"/>
      <w:r>
        <w:t xml:space="preserve"> sostenere la costituzione di una rete di risorse che accolgano i soggetti ammessi alla misura alternativa della detenzione domiciliare e di persone ammesse agli arresti domiciliari; </w:t>
      </w:r>
      <w:r>
        <w:sym w:font="Symbol" w:char="F0B7"/>
      </w:r>
      <w:r>
        <w:t xml:space="preserve"> a prevedere la possibilità di una “gestione mista”, con la presenza all’interno della Casa sia di operatori retribuiti che di volontari; </w:t>
      </w:r>
    </w:p>
    <w:p w:rsidR="00F23649" w:rsidRDefault="00F23649" w:rsidP="00F23649">
      <w:pPr>
        <w:spacing w:after="0" w:line="20" w:lineRule="atLeast"/>
        <w:jc w:val="both"/>
      </w:pPr>
      <w:r>
        <w:sym w:font="Symbol" w:char="F0B7"/>
      </w:r>
      <w:r>
        <w:t xml:space="preserve"> </w:t>
      </w:r>
      <w:proofErr w:type="gramStart"/>
      <w:r>
        <w:t>ad</w:t>
      </w:r>
      <w:proofErr w:type="gramEnd"/>
      <w:r>
        <w:t xml:space="preserve"> organizzare attività formative congiunte;</w:t>
      </w:r>
    </w:p>
    <w:p w:rsidR="00F23649" w:rsidRDefault="00F23649" w:rsidP="00F23649">
      <w:pPr>
        <w:spacing w:after="0" w:line="20" w:lineRule="atLeast"/>
        <w:jc w:val="both"/>
      </w:pPr>
      <w:r>
        <w:sym w:font="Symbol" w:char="F0B7"/>
      </w:r>
      <w:r>
        <w:t xml:space="preserve"> </w:t>
      </w:r>
      <w:proofErr w:type="gramStart"/>
      <w:r>
        <w:t>a</w:t>
      </w:r>
      <w:proofErr w:type="gramEnd"/>
      <w:r>
        <w:t xml:space="preserve"> sostenere ed attivare qualsiasi iniziativa volta a supportare adulti e minori ospiti al fine di stimolarne l’acquisizione di strumenti verso l’autonomia. </w:t>
      </w:r>
    </w:p>
    <w:p w:rsidR="00F23649" w:rsidRDefault="00F23649" w:rsidP="00F23649">
      <w:pPr>
        <w:spacing w:after="0" w:line="20" w:lineRule="atLeast"/>
        <w:jc w:val="both"/>
      </w:pPr>
      <w:r>
        <w:t xml:space="preserve">Art. 3 Comune di Roma Capitale Il Comune di Roma Capitale, attraverso il Dipartimento Politiche Sociali, Sussidiarietà e Salute, si impegna a: </w:t>
      </w:r>
    </w:p>
    <w:p w:rsidR="00F23649" w:rsidRDefault="00F23649" w:rsidP="00F23649">
      <w:pPr>
        <w:spacing w:after="0" w:line="20" w:lineRule="atLeast"/>
        <w:jc w:val="both"/>
      </w:pPr>
      <w:r>
        <w:sym w:font="Symbol" w:char="F0B7"/>
      </w:r>
      <w:r>
        <w:t xml:space="preserve"> </w:t>
      </w:r>
      <w:proofErr w:type="gramStart"/>
      <w:r>
        <w:t>garantire</w:t>
      </w:r>
      <w:proofErr w:type="gramEnd"/>
      <w:r>
        <w:t xml:space="preserve"> la funzionalità della struttura di accoglienza, assicurando la manutenzione straordinaria, e tutti gli oneri riferiti ai costi delle utenze elettrica, idrica e gas;</w:t>
      </w:r>
    </w:p>
    <w:p w:rsidR="00F23649" w:rsidRDefault="00F23649" w:rsidP="00F23649">
      <w:pPr>
        <w:spacing w:after="0" w:line="20" w:lineRule="atLeast"/>
        <w:jc w:val="both"/>
      </w:pPr>
      <w:r>
        <w:sym w:font="Symbol" w:char="F0B7"/>
      </w:r>
      <w:r>
        <w:t xml:space="preserve"> </w:t>
      </w:r>
      <w:proofErr w:type="gramStart"/>
      <w:r>
        <w:t>partecipare</w:t>
      </w:r>
      <w:proofErr w:type="gramEnd"/>
      <w:r>
        <w:t xml:space="preserve"> con il Dipartimento Attività Penitenziaria (di seguito DAP) alla valutazione delle segnalazioni per l'ingresso nel progetto dei soggetti ammessi alla detenzione/arresti domiciliari;, così come stabilito dal Protocollo d’Intesa, stipulato in data 27 ottobre 2015 citato nelle premesse; </w:t>
      </w:r>
    </w:p>
    <w:p w:rsidR="00F23649" w:rsidRDefault="00F23649" w:rsidP="00F23649">
      <w:pPr>
        <w:spacing w:after="0" w:line="20" w:lineRule="atLeast"/>
        <w:jc w:val="both"/>
      </w:pPr>
      <w:r>
        <w:sym w:font="Symbol" w:char="F0B7"/>
      </w:r>
      <w:r>
        <w:t xml:space="preserve"> </w:t>
      </w:r>
      <w:proofErr w:type="gramStart"/>
      <w:r>
        <w:t>autorizzare</w:t>
      </w:r>
      <w:proofErr w:type="gramEnd"/>
      <w:r>
        <w:t xml:space="preserve"> l'ingresso nel progetto della persona ammessa agli arresti domiciliari o alla detenzione domiciliare; </w:t>
      </w:r>
    </w:p>
    <w:p w:rsidR="00F23649" w:rsidRDefault="00F23649" w:rsidP="00F23649">
      <w:pPr>
        <w:spacing w:after="0" w:line="20" w:lineRule="atLeast"/>
        <w:jc w:val="both"/>
      </w:pPr>
      <w:r>
        <w:sym w:font="Symbol" w:char="F0B7"/>
      </w:r>
      <w:r>
        <w:t xml:space="preserve"> </w:t>
      </w:r>
      <w:proofErr w:type="gramStart"/>
      <w:r>
        <w:t>prevedere</w:t>
      </w:r>
      <w:proofErr w:type="gramEnd"/>
      <w:r>
        <w:t xml:space="preserve"> l'individuazione di un referente del progetto con compiti di verifica dell'andamento dei percorsi individuali dei destinatari del progetto; </w:t>
      </w:r>
    </w:p>
    <w:p w:rsidR="00F23649" w:rsidRDefault="00F23649" w:rsidP="00F23649">
      <w:pPr>
        <w:spacing w:after="0" w:line="20" w:lineRule="atLeast"/>
        <w:jc w:val="both"/>
      </w:pPr>
      <w:r>
        <w:sym w:font="Symbol" w:char="F0B7"/>
      </w:r>
      <w:r>
        <w:t xml:space="preserve"> </w:t>
      </w:r>
      <w:proofErr w:type="gramStart"/>
      <w:r>
        <w:t>individuare</w:t>
      </w:r>
      <w:proofErr w:type="gramEnd"/>
      <w:r>
        <w:t xml:space="preserve">, in accordo con il DAP, un soggetto in grado di svolgere attività di tutoring della persona inserita nel progetto; </w:t>
      </w:r>
    </w:p>
    <w:p w:rsidR="00F23649" w:rsidRDefault="00F23649" w:rsidP="00F23649">
      <w:pPr>
        <w:spacing w:after="0" w:line="20" w:lineRule="atLeast"/>
        <w:jc w:val="both"/>
      </w:pPr>
      <w:r>
        <w:sym w:font="Symbol" w:char="F0B7"/>
      </w:r>
      <w:r>
        <w:t xml:space="preserve"> </w:t>
      </w:r>
      <w:proofErr w:type="gramStart"/>
      <w:r>
        <w:t>verificare</w:t>
      </w:r>
      <w:proofErr w:type="gramEnd"/>
      <w:r>
        <w:t xml:space="preserve"> con cadenza periodica prestabilita, e ogni qualvolta necessario, con l'Uepe e la persona interessata l'andamento della misura; </w:t>
      </w:r>
    </w:p>
    <w:p w:rsidR="00F23649" w:rsidRDefault="00F23649" w:rsidP="00F23649">
      <w:pPr>
        <w:spacing w:after="0" w:line="20" w:lineRule="atLeast"/>
        <w:jc w:val="both"/>
      </w:pPr>
      <w:r>
        <w:sym w:font="Symbol" w:char="F0B7"/>
      </w:r>
      <w:r>
        <w:t xml:space="preserve"> </w:t>
      </w:r>
      <w:proofErr w:type="gramStart"/>
      <w:r>
        <w:t>segnalare</w:t>
      </w:r>
      <w:proofErr w:type="gramEnd"/>
      <w:r>
        <w:t xml:space="preserve"> tempestivamente eventuali inadempienze o comportamenti non idonei della persona in misura alternativa. </w:t>
      </w:r>
    </w:p>
    <w:p w:rsidR="00F23649" w:rsidRDefault="00F23649" w:rsidP="00F23649">
      <w:pPr>
        <w:spacing w:after="0" w:line="20" w:lineRule="atLeast"/>
        <w:jc w:val="both"/>
      </w:pPr>
      <w:r>
        <w:t>Art. 4 Regione Lazio</w:t>
      </w:r>
    </w:p>
    <w:p w:rsidR="00F23649" w:rsidRDefault="00F23649" w:rsidP="00F23649">
      <w:pPr>
        <w:spacing w:after="0" w:line="20" w:lineRule="atLeast"/>
        <w:jc w:val="both"/>
      </w:pPr>
      <w:r>
        <w:t xml:space="preserve"> La Regione Lazio, attraverso la Direzione per l’Inclusione sociale, si impegna a garantire la prosecuzione delle attività del progetto attraverso: </w:t>
      </w:r>
    </w:p>
    <w:p w:rsidR="00F23649" w:rsidRDefault="00F23649" w:rsidP="00F23649">
      <w:pPr>
        <w:spacing w:after="0" w:line="20" w:lineRule="atLeast"/>
        <w:jc w:val="both"/>
      </w:pPr>
      <w:r>
        <w:sym w:font="Symbol" w:char="F0B7"/>
      </w:r>
      <w:r>
        <w:t xml:space="preserve"> </w:t>
      </w:r>
      <w:proofErr w:type="gramStart"/>
      <w:r>
        <w:t>la</w:t>
      </w:r>
      <w:proofErr w:type="gramEnd"/>
      <w:r>
        <w:t xml:space="preserve"> copertura degli oneri necessari alla sua gestione, con un finanziamento relativo al secondo periodo del 2019 pari ad euro 90.000,00 e, così come indicato dalla la legge regionale 28 dicembre 2018, n. 13 “Legge di Stabilità Regionale 2019”, art. 4 che prevede l’istituzione nell’ambito del programma 02 “Casa circondariale e altri servizi” della missione 02 “Giustizia” di un apposito fondo di parte corrente pari ad euro 250.000,00 per ciascuna annualità 2019 e 2020; </w:t>
      </w:r>
    </w:p>
    <w:p w:rsidR="00F23649" w:rsidRDefault="00F23649" w:rsidP="00F23649">
      <w:pPr>
        <w:spacing w:after="0" w:line="20" w:lineRule="atLeast"/>
        <w:jc w:val="both"/>
      </w:pPr>
      <w:r>
        <w:lastRenderedPageBreak/>
        <w:sym w:font="Symbol" w:char="F0B7"/>
      </w:r>
      <w:r>
        <w:t xml:space="preserve"> </w:t>
      </w:r>
      <w:proofErr w:type="gramStart"/>
      <w:r>
        <w:t>il</w:t>
      </w:r>
      <w:proofErr w:type="gramEnd"/>
      <w:r>
        <w:t xml:space="preserve"> trasferimento dei suddetti fondi relativi alle prestazioni erogate dall’attuale ente gestore (A.T.I. costituita con “Cecilia società Coop. Sociale Onlus” Associazione di Volontariato “Roma Insieme” “P.I.D.” – pronto intervento disagio coop. Sociale Onlus, Associazione di Volontariato “Ain Karim”) nel 2019 al Raggruppamento delle Istituzioni Pubbliche di Assistenza e Beneficenza (II.PP.A.B), Pio Istituto SS. Annunziata, Opera Pia Lascito Giovanni Margherita Achillini e Opera Pia Asilo Savoia; </w:t>
      </w:r>
    </w:p>
    <w:p w:rsidR="00F23649" w:rsidRDefault="00F23649" w:rsidP="00F23649">
      <w:pPr>
        <w:spacing w:after="0" w:line="20" w:lineRule="atLeast"/>
        <w:jc w:val="both"/>
      </w:pPr>
      <w:r>
        <w:sym w:font="Symbol" w:char="F0B7"/>
      </w:r>
      <w:r>
        <w:t xml:space="preserve"> </w:t>
      </w:r>
      <w:proofErr w:type="gramStart"/>
      <w:r>
        <w:t>la</w:t>
      </w:r>
      <w:proofErr w:type="gramEnd"/>
      <w:r>
        <w:t xml:space="preserve"> designazione di un referente della Direzione regionale per l’Inclusione sociale, che collaborerà al monitoraggio delle attività e degli interventi, al fine di consentire la valutazione degli obiettivi raggiunti e la verifica delle prestazioni erogate, nonché alla verifica dello stato di attuazione del Protocollo di intesa.</w:t>
      </w:r>
    </w:p>
    <w:p w:rsidR="00F23649" w:rsidRDefault="00F23649" w:rsidP="00F23649">
      <w:pPr>
        <w:spacing w:after="0" w:line="20" w:lineRule="atLeast"/>
        <w:jc w:val="both"/>
      </w:pPr>
      <w:r>
        <w:t xml:space="preserve"> ART. 5 Raggruppamento delle istituzioni pubbliche di assistenza e beneficenza (II.PP.A.B)</w:t>
      </w:r>
    </w:p>
    <w:p w:rsidR="00F23649" w:rsidRDefault="00F23649" w:rsidP="00F23649">
      <w:pPr>
        <w:spacing w:after="0" w:line="20" w:lineRule="atLeast"/>
        <w:jc w:val="both"/>
      </w:pPr>
      <w:r>
        <w:t xml:space="preserve">Il Raggruppamento delle Istituzioni Pubbliche di Assistenza e Beneficenza (II.PP.A.B), Pio Istituto SS. Annunziata, Opera Pia Lascito Giovanni Margherita Achillini e Opera Pia Asilo Savoia, si impegna a garantire la gestione operativa del progetto, assicurando la continuità degli interventi, ed in particolare: </w:t>
      </w:r>
    </w:p>
    <w:p w:rsidR="00F23649" w:rsidRDefault="00F23649" w:rsidP="00F23649">
      <w:pPr>
        <w:spacing w:after="0" w:line="20" w:lineRule="atLeast"/>
        <w:jc w:val="both"/>
      </w:pPr>
      <w:r>
        <w:sym w:font="Symbol" w:char="F0B7"/>
      </w:r>
      <w:r>
        <w:t xml:space="preserve"> </w:t>
      </w:r>
      <w:proofErr w:type="gramStart"/>
      <w:r>
        <w:t>a</w:t>
      </w:r>
      <w:proofErr w:type="gramEnd"/>
      <w:r>
        <w:t xml:space="preserve"> definire i rapporti con l’attuale soggetto attuatore del progetto, disciplinando con appositi atti le prestazioni e gli obblighi a carico dell’aggiudicatario del servizio; </w:t>
      </w:r>
    </w:p>
    <w:p w:rsidR="00F23649" w:rsidRDefault="00F23649" w:rsidP="00F23649">
      <w:pPr>
        <w:spacing w:after="0" w:line="20" w:lineRule="atLeast"/>
        <w:jc w:val="both"/>
      </w:pPr>
      <w:r>
        <w:sym w:font="Symbol" w:char="F0B7"/>
      </w:r>
      <w:r>
        <w:t xml:space="preserve"> </w:t>
      </w:r>
      <w:proofErr w:type="gramStart"/>
      <w:r>
        <w:t>a</w:t>
      </w:r>
      <w:proofErr w:type="gramEnd"/>
      <w:r>
        <w:t xml:space="preserve"> rendicontare all’Area Famiglia, Minori e Persone fragili della Direzione regionale per l’inclusione sociale, le spese sostenute dal soggetto gestore relative alle attività e agli interventi per il secondo semestre 2019, riguardanti lo stanziamento dei fondi regionali pari a € 90.000,00. </w:t>
      </w:r>
    </w:p>
    <w:p w:rsidR="00F23649" w:rsidRDefault="00F23649" w:rsidP="00F23649">
      <w:pPr>
        <w:spacing w:after="0" w:line="20" w:lineRule="atLeast"/>
        <w:jc w:val="both"/>
      </w:pPr>
      <w:r>
        <w:t>Art. 6 Durata e Facoltà di Recesso</w:t>
      </w:r>
    </w:p>
    <w:p w:rsidR="00F23649" w:rsidRDefault="00F23649" w:rsidP="00F23649">
      <w:pPr>
        <w:spacing w:after="0" w:line="20" w:lineRule="atLeast"/>
        <w:jc w:val="both"/>
      </w:pPr>
      <w:r>
        <w:t xml:space="preserve"> Il presente Protocollo avrà la durata necessaria a garantire la conclusione del progetto, la cui scadenza è prevista per il mese di dicembre 2019, come da contratto di comodato d’uso gratuito dei locali stipulato tra Comune di Roma Capitale e soggetto aggiudicatario (ATI), eventualmente prorogabile. Tale proroga è da intendersi tacitamente rinnovata, fatta salva la facoltà, per ciascuna delle parti, di recedere in qualsiasi momento dandone comunicazione scritta, con almeno novanta giorni di preavviso. Nei casi in cui la risoluzione anticipata avesse riflessi sostanziali sui progetti individuali in corso, sarà indispensabile, prima di procedere alla sospensione, attendere il reperimento di una soluzione alternativa presso altra struttura.</w:t>
      </w:r>
    </w:p>
    <w:p w:rsidR="00F23649" w:rsidRDefault="00F23649" w:rsidP="00F23649">
      <w:pPr>
        <w:spacing w:after="0" w:line="20" w:lineRule="atLeast"/>
        <w:jc w:val="both"/>
      </w:pPr>
      <w:r>
        <w:t xml:space="preserve"> Art. 7 Proroga </w:t>
      </w:r>
    </w:p>
    <w:p w:rsidR="00F23649" w:rsidRDefault="00F23649" w:rsidP="00F23649">
      <w:pPr>
        <w:spacing w:after="0" w:line="20" w:lineRule="atLeast"/>
        <w:jc w:val="both"/>
      </w:pPr>
      <w:r>
        <w:t xml:space="preserve">Nelle more dell’approvazione della proposta progettuale che la Regione Lazio, in qualità di soggetto promotore ha intenzione di proporre a “Cassa delle Ammende” a seguito dell’invito del 12 giugno 2019 a presentare progetti di intervento cofinanziati dalla stessa “Cassa delle Ammende, (in attuazione dell’Accordo stipulato con la Conferenza delle Regioni e delle Province Autonome il 26 luglio 2018), i sottoscrittori del presente Protocollo potranno richiedere al soggetto gestore di continuare le attività del servizio, al fine di evitare che vi sia interruzione nell’erogazione delle prestazioni, per il tempo strettamente necessario alla conclusione delle procedure di selezione del nuovo soggetto affidatario. Art. 8 Riservatezza Le parti si impegnano espressamente a mantenere l’obbligo di riservatezza per tutte le informazioni di carattere tecnico o personale, verbali o scritte, reciprocamente trasmesse in base alla attivazione dei progetti di collaborazione previsti dal presente Protocollo e ad usarle solo per gli scopi da questo stabiliti. </w:t>
      </w:r>
    </w:p>
    <w:p w:rsidR="00F23649" w:rsidRDefault="00F23649" w:rsidP="00F23649">
      <w:pPr>
        <w:spacing w:after="0" w:line="20" w:lineRule="atLeast"/>
        <w:jc w:val="both"/>
      </w:pPr>
      <w:r>
        <w:t xml:space="preserve">Roma lì _________ </w:t>
      </w:r>
    </w:p>
    <w:p w:rsidR="00F23649" w:rsidRDefault="00F23649" w:rsidP="00F23649">
      <w:pPr>
        <w:spacing w:after="0" w:line="20" w:lineRule="atLeast"/>
        <w:jc w:val="both"/>
      </w:pPr>
      <w:proofErr w:type="gramStart"/>
      <w:r>
        <w:t>la</w:t>
      </w:r>
      <w:proofErr w:type="gramEnd"/>
      <w:r>
        <w:t xml:space="preserve"> Regione Lazio __________________________________ </w:t>
      </w:r>
    </w:p>
    <w:p w:rsidR="00F23649" w:rsidRDefault="00F23649" w:rsidP="00F23649">
      <w:pPr>
        <w:spacing w:after="0" w:line="20" w:lineRule="atLeast"/>
        <w:jc w:val="both"/>
      </w:pPr>
      <w:r>
        <w:t xml:space="preserve">Per Comune di Roma Capitale __________________________________ </w:t>
      </w:r>
    </w:p>
    <w:p w:rsidR="00F23649" w:rsidRDefault="00F23649" w:rsidP="00F23649">
      <w:pPr>
        <w:spacing w:after="0" w:line="20" w:lineRule="atLeast"/>
        <w:jc w:val="both"/>
      </w:pPr>
      <w:r>
        <w:t>Per il Raggruppamento delle Istituzioni Pubbliche di Assistenza e Beneficienza (II.PP.B.A.) __________________________________</w:t>
      </w:r>
    </w:p>
    <w:p w:rsidR="00F23649" w:rsidRPr="00D272D7" w:rsidRDefault="00F23649" w:rsidP="00D272D7">
      <w:pPr>
        <w:autoSpaceDE w:val="0"/>
        <w:autoSpaceDN w:val="0"/>
        <w:adjustRightInd w:val="0"/>
        <w:spacing w:after="0" w:line="20" w:lineRule="atLeast"/>
        <w:jc w:val="both"/>
        <w:rPr>
          <w:rFonts w:ascii="Corbel" w:hAnsi="Corbel" w:cs="Verdana"/>
          <w:bCs/>
          <w:sz w:val="28"/>
          <w:szCs w:val="28"/>
        </w:rPr>
      </w:pPr>
    </w:p>
    <w:p w:rsidR="00FE6DA0" w:rsidRPr="00CC548D" w:rsidRDefault="00CC548D" w:rsidP="00CC548D">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CC548D">
        <w:rPr>
          <w:rFonts w:cstheme="minorHAnsi"/>
          <w:b/>
        </w:rPr>
        <w:t>DIFESA DELLO STATO</w:t>
      </w:r>
    </w:p>
    <w:p w:rsidR="00FE6DA0" w:rsidRDefault="00FE6DA0" w:rsidP="00626D17">
      <w:pPr>
        <w:spacing w:after="0" w:line="20" w:lineRule="atLeast"/>
        <w:jc w:val="both"/>
        <w:rPr>
          <w:rFonts w:cstheme="minorHAnsi"/>
        </w:rPr>
      </w:pPr>
    </w:p>
    <w:p w:rsidR="000F4939" w:rsidRPr="00E46EF1" w:rsidRDefault="000F4939" w:rsidP="000F4939">
      <w:pPr>
        <w:spacing w:after="0" w:line="20" w:lineRule="atLeast"/>
        <w:jc w:val="both"/>
        <w:rPr>
          <w:rFonts w:cstheme="minorHAnsi"/>
        </w:rPr>
      </w:pPr>
      <w:r w:rsidRPr="00CC74BF">
        <w:rPr>
          <w:rFonts w:cstheme="minorHAnsi"/>
          <w:b/>
        </w:rPr>
        <w:t>Determinazione 22 luglio 2019, n. G09919</w:t>
      </w:r>
      <w:r w:rsidRPr="00E46EF1">
        <w:rPr>
          <w:rFonts w:cstheme="minorHAnsi"/>
        </w:rPr>
        <w:t xml:space="preserve"> Osservatorio tecnico - scientifico per la sicurezza, la legalità e la lotta alla corruzione (art.8 della Legge regionale 5 luglio 2001, n. 15). Impegno di spesa della somma necessaria alla liquidazione dei gettoni di presenza da corrispondere ai componenti dell'Osservatorio tecnico - scientifico per la sicurezza, la legalità e la lotta alla corruzione per l'anno 2019. Capitolo R21404 – "Spese di funzionamento, compresi i gettoni ecc., di commissioni, comitati e organi consultivi", Missione 01, Programma 01, Macroaggregato 1.03.02.10.001 - Esercizio Finanziario 2019.</w:t>
      </w:r>
      <w:r>
        <w:rPr>
          <w:rFonts w:cstheme="minorHAnsi"/>
        </w:rPr>
        <w:t xml:space="preserve"> (BUR n. 63 del 6.8.19)</w:t>
      </w:r>
    </w:p>
    <w:p w:rsidR="000F4939" w:rsidRPr="00CC74BF" w:rsidRDefault="000F4939" w:rsidP="000F4939">
      <w:pPr>
        <w:spacing w:after="0" w:line="20" w:lineRule="atLeast"/>
        <w:jc w:val="both"/>
        <w:rPr>
          <w:rFonts w:cstheme="minorHAnsi"/>
          <w:b/>
        </w:rPr>
      </w:pPr>
      <w:r w:rsidRPr="00CC74BF">
        <w:rPr>
          <w:rFonts w:cstheme="minorHAnsi"/>
          <w:b/>
        </w:rPr>
        <w:t>Note</w:t>
      </w:r>
    </w:p>
    <w:p w:rsidR="000F4939" w:rsidRDefault="000F4939" w:rsidP="000F4939">
      <w:pPr>
        <w:spacing w:after="0" w:line="20" w:lineRule="atLeast"/>
        <w:jc w:val="both"/>
        <w:rPr>
          <w:rFonts w:cstheme="minorHAnsi"/>
        </w:rPr>
      </w:pPr>
      <w:r>
        <w:rPr>
          <w:rFonts w:cstheme="minorHAnsi"/>
        </w:rPr>
        <w:t>L</w:t>
      </w:r>
      <w:r w:rsidRPr="00E46EF1">
        <w:rPr>
          <w:rFonts w:cstheme="minorHAnsi"/>
        </w:rPr>
        <w:t xml:space="preserve">’Osservatorio è costituito con decreto del Presidente della Regione ed è composto da: </w:t>
      </w:r>
    </w:p>
    <w:p w:rsidR="000F4939" w:rsidRDefault="000F4939" w:rsidP="000F4939">
      <w:pPr>
        <w:spacing w:after="0" w:line="20" w:lineRule="atLeast"/>
        <w:jc w:val="both"/>
        <w:rPr>
          <w:rFonts w:cstheme="minorHAnsi"/>
        </w:rPr>
      </w:pPr>
      <w:r w:rsidRPr="00E46EF1">
        <w:rPr>
          <w:rFonts w:cstheme="minorHAnsi"/>
        </w:rPr>
        <w:lastRenderedPageBreak/>
        <w:sym w:font="Symbol" w:char="F0B7"/>
      </w:r>
      <w:r w:rsidRPr="00E46EF1">
        <w:rPr>
          <w:rFonts w:cstheme="minorHAnsi"/>
        </w:rPr>
        <w:t xml:space="preserve"> </w:t>
      </w:r>
      <w:proofErr w:type="gramStart"/>
      <w:r w:rsidRPr="00E46EF1">
        <w:rPr>
          <w:rFonts w:cstheme="minorHAnsi"/>
        </w:rPr>
        <w:t>tre</w:t>
      </w:r>
      <w:proofErr w:type="gramEnd"/>
      <w:r w:rsidRPr="00E46EF1">
        <w:rPr>
          <w:rFonts w:cstheme="minorHAnsi"/>
        </w:rPr>
        <w:t xml:space="preserve"> membri, scelti dal Presidente della Giunta regionale tra soggetti di comprovata competenza professionale e scientifica nel campo sociale, della sicurezza e della prevenzione del crimine, di cui uno con funzioni di presidente previa audizione presso la commissione consiliare competente; </w:t>
      </w:r>
      <w:r w:rsidRPr="00E46EF1">
        <w:rPr>
          <w:rFonts w:cstheme="minorHAnsi"/>
        </w:rPr>
        <w:sym w:font="Symbol" w:char="F0B7"/>
      </w:r>
      <w:r w:rsidRPr="00E46EF1">
        <w:rPr>
          <w:rFonts w:cstheme="minorHAnsi"/>
        </w:rPr>
        <w:t xml:space="preserve"> un membro designato dall’ufficio scolastico regionale per il Lazio; </w:t>
      </w:r>
    </w:p>
    <w:p w:rsidR="000F4939" w:rsidRDefault="000F4939" w:rsidP="000F4939">
      <w:pPr>
        <w:spacing w:after="0" w:line="20" w:lineRule="atLeast"/>
        <w:jc w:val="both"/>
        <w:rPr>
          <w:rFonts w:cstheme="minorHAnsi"/>
        </w:rPr>
      </w:pPr>
      <w:r w:rsidRPr="00E46EF1">
        <w:rPr>
          <w:rFonts w:cstheme="minorHAnsi"/>
        </w:rPr>
        <w:sym w:font="Symbol" w:char="F0B7"/>
      </w:r>
      <w:r w:rsidRPr="00E46EF1">
        <w:rPr>
          <w:rFonts w:cstheme="minorHAnsi"/>
        </w:rPr>
        <w:t xml:space="preserve"> </w:t>
      </w:r>
      <w:proofErr w:type="gramStart"/>
      <w:r w:rsidRPr="00E46EF1">
        <w:rPr>
          <w:rFonts w:cstheme="minorHAnsi"/>
        </w:rPr>
        <w:t>un</w:t>
      </w:r>
      <w:proofErr w:type="gramEnd"/>
      <w:r w:rsidRPr="00E46EF1">
        <w:rPr>
          <w:rFonts w:cstheme="minorHAnsi"/>
        </w:rPr>
        <w:t xml:space="preserve"> rappresentante del Comando Legione Carabinieri; </w:t>
      </w:r>
    </w:p>
    <w:p w:rsidR="000F4939" w:rsidRDefault="000F4939" w:rsidP="000F4939">
      <w:pPr>
        <w:spacing w:after="0" w:line="20" w:lineRule="atLeast"/>
        <w:jc w:val="both"/>
        <w:rPr>
          <w:rFonts w:cstheme="minorHAnsi"/>
        </w:rPr>
      </w:pPr>
      <w:r w:rsidRPr="00E46EF1">
        <w:rPr>
          <w:rFonts w:cstheme="minorHAnsi"/>
        </w:rPr>
        <w:sym w:font="Symbol" w:char="F0B7"/>
      </w:r>
      <w:r w:rsidRPr="00E46EF1">
        <w:rPr>
          <w:rFonts w:cstheme="minorHAnsi"/>
        </w:rPr>
        <w:t xml:space="preserve"> </w:t>
      </w:r>
      <w:proofErr w:type="gramStart"/>
      <w:r w:rsidRPr="00E46EF1">
        <w:rPr>
          <w:rFonts w:cstheme="minorHAnsi"/>
        </w:rPr>
        <w:t>un</w:t>
      </w:r>
      <w:proofErr w:type="gramEnd"/>
      <w:r w:rsidRPr="00E46EF1">
        <w:rPr>
          <w:rFonts w:cstheme="minorHAnsi"/>
        </w:rPr>
        <w:t xml:space="preserve"> rappresentante del comando regionale della Guardia di Finanza; </w:t>
      </w:r>
    </w:p>
    <w:p w:rsidR="000F4939" w:rsidRDefault="000F4939" w:rsidP="000F4939">
      <w:pPr>
        <w:spacing w:after="0" w:line="20" w:lineRule="atLeast"/>
        <w:jc w:val="both"/>
        <w:rPr>
          <w:rFonts w:cstheme="minorHAnsi"/>
        </w:rPr>
      </w:pPr>
      <w:r w:rsidRPr="00E46EF1">
        <w:rPr>
          <w:rFonts w:cstheme="minorHAnsi"/>
        </w:rPr>
        <w:sym w:font="Symbol" w:char="F0B7"/>
      </w:r>
      <w:r w:rsidRPr="00E46EF1">
        <w:rPr>
          <w:rFonts w:cstheme="minorHAnsi"/>
        </w:rPr>
        <w:t xml:space="preserve"> </w:t>
      </w:r>
      <w:proofErr w:type="gramStart"/>
      <w:r w:rsidRPr="00E46EF1">
        <w:rPr>
          <w:rFonts w:cstheme="minorHAnsi"/>
        </w:rPr>
        <w:t>un</w:t>
      </w:r>
      <w:proofErr w:type="gramEnd"/>
      <w:r w:rsidRPr="00E46EF1">
        <w:rPr>
          <w:rFonts w:cstheme="minorHAnsi"/>
        </w:rPr>
        <w:t xml:space="preserve"> rappresentante della Polizia di Stato; </w:t>
      </w:r>
    </w:p>
    <w:p w:rsidR="000F4939" w:rsidRDefault="000F4939" w:rsidP="000F4939">
      <w:pPr>
        <w:spacing w:after="0" w:line="20" w:lineRule="atLeast"/>
        <w:jc w:val="both"/>
        <w:rPr>
          <w:rFonts w:cstheme="minorHAnsi"/>
        </w:rPr>
      </w:pPr>
      <w:r w:rsidRPr="00E46EF1">
        <w:rPr>
          <w:rFonts w:cstheme="minorHAnsi"/>
        </w:rPr>
        <w:sym w:font="Symbol" w:char="F0B7"/>
      </w:r>
      <w:r w:rsidRPr="00E46EF1">
        <w:rPr>
          <w:rFonts w:cstheme="minorHAnsi"/>
        </w:rPr>
        <w:t xml:space="preserve"> </w:t>
      </w:r>
      <w:proofErr w:type="gramStart"/>
      <w:r w:rsidRPr="00E46EF1">
        <w:rPr>
          <w:rFonts w:cstheme="minorHAnsi"/>
        </w:rPr>
        <w:t>il</w:t>
      </w:r>
      <w:proofErr w:type="gramEnd"/>
      <w:r w:rsidRPr="00E46EF1">
        <w:rPr>
          <w:rFonts w:cstheme="minorHAnsi"/>
        </w:rPr>
        <w:t xml:space="preserve"> Prefetto o altro rappresentante dell’ufficio territoriale del Governo del capoluogo della Regione; </w:t>
      </w:r>
    </w:p>
    <w:p w:rsidR="000F4939" w:rsidRDefault="000F4939" w:rsidP="000F4939">
      <w:pPr>
        <w:spacing w:after="0" w:line="20" w:lineRule="atLeast"/>
        <w:jc w:val="both"/>
        <w:rPr>
          <w:rFonts w:cstheme="minorHAnsi"/>
        </w:rPr>
      </w:pPr>
      <w:r w:rsidRPr="00E46EF1">
        <w:rPr>
          <w:rFonts w:cstheme="minorHAnsi"/>
        </w:rPr>
        <w:sym w:font="Symbol" w:char="F0B7"/>
      </w:r>
      <w:r w:rsidRPr="00E46EF1">
        <w:rPr>
          <w:rFonts w:cstheme="minorHAnsi"/>
        </w:rPr>
        <w:t xml:space="preserve"> </w:t>
      </w:r>
      <w:proofErr w:type="gramStart"/>
      <w:r w:rsidRPr="00E46EF1">
        <w:rPr>
          <w:rFonts w:cstheme="minorHAnsi"/>
        </w:rPr>
        <w:t>un</w:t>
      </w:r>
      <w:proofErr w:type="gramEnd"/>
      <w:r w:rsidRPr="00E46EF1">
        <w:rPr>
          <w:rFonts w:cstheme="minorHAnsi"/>
        </w:rPr>
        <w:t xml:space="preserve"> rappresentante delle polizie locali del Lazio designato dal Presidente della Giunta regionale; </w:t>
      </w:r>
    </w:p>
    <w:p w:rsidR="000F4939" w:rsidRDefault="000F4939" w:rsidP="000F4939">
      <w:pPr>
        <w:spacing w:after="0" w:line="20" w:lineRule="atLeast"/>
        <w:jc w:val="both"/>
        <w:rPr>
          <w:rFonts w:cstheme="minorHAnsi"/>
        </w:rPr>
      </w:pPr>
      <w:r w:rsidRPr="00E46EF1">
        <w:rPr>
          <w:rFonts w:cstheme="minorHAnsi"/>
        </w:rPr>
        <w:sym w:font="Symbol" w:char="F0B7"/>
      </w:r>
      <w:r w:rsidRPr="00E46EF1">
        <w:rPr>
          <w:rFonts w:cstheme="minorHAnsi"/>
        </w:rPr>
        <w:t xml:space="preserve"> </w:t>
      </w:r>
      <w:proofErr w:type="gramStart"/>
      <w:r w:rsidRPr="00E46EF1">
        <w:rPr>
          <w:rFonts w:cstheme="minorHAnsi"/>
        </w:rPr>
        <w:t>un</w:t>
      </w:r>
      <w:proofErr w:type="gramEnd"/>
      <w:r w:rsidRPr="00E46EF1">
        <w:rPr>
          <w:rFonts w:cstheme="minorHAnsi"/>
        </w:rPr>
        <w:t xml:space="preserve"> rappresentante delle associazioni regionali o nazionali maggiormente rappresentative che si occupano di legalità; </w:t>
      </w:r>
    </w:p>
    <w:p w:rsidR="000F4939" w:rsidRDefault="000F4939" w:rsidP="000F4939">
      <w:pPr>
        <w:spacing w:after="0" w:line="20" w:lineRule="atLeast"/>
        <w:jc w:val="both"/>
        <w:rPr>
          <w:rFonts w:cstheme="minorHAnsi"/>
        </w:rPr>
      </w:pPr>
      <w:r w:rsidRPr="00E46EF1">
        <w:rPr>
          <w:rFonts w:cstheme="minorHAnsi"/>
        </w:rPr>
        <w:sym w:font="Symbol" w:char="F0B7"/>
      </w:r>
      <w:r w:rsidRPr="00E46EF1">
        <w:rPr>
          <w:rFonts w:cstheme="minorHAnsi"/>
        </w:rPr>
        <w:t xml:space="preserve"> </w:t>
      </w:r>
      <w:proofErr w:type="gramStart"/>
      <w:r w:rsidRPr="00E46EF1">
        <w:rPr>
          <w:rFonts w:cstheme="minorHAnsi"/>
        </w:rPr>
        <w:t>un</w:t>
      </w:r>
      <w:proofErr w:type="gramEnd"/>
      <w:r w:rsidRPr="00E46EF1">
        <w:rPr>
          <w:rFonts w:cstheme="minorHAnsi"/>
        </w:rPr>
        <w:t xml:space="preserve"> rappresentante delle associazioni più rappresentative del mondo dell’impresa; </w:t>
      </w:r>
    </w:p>
    <w:p w:rsidR="000F4939" w:rsidRDefault="000F4939" w:rsidP="000F4939">
      <w:pPr>
        <w:spacing w:after="0" w:line="20" w:lineRule="atLeast"/>
        <w:jc w:val="both"/>
        <w:rPr>
          <w:rFonts w:cstheme="minorHAnsi"/>
        </w:rPr>
      </w:pPr>
      <w:r w:rsidRPr="00E46EF1">
        <w:rPr>
          <w:rFonts w:cstheme="minorHAnsi"/>
        </w:rPr>
        <w:sym w:font="Symbol" w:char="F0B7"/>
      </w:r>
      <w:r w:rsidRPr="00E46EF1">
        <w:rPr>
          <w:rFonts w:cstheme="minorHAnsi"/>
        </w:rPr>
        <w:t xml:space="preserve"> </w:t>
      </w:r>
      <w:proofErr w:type="gramStart"/>
      <w:r w:rsidRPr="00E46EF1">
        <w:rPr>
          <w:rFonts w:cstheme="minorHAnsi"/>
        </w:rPr>
        <w:t>un</w:t>
      </w:r>
      <w:proofErr w:type="gramEnd"/>
      <w:r w:rsidRPr="00E46EF1">
        <w:rPr>
          <w:rFonts w:cstheme="minorHAnsi"/>
        </w:rPr>
        <w:t xml:space="preserve"> rappresentante delle organizzazioni sindacali più rappresentative del settore;</w:t>
      </w:r>
    </w:p>
    <w:p w:rsidR="000F4939" w:rsidRDefault="000F4939" w:rsidP="000F4939">
      <w:pPr>
        <w:spacing w:after="0" w:line="20" w:lineRule="atLeast"/>
        <w:jc w:val="both"/>
        <w:rPr>
          <w:rFonts w:cstheme="minorHAnsi"/>
        </w:rPr>
      </w:pPr>
      <w:r w:rsidRPr="00E46EF1">
        <w:rPr>
          <w:rFonts w:cstheme="minorHAnsi"/>
        </w:rPr>
        <w:t xml:space="preserve"> </w:t>
      </w:r>
      <w:r w:rsidRPr="00E46EF1">
        <w:rPr>
          <w:rFonts w:cstheme="minorHAnsi"/>
        </w:rPr>
        <w:sym w:font="Symbol" w:char="F0B7"/>
      </w:r>
      <w:r w:rsidRPr="00E46EF1">
        <w:rPr>
          <w:rFonts w:cstheme="minorHAnsi"/>
        </w:rPr>
        <w:t xml:space="preserve"> </w:t>
      </w:r>
      <w:proofErr w:type="gramStart"/>
      <w:r w:rsidRPr="00E46EF1">
        <w:rPr>
          <w:rFonts w:cstheme="minorHAnsi"/>
        </w:rPr>
        <w:t>un</w:t>
      </w:r>
      <w:proofErr w:type="gramEnd"/>
      <w:r w:rsidRPr="00E46EF1">
        <w:rPr>
          <w:rFonts w:cstheme="minorHAnsi"/>
        </w:rPr>
        <w:t xml:space="preserve"> rappresentante della sicurezza penitenziaria designato dal Dipartimento dell’Amministrazione Penitenziaria (DAP); </w:t>
      </w:r>
    </w:p>
    <w:p w:rsidR="000F4939" w:rsidRDefault="000F4939" w:rsidP="000F4939">
      <w:pPr>
        <w:spacing w:after="0" w:line="20" w:lineRule="atLeast"/>
        <w:jc w:val="both"/>
        <w:rPr>
          <w:rFonts w:cstheme="minorHAnsi"/>
        </w:rPr>
      </w:pPr>
      <w:r w:rsidRPr="00E46EF1">
        <w:rPr>
          <w:rFonts w:cstheme="minorHAnsi"/>
        </w:rPr>
        <w:sym w:font="Symbol" w:char="F0B7"/>
      </w:r>
      <w:r w:rsidRPr="00E46EF1">
        <w:rPr>
          <w:rFonts w:cstheme="minorHAnsi"/>
        </w:rPr>
        <w:t xml:space="preserve"> </w:t>
      </w:r>
      <w:proofErr w:type="gramStart"/>
      <w:r w:rsidRPr="00E46EF1">
        <w:rPr>
          <w:rFonts w:cstheme="minorHAnsi"/>
        </w:rPr>
        <w:t>un</w:t>
      </w:r>
      <w:proofErr w:type="gramEnd"/>
      <w:r w:rsidRPr="00E46EF1">
        <w:rPr>
          <w:rFonts w:cstheme="minorHAnsi"/>
        </w:rPr>
        <w:t xml:space="preserve"> rappresentante del Centro operativo di Roma della Direzione investigativa antimafia (DIA)</w:t>
      </w:r>
      <w:r>
        <w:rPr>
          <w:rFonts w:cstheme="minorHAnsi"/>
        </w:rPr>
        <w:t>.</w:t>
      </w:r>
      <w:r w:rsidRPr="00E46EF1">
        <w:rPr>
          <w:rFonts w:cstheme="minorHAnsi"/>
        </w:rPr>
        <w:t xml:space="preserve"> </w:t>
      </w:r>
      <w:r>
        <w:rPr>
          <w:rFonts w:cstheme="minorHAnsi"/>
        </w:rPr>
        <w:t>L</w:t>
      </w:r>
      <w:r w:rsidRPr="00E46EF1">
        <w:rPr>
          <w:rFonts w:cstheme="minorHAnsi"/>
        </w:rPr>
        <w:t>’Osservatorio dura in carica fino all’insediamento della Giunta regionale costituita a seguito del rinnovo del Consiglio regional</w:t>
      </w:r>
      <w:r>
        <w:rPr>
          <w:rFonts w:cstheme="minorHAnsi"/>
        </w:rPr>
        <w:t>e.</w:t>
      </w:r>
    </w:p>
    <w:p w:rsidR="000F4939" w:rsidRDefault="000F4939" w:rsidP="000F4939">
      <w:pPr>
        <w:spacing w:after="0" w:line="20" w:lineRule="atLeast"/>
        <w:jc w:val="both"/>
        <w:rPr>
          <w:rFonts w:cstheme="minorHAnsi"/>
        </w:rPr>
      </w:pPr>
      <w:r>
        <w:rPr>
          <w:rFonts w:cstheme="minorHAnsi"/>
        </w:rPr>
        <w:t>A</w:t>
      </w:r>
      <w:r w:rsidRPr="00E46EF1">
        <w:rPr>
          <w:rFonts w:cstheme="minorHAnsi"/>
        </w:rPr>
        <w:t>i componenti dell’Osservatorio spetta un compenso determinato nel decreto del Presidente della Giunta regionale di costituzione, nonché il rimborso delle spese di viaggio e il trattamento di missione in misura non superiore a quella prevista per i dirigenti regionali</w:t>
      </w:r>
    </w:p>
    <w:p w:rsidR="000F4939" w:rsidRPr="00E46EF1" w:rsidRDefault="000F4939" w:rsidP="000F4939">
      <w:pPr>
        <w:spacing w:after="0" w:line="20" w:lineRule="atLeast"/>
        <w:jc w:val="both"/>
        <w:rPr>
          <w:rFonts w:cstheme="minorHAnsi"/>
        </w:rPr>
      </w:pPr>
      <w:proofErr w:type="gramStart"/>
      <w:r>
        <w:rPr>
          <w:rFonts w:cstheme="minorHAnsi"/>
        </w:rPr>
        <w:t xml:space="preserve">Viene </w:t>
      </w:r>
      <w:r w:rsidRPr="00E46EF1">
        <w:rPr>
          <w:rFonts w:cstheme="minorHAnsi"/>
        </w:rPr>
        <w:t xml:space="preserve"> assu</w:t>
      </w:r>
      <w:r>
        <w:rPr>
          <w:rFonts w:cstheme="minorHAnsi"/>
        </w:rPr>
        <w:t>nto</w:t>
      </w:r>
      <w:proofErr w:type="gramEnd"/>
      <w:r>
        <w:rPr>
          <w:rFonts w:cstheme="minorHAnsi"/>
        </w:rPr>
        <w:t xml:space="preserve"> </w:t>
      </w:r>
      <w:r w:rsidRPr="00E46EF1">
        <w:rPr>
          <w:rFonts w:cstheme="minorHAnsi"/>
        </w:rPr>
        <w:t xml:space="preserve">l’impegno di spesa per la liquidazione e pagamento dei compensi spettanti ai componenti dell’Osservatorio Tecnico Scientifico per l’attività in seno all’Osservatorio per l’anno 2019, per la somma complessiva di € 5.130,00 </w:t>
      </w:r>
    </w:p>
    <w:p w:rsidR="00CC548D" w:rsidRPr="006B0B81" w:rsidRDefault="00CC548D" w:rsidP="00CC548D">
      <w:pPr>
        <w:spacing w:after="0" w:line="20" w:lineRule="atLeast"/>
        <w:jc w:val="both"/>
        <w:rPr>
          <w:rFonts w:cstheme="minorHAnsi"/>
        </w:rPr>
      </w:pPr>
    </w:p>
    <w:p w:rsidR="00CC548D" w:rsidRPr="006B0B81" w:rsidRDefault="00CC548D" w:rsidP="00CC548D">
      <w:pPr>
        <w:spacing w:after="0" w:line="20" w:lineRule="atLeast"/>
        <w:jc w:val="both"/>
        <w:rPr>
          <w:rFonts w:cstheme="minorHAnsi"/>
        </w:rPr>
      </w:pPr>
      <w:r w:rsidRPr="006B0B81">
        <w:rPr>
          <w:rFonts w:cstheme="minorHAnsi"/>
          <w:b/>
        </w:rPr>
        <w:t>Determinazione 22 luglio 2019, n. G</w:t>
      </w:r>
      <w:proofErr w:type="gramStart"/>
      <w:r w:rsidRPr="006B0B81">
        <w:rPr>
          <w:rFonts w:cstheme="minorHAnsi"/>
          <w:b/>
        </w:rPr>
        <w:t xml:space="preserve">09921, </w:t>
      </w:r>
      <w:r w:rsidRPr="006B0B81">
        <w:rPr>
          <w:rFonts w:cstheme="minorHAnsi"/>
        </w:rPr>
        <w:t xml:space="preserve"> Adesione</w:t>
      </w:r>
      <w:proofErr w:type="gramEnd"/>
      <w:r w:rsidRPr="006B0B81">
        <w:rPr>
          <w:rFonts w:cstheme="minorHAnsi"/>
        </w:rPr>
        <w:t xml:space="preserve"> all'Associazione denominata "Avviso Pubblico. Enti locali e Regioni per la formazione civile contro le mafie", approvata con DGR 390 del 28 luglio 2015. Impegno di spesa di euro 2.500,00, quale contributo associativo anno 2019, sul Capitolo R45915 - Esercizio Finanziario 2019.</w:t>
      </w:r>
    </w:p>
    <w:p w:rsidR="00CC548D" w:rsidRDefault="00CC548D" w:rsidP="00CC548D">
      <w:pPr>
        <w:spacing w:after="0" w:line="20" w:lineRule="atLeast"/>
        <w:jc w:val="both"/>
        <w:rPr>
          <w:rFonts w:cstheme="minorHAnsi"/>
        </w:rPr>
      </w:pPr>
      <w:r w:rsidRPr="006B0B81">
        <w:rPr>
          <w:rFonts w:cstheme="minorHAnsi"/>
        </w:rPr>
        <w:t xml:space="preserve">Viene </w:t>
      </w:r>
      <w:proofErr w:type="gramStart"/>
      <w:r w:rsidRPr="006B0B81">
        <w:rPr>
          <w:rFonts w:cstheme="minorHAnsi"/>
        </w:rPr>
        <w:t>disposto  il</w:t>
      </w:r>
      <w:proofErr w:type="gramEnd"/>
      <w:r w:rsidRPr="006B0B81">
        <w:rPr>
          <w:rFonts w:cstheme="minorHAnsi"/>
        </w:rPr>
        <w:t xml:space="preserve"> contributo associativo per l’anno 2019 a favore dell'Associazione denominata “Avviso Pubblico. Enti locali e Regioni per la formazione civile contro le mafie”, a cui la Regione Lazio ha aderito con DGR n.390 del 28 luglio 2015</w:t>
      </w:r>
      <w:r>
        <w:rPr>
          <w:rFonts w:cstheme="minorHAnsi"/>
        </w:rPr>
        <w:t>.</w:t>
      </w:r>
    </w:p>
    <w:p w:rsidR="00FE5696" w:rsidRDefault="00FE5696" w:rsidP="00CC548D">
      <w:pPr>
        <w:spacing w:after="0" w:line="20" w:lineRule="atLeast"/>
        <w:jc w:val="both"/>
        <w:rPr>
          <w:rFonts w:cstheme="minorHAnsi"/>
        </w:rPr>
      </w:pPr>
    </w:p>
    <w:p w:rsidR="00FE5696" w:rsidRPr="00FE5696" w:rsidRDefault="00FE5696" w:rsidP="00FE5696">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FE5696">
        <w:rPr>
          <w:rFonts w:cstheme="minorHAnsi"/>
          <w:b/>
        </w:rPr>
        <w:t>ENTI LOCALI</w:t>
      </w:r>
    </w:p>
    <w:p w:rsidR="00FE5696" w:rsidRPr="00FE5696" w:rsidRDefault="00FE5696" w:rsidP="00FE5696">
      <w:pPr>
        <w:spacing w:after="0" w:line="20" w:lineRule="atLeast"/>
        <w:jc w:val="both"/>
        <w:rPr>
          <w:rFonts w:cstheme="minorHAnsi"/>
        </w:rPr>
      </w:pPr>
    </w:p>
    <w:p w:rsidR="00FE5696" w:rsidRPr="00FE5696" w:rsidRDefault="00FE5696" w:rsidP="00FE5696">
      <w:pPr>
        <w:spacing w:after="0" w:line="20" w:lineRule="atLeast"/>
        <w:jc w:val="both"/>
      </w:pPr>
      <w:r w:rsidRPr="00FE5696">
        <w:rPr>
          <w:b/>
        </w:rPr>
        <w:t xml:space="preserve">DGR  6 agosto 2019, n. </w:t>
      </w:r>
      <w:proofErr w:type="gramStart"/>
      <w:r w:rsidRPr="00FE5696">
        <w:rPr>
          <w:b/>
        </w:rPr>
        <w:t>606</w:t>
      </w:r>
      <w:r w:rsidRPr="00FE5696">
        <w:t>,  Trasformazione</w:t>
      </w:r>
      <w:proofErr w:type="gramEnd"/>
      <w:r w:rsidRPr="00FE5696">
        <w:t xml:space="preserve"> delle Comunità Montane del Lazio ex articolo 3, commi 126 e seguenti della legge regionale 31 dicembre 2016, n. 17 e successive modifiche. Istituzione di un Tavolo interistituzionale. (BUR</w:t>
      </w:r>
      <w:r w:rsidR="003C5DE3">
        <w:t xml:space="preserve"> </w:t>
      </w:r>
      <w:r w:rsidRPr="00FE5696">
        <w:t>n 69 del 27.8.19)</w:t>
      </w:r>
    </w:p>
    <w:p w:rsidR="00FE5696" w:rsidRPr="00FE5696" w:rsidRDefault="00FE5696" w:rsidP="00FE5696">
      <w:pPr>
        <w:spacing w:after="0" w:line="20" w:lineRule="atLeast"/>
        <w:jc w:val="both"/>
        <w:rPr>
          <w:b/>
        </w:rPr>
      </w:pPr>
      <w:r w:rsidRPr="00FE5696">
        <w:rPr>
          <w:b/>
        </w:rPr>
        <w:t>PREMESSA</w:t>
      </w:r>
    </w:p>
    <w:p w:rsidR="00FE5696" w:rsidRPr="00FE5696" w:rsidRDefault="00FE5696" w:rsidP="00FE5696">
      <w:pPr>
        <w:spacing w:after="0" w:line="20" w:lineRule="atLeast"/>
        <w:jc w:val="both"/>
      </w:pPr>
      <w:r w:rsidRPr="00FE5696">
        <w:t xml:space="preserve">L’articolo 3, commi 126 e seguenti della legge regionale 31 dicembre 2016, n. 17 (Legge di Stabilità regionale 2017) e successive modifiche ai sensi del quale, in particolare: </w:t>
      </w:r>
    </w:p>
    <w:p w:rsidR="00FE5696" w:rsidRPr="00FE5696" w:rsidRDefault="00FE5696" w:rsidP="00FE5696">
      <w:pPr>
        <w:spacing w:after="0" w:line="20" w:lineRule="atLeast"/>
        <w:jc w:val="both"/>
      </w:pPr>
      <w:r w:rsidRPr="00FE5696">
        <w:sym w:font="Symbol" w:char="F0B7"/>
      </w:r>
      <w:r w:rsidRPr="00FE5696">
        <w:t xml:space="preserve"> </w:t>
      </w:r>
      <w:proofErr w:type="gramStart"/>
      <w:r w:rsidRPr="00FE5696">
        <w:t>le</w:t>
      </w:r>
      <w:proofErr w:type="gramEnd"/>
      <w:r w:rsidRPr="00FE5696">
        <w:t xml:space="preserve"> comunità montane sono abolite e trasformate in unioni di comuni montani secondo il procedimento ivi disciplinato; </w:t>
      </w:r>
    </w:p>
    <w:p w:rsidR="00FE5696" w:rsidRPr="00FE5696" w:rsidRDefault="00FE5696" w:rsidP="00FE5696">
      <w:pPr>
        <w:spacing w:after="0" w:line="20" w:lineRule="atLeast"/>
        <w:jc w:val="both"/>
      </w:pPr>
      <w:r w:rsidRPr="00FE5696">
        <w:sym w:font="Symbol" w:char="F0B7"/>
      </w:r>
      <w:r w:rsidRPr="00FE5696">
        <w:t xml:space="preserve"> </w:t>
      </w:r>
      <w:proofErr w:type="gramStart"/>
      <w:r w:rsidRPr="00FE5696">
        <w:t>per</w:t>
      </w:r>
      <w:proofErr w:type="gramEnd"/>
      <w:r w:rsidRPr="00FE5696">
        <w:t xml:space="preserve"> ciascuna comunità montana, il Presidente della Regione nomina un commissario straordinario liquidatore e un sub commissario per la liquidazione della comunità; i commissari liquidatori operano fino alla data di estinzione della comunità montana alla quale sono preposti, svolgendo, tra l'altro, le funzioni dei cessati organi esecutivi e deliberativi; </w:t>
      </w:r>
    </w:p>
    <w:p w:rsidR="00FE5696" w:rsidRPr="00FE5696" w:rsidRDefault="00FE5696" w:rsidP="00FE5696">
      <w:pPr>
        <w:spacing w:after="0" w:line="20" w:lineRule="atLeast"/>
        <w:jc w:val="both"/>
      </w:pPr>
      <w:r w:rsidRPr="00FE5696">
        <w:sym w:font="Symbol" w:char="F0B7"/>
      </w:r>
      <w:r w:rsidRPr="00FE5696">
        <w:t xml:space="preserve"> </w:t>
      </w:r>
      <w:proofErr w:type="gramStart"/>
      <w:r w:rsidRPr="00FE5696">
        <w:t>i</w:t>
      </w:r>
      <w:proofErr w:type="gramEnd"/>
      <w:r w:rsidRPr="00FE5696">
        <w:t xml:space="preserve"> commissari liquidatori svolgono la loro attività nel rispetto dei principi previsti dall’ordinamento in materia di enti locali ed esercitano ogni potere finalizzato alla soppressione della comunità, adottando gli atti amministrativi necessari a garantire la prosecuzione dell’attività e delle funzioni della stessa ivi inclusi quelli concernenti la gestione associata dei servizi, fino alla chiusura della procedura di liquidazione; 130.</w:t>
      </w:r>
    </w:p>
    <w:p w:rsidR="00FE5696" w:rsidRPr="00FE5696" w:rsidRDefault="00FE5696" w:rsidP="00FE5696">
      <w:pPr>
        <w:spacing w:after="0" w:line="20" w:lineRule="atLeast"/>
        <w:jc w:val="both"/>
      </w:pPr>
      <w:r w:rsidRPr="00FE5696">
        <w:lastRenderedPageBreak/>
        <w:sym w:font="Symbol" w:char="F0B7"/>
      </w:r>
      <w:r w:rsidRPr="00FE5696">
        <w:t xml:space="preserve"> </w:t>
      </w:r>
      <w:proofErr w:type="gramStart"/>
      <w:r w:rsidRPr="00FE5696">
        <w:t>entro</w:t>
      </w:r>
      <w:proofErr w:type="gramEnd"/>
      <w:r w:rsidRPr="00FE5696">
        <w:t xml:space="preserve"> e non oltre dieci giorni dall’approvazione del bilancio finale di liquidazione, il Presidente della Regione provvede all’estinzione della comunità montana per trasformazione in unione di comuni montani; l’estinzione ha effetto dalla data di insediamento degli organi della nuova unione di comuni montani subentrante alla comunità montana soppressa; </w:t>
      </w:r>
    </w:p>
    <w:p w:rsidR="00FE5696" w:rsidRPr="00FE5696" w:rsidRDefault="00FE5696" w:rsidP="00FE5696">
      <w:pPr>
        <w:spacing w:after="0" w:line="20" w:lineRule="atLeast"/>
        <w:jc w:val="both"/>
      </w:pPr>
      <w:r w:rsidRPr="00FE5696">
        <w:sym w:font="Symbol" w:char="F0B7"/>
      </w:r>
      <w:r w:rsidRPr="00FE5696">
        <w:t xml:space="preserve"> </w:t>
      </w:r>
      <w:proofErr w:type="gramStart"/>
      <w:r w:rsidRPr="00FE5696">
        <w:t>dalla</w:t>
      </w:r>
      <w:proofErr w:type="gramEnd"/>
      <w:r w:rsidRPr="00FE5696">
        <w:t xml:space="preserve"> data di estinzione della comunità montana, l’unione succede nei beni e in tutti i rapporti attivi e passivi della comunità montana estinta e i commissari straordinari e liquidatori cessano di operare con l’estinzione della stessa; </w:t>
      </w:r>
    </w:p>
    <w:p w:rsidR="00FE5696" w:rsidRPr="00FE5696" w:rsidRDefault="00FE5696" w:rsidP="00FE5696">
      <w:pPr>
        <w:spacing w:after="0" w:line="20" w:lineRule="atLeast"/>
        <w:jc w:val="both"/>
      </w:pPr>
      <w:r w:rsidRPr="00FE5696">
        <w:sym w:font="Symbol" w:char="F0B7"/>
      </w:r>
      <w:r w:rsidRPr="00FE5696">
        <w:t xml:space="preserve"> </w:t>
      </w:r>
      <w:proofErr w:type="gramStart"/>
      <w:r w:rsidRPr="00FE5696">
        <w:t>la</w:t>
      </w:r>
      <w:proofErr w:type="gramEnd"/>
      <w:r w:rsidRPr="00FE5696">
        <w:t xml:space="preserve"> comunità di arcipelago delle Isole Ponziane è estinta e il relativo personale transita nei ruoli dei singoli comuni che vi facevano parte, nel rispetto dei principi previsti dal suddetto articolo 3; è’ facoltà dei comuni facenti parte dell’estinta comunità di arcipelago associarsi per l’esercizio associato delle funzioni comunali-</w:t>
      </w:r>
    </w:p>
    <w:p w:rsidR="00FE5696" w:rsidRPr="00FE5696" w:rsidRDefault="00FE5696" w:rsidP="00FE5696">
      <w:pPr>
        <w:spacing w:after="0" w:line="20" w:lineRule="atLeast"/>
        <w:jc w:val="both"/>
        <w:rPr>
          <w:b/>
        </w:rPr>
      </w:pPr>
      <w:r w:rsidRPr="00FE5696">
        <w:t xml:space="preserve"> </w:t>
      </w:r>
      <w:r w:rsidRPr="00FE5696">
        <w:rPr>
          <w:b/>
        </w:rPr>
        <w:t>LA DISPOSIZIONE</w:t>
      </w:r>
    </w:p>
    <w:p w:rsidR="00FE5696" w:rsidRPr="00FE5696" w:rsidRDefault="00FE5696" w:rsidP="00FE5696">
      <w:pPr>
        <w:spacing w:after="0" w:line="20" w:lineRule="atLeast"/>
        <w:jc w:val="both"/>
      </w:pPr>
      <w:proofErr w:type="gramStart"/>
      <w:r w:rsidRPr="00FE5696">
        <w:t>Viene  istituito</w:t>
      </w:r>
      <w:proofErr w:type="gramEnd"/>
      <w:r w:rsidRPr="00FE5696">
        <w:t xml:space="preserve">  un Tavolo interistituzionale tra la Regione e le associazioni rappresentative degli enti locali e delle comunità montane, al fine di favorire la condivisione e il confronto in ordine a tematiche e criticità connesse al complesso processo di trasformazione ed estinzione delle Comunità montane ai sensi l’articolo 3, commi 126 e seguenti della legge regionale 31 dicembre 2016, n. 17.</w:t>
      </w:r>
    </w:p>
    <w:p w:rsidR="00FE5696" w:rsidRPr="00FE5696" w:rsidRDefault="00FE5696" w:rsidP="00FE5696">
      <w:pPr>
        <w:spacing w:after="0" w:line="20" w:lineRule="atLeast"/>
        <w:jc w:val="both"/>
      </w:pPr>
      <w:r w:rsidRPr="00FE5696">
        <w:t xml:space="preserve">Il Tavolo interistituzionale è </w:t>
      </w:r>
      <w:proofErr w:type="gramStart"/>
      <w:r w:rsidRPr="00FE5696">
        <w:t xml:space="preserve">composto: </w:t>
      </w:r>
      <w:r w:rsidRPr="00FE5696">
        <w:sym w:font="Symbol" w:char="F0FC"/>
      </w:r>
      <w:r w:rsidRPr="00FE5696">
        <w:t xml:space="preserve"> dall’Assessore</w:t>
      </w:r>
      <w:proofErr w:type="gramEnd"/>
      <w:r w:rsidRPr="00FE5696">
        <w:t xml:space="preserve"> regionale competente in materia di Enti Locali, o un suo delegato; </w:t>
      </w:r>
      <w:r w:rsidRPr="00FE5696">
        <w:sym w:font="Symbol" w:char="F0FC"/>
      </w:r>
      <w:r w:rsidRPr="00FE5696">
        <w:t xml:space="preserve"> dal Presidente dell’UNCEM regionale o un suo delegato; </w:t>
      </w:r>
      <w:r w:rsidRPr="00FE5696">
        <w:sym w:font="Symbol" w:char="F0FC"/>
      </w:r>
      <w:r w:rsidRPr="00FE5696">
        <w:t xml:space="preserve"> dal Presidente dell’ANCI Lazio, o un suo delegato; </w:t>
      </w:r>
      <w:r w:rsidRPr="00FE5696">
        <w:sym w:font="Symbol" w:char="F0FC"/>
      </w:r>
      <w:r w:rsidRPr="00FE5696">
        <w:t xml:space="preserve"> il Direttore della Direzione Regionale “Affari Istituzionali, Personale e Sistemi Informativi”, o un suo delegato</w:t>
      </w:r>
      <w:r>
        <w:t>.</w:t>
      </w:r>
    </w:p>
    <w:p w:rsidR="00FE5696" w:rsidRDefault="00FE5696" w:rsidP="00FE5696">
      <w:pPr>
        <w:spacing w:after="0" w:line="20" w:lineRule="atLeast"/>
        <w:jc w:val="both"/>
        <w:rPr>
          <w:u w:val="single"/>
        </w:rPr>
      </w:pPr>
      <w:r w:rsidRPr="00FE5696">
        <w:rPr>
          <w:u w:val="single"/>
        </w:rPr>
        <w:t>La partecipazione al Tavolo è a titolo gratuito e non comporta alcun onere per la Regione</w:t>
      </w:r>
    </w:p>
    <w:p w:rsidR="002C4F2C" w:rsidRDefault="002C4F2C" w:rsidP="00FE5696">
      <w:pPr>
        <w:spacing w:after="0" w:line="20" w:lineRule="atLeast"/>
        <w:jc w:val="both"/>
        <w:rPr>
          <w:u w:val="single"/>
        </w:rPr>
      </w:pPr>
    </w:p>
    <w:p w:rsidR="002C4F2C" w:rsidRPr="001B01DA" w:rsidRDefault="002C4F2C" w:rsidP="002C4F2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1B01DA">
        <w:rPr>
          <w:rFonts w:cstheme="minorHAnsi"/>
          <w:b/>
        </w:rPr>
        <w:t>DIPENDENZE</w:t>
      </w:r>
    </w:p>
    <w:p w:rsidR="002C4F2C" w:rsidRDefault="002C4F2C" w:rsidP="002C4F2C">
      <w:pPr>
        <w:spacing w:after="0" w:line="20" w:lineRule="atLeast"/>
        <w:jc w:val="both"/>
        <w:rPr>
          <w:rFonts w:cstheme="minorHAnsi"/>
        </w:rPr>
      </w:pPr>
    </w:p>
    <w:p w:rsidR="002C4F2C" w:rsidRPr="002C4F2C" w:rsidRDefault="002C4F2C" w:rsidP="002C4F2C">
      <w:pPr>
        <w:spacing w:after="0" w:line="20" w:lineRule="atLeast"/>
        <w:jc w:val="both"/>
      </w:pPr>
      <w:r w:rsidRPr="002C4F2C">
        <w:rPr>
          <w:b/>
        </w:rPr>
        <w:t xml:space="preserve">DGR 2 agosto 2019, n. </w:t>
      </w:r>
      <w:proofErr w:type="gramStart"/>
      <w:r w:rsidRPr="002C4F2C">
        <w:rPr>
          <w:b/>
        </w:rPr>
        <w:t>568</w:t>
      </w:r>
      <w:r w:rsidRPr="002C4F2C">
        <w:t>,  Integrazione</w:t>
      </w:r>
      <w:proofErr w:type="gramEnd"/>
      <w:r w:rsidRPr="002C4F2C">
        <w:t xml:space="preserve"> del Piano operativo annuale LAZIOcrea S.p.A. per l'anno 2019 con il nuovo servizio "Osservatorio on line permanente GAP" all'interno della Macroarea n.20 "Inclusione sociale" (BUR n. 69 del 27.8.19)</w:t>
      </w:r>
    </w:p>
    <w:p w:rsidR="002C4F2C" w:rsidRPr="002C4F2C" w:rsidRDefault="002C4F2C" w:rsidP="002C4F2C">
      <w:pPr>
        <w:spacing w:after="0" w:line="20" w:lineRule="atLeast"/>
        <w:jc w:val="both"/>
      </w:pPr>
      <w:r w:rsidRPr="002C4F2C">
        <w:t>Note</w:t>
      </w:r>
    </w:p>
    <w:p w:rsidR="002C4F2C" w:rsidRPr="002C4F2C" w:rsidRDefault="002C4F2C" w:rsidP="002C4F2C">
      <w:pPr>
        <w:spacing w:after="0" w:line="20" w:lineRule="atLeast"/>
        <w:jc w:val="both"/>
      </w:pPr>
      <w:r w:rsidRPr="002C4F2C">
        <w:t xml:space="preserve">Viene </w:t>
      </w:r>
      <w:proofErr w:type="gramStart"/>
      <w:r w:rsidRPr="002C4F2C">
        <w:t>integrato  il</w:t>
      </w:r>
      <w:proofErr w:type="gramEnd"/>
      <w:r w:rsidRPr="002C4F2C">
        <w:t xml:space="preserve"> Piano operativo annuale 2019 di  LAZIOcrea S.p.a. per il 2019 con il servizio “Osservatorio on line permanente” previsto nell’ambito del Piano regionale per il contrasto al gioco d’azzardo, di cui all’allegato A, parte integrante e sostanziale della presente deliberazione-</w:t>
      </w:r>
    </w:p>
    <w:p w:rsidR="002C4F2C" w:rsidRPr="002C4F2C" w:rsidRDefault="002C4F2C" w:rsidP="002C4F2C">
      <w:pPr>
        <w:spacing w:after="0" w:line="20" w:lineRule="atLeast"/>
        <w:jc w:val="both"/>
      </w:pPr>
      <w:r w:rsidRPr="002C4F2C">
        <w:t>A copertura delle spese per la realizzazione dell</w:t>
      </w:r>
      <w:proofErr w:type="gramStart"/>
      <w:r w:rsidRPr="002C4F2C">
        <w:t>’“</w:t>
      </w:r>
      <w:proofErr w:type="gramEnd"/>
      <w:r w:rsidRPr="002C4F2C">
        <w:t xml:space="preserve">Osservatorio on line permanente”, integrato nel POA 2019, la Direzione regionale Inclusione Sociale, provvederà ad adottare tutte le necessarie operazioni contabili al fine di assicurare le risorse, pari a euro 307.982,90. </w:t>
      </w:r>
    </w:p>
    <w:p w:rsidR="002C4F2C" w:rsidRPr="00FE5696" w:rsidRDefault="002C4F2C" w:rsidP="00FE5696">
      <w:pPr>
        <w:spacing w:after="0" w:line="20" w:lineRule="atLeast"/>
        <w:jc w:val="both"/>
        <w:rPr>
          <w:u w:val="single"/>
        </w:rPr>
      </w:pPr>
    </w:p>
    <w:p w:rsidR="00D272D7" w:rsidRPr="00D272D7" w:rsidRDefault="00D272D7" w:rsidP="00D272D7">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b/>
        </w:rPr>
      </w:pPr>
      <w:r w:rsidRPr="00D272D7">
        <w:rPr>
          <w:b/>
        </w:rPr>
        <w:t>FAMIGLIA</w:t>
      </w:r>
    </w:p>
    <w:p w:rsidR="00D272D7" w:rsidRPr="00D272D7" w:rsidRDefault="00D272D7" w:rsidP="00D272D7">
      <w:pPr>
        <w:autoSpaceDE w:val="0"/>
        <w:autoSpaceDN w:val="0"/>
        <w:adjustRightInd w:val="0"/>
        <w:spacing w:after="0" w:line="20" w:lineRule="atLeast"/>
        <w:jc w:val="both"/>
      </w:pPr>
    </w:p>
    <w:p w:rsidR="00D272D7" w:rsidRPr="00D272D7" w:rsidRDefault="00D272D7" w:rsidP="00D272D7">
      <w:pPr>
        <w:autoSpaceDE w:val="0"/>
        <w:autoSpaceDN w:val="0"/>
        <w:adjustRightInd w:val="0"/>
        <w:spacing w:after="0" w:line="20" w:lineRule="atLeast"/>
        <w:jc w:val="both"/>
      </w:pPr>
      <w:r w:rsidRPr="00D272D7">
        <w:rPr>
          <w:b/>
        </w:rPr>
        <w:t xml:space="preserve">DGR  30 luglio 2019, n. </w:t>
      </w:r>
      <w:proofErr w:type="gramStart"/>
      <w:r w:rsidRPr="00D272D7">
        <w:rPr>
          <w:b/>
        </w:rPr>
        <w:t>563</w:t>
      </w:r>
      <w:r w:rsidRPr="00D272D7">
        <w:t>,  Legge</w:t>
      </w:r>
      <w:proofErr w:type="gramEnd"/>
      <w:r w:rsidRPr="00D272D7">
        <w:t xml:space="preserve"> 296/2006 – D.M. 30 aprile 2019 del Ministro per la famiglia e le disabilità "Riparto delle risorse stanziate sul Fondo per le politiche della Famiglia per l'anno 2019". Finalizzazione dell'importo assegnato di euro 1.290.000,00 e autorizzazione al cofinanziamento regionale per euro 258.000,00 sul capitolo C11103 dell'esercizio finanziario 2019. (BUR n. 66 del 16.8.19)</w:t>
      </w:r>
    </w:p>
    <w:p w:rsidR="00D272D7" w:rsidRPr="00D272D7" w:rsidRDefault="00D272D7" w:rsidP="00D272D7">
      <w:pPr>
        <w:autoSpaceDE w:val="0"/>
        <w:autoSpaceDN w:val="0"/>
        <w:adjustRightInd w:val="0"/>
        <w:spacing w:after="0" w:line="20" w:lineRule="atLeast"/>
        <w:jc w:val="both"/>
        <w:rPr>
          <w:b/>
        </w:rPr>
      </w:pPr>
      <w:r w:rsidRPr="00D272D7">
        <w:rPr>
          <w:b/>
        </w:rPr>
        <w:t xml:space="preserve">RIFERIMENTI NORMATIVI ED AMMINISTRATIVI </w:t>
      </w:r>
    </w:p>
    <w:p w:rsidR="00D272D7" w:rsidRPr="00D272D7" w:rsidRDefault="00D272D7" w:rsidP="00D272D7">
      <w:pPr>
        <w:autoSpaceDE w:val="0"/>
        <w:autoSpaceDN w:val="0"/>
        <w:adjustRightInd w:val="0"/>
        <w:spacing w:after="0" w:line="20" w:lineRule="atLeast"/>
        <w:jc w:val="both"/>
      </w:pPr>
      <w:r w:rsidRPr="00D272D7">
        <w:t xml:space="preserve">Legge 8 novembre 2000, n. 328 "Legge quadro per la realizzazione del sistema integrato di interventi e servizi sociali"; </w:t>
      </w:r>
    </w:p>
    <w:p w:rsidR="00D272D7" w:rsidRPr="00D272D7" w:rsidRDefault="00D272D7" w:rsidP="00D272D7">
      <w:pPr>
        <w:autoSpaceDE w:val="0"/>
        <w:autoSpaceDN w:val="0"/>
        <w:adjustRightInd w:val="0"/>
        <w:spacing w:after="0" w:line="20" w:lineRule="atLeast"/>
        <w:jc w:val="both"/>
      </w:pPr>
      <w:r w:rsidRPr="00D272D7">
        <w:t>Legge 27 dicembre 2006, n. 296, in particolare, l’art. 1 comma 1250 e seguenti concernente la disciplina del Fondo per le politiche della famiglia;</w:t>
      </w:r>
    </w:p>
    <w:p w:rsidR="00D272D7" w:rsidRPr="00D272D7" w:rsidRDefault="00D272D7" w:rsidP="00D272D7">
      <w:pPr>
        <w:autoSpaceDE w:val="0"/>
        <w:autoSpaceDN w:val="0"/>
        <w:adjustRightInd w:val="0"/>
        <w:spacing w:after="0" w:line="20" w:lineRule="atLeast"/>
        <w:jc w:val="both"/>
      </w:pPr>
      <w:r w:rsidRPr="00D272D7">
        <w:t xml:space="preserve">Legge regionale 7 dicembre 2001, n. 32 “Interventi a sostegno della famiglia”, che all’art. 2 individua tra gli obiettivi: </w:t>
      </w:r>
    </w:p>
    <w:p w:rsidR="00D272D7" w:rsidRPr="00D272D7" w:rsidRDefault="00D272D7" w:rsidP="00D272D7">
      <w:pPr>
        <w:autoSpaceDE w:val="0"/>
        <w:autoSpaceDN w:val="0"/>
        <w:adjustRightInd w:val="0"/>
        <w:spacing w:after="0" w:line="20" w:lineRule="atLeast"/>
        <w:jc w:val="both"/>
      </w:pPr>
      <w:r w:rsidRPr="00D272D7">
        <w:t xml:space="preserve">- riconoscere il valore della maternità e della paternità, incoraggiando la procreazione libera e consapevole anche mediante interventi volti a superare eventuali limitazioni di carattere economico e sociale (comma b); </w:t>
      </w:r>
    </w:p>
    <w:p w:rsidR="00D272D7" w:rsidRPr="00D272D7" w:rsidRDefault="00D272D7" w:rsidP="00D272D7">
      <w:pPr>
        <w:autoSpaceDE w:val="0"/>
        <w:autoSpaceDN w:val="0"/>
        <w:adjustRightInd w:val="0"/>
        <w:spacing w:after="0" w:line="20" w:lineRule="atLeast"/>
        <w:jc w:val="both"/>
      </w:pPr>
      <w:r w:rsidRPr="00D272D7">
        <w:t xml:space="preserve">- salvaguardare la gravidanza e il nascituro dal momento del concepimento al parto, attivando i servizi atti a soddisfare le esigenze, anche di ordine psicologico, dei genitori ed a prevenire le cause che possono indurre la madre ad interrompere la gravidanza (comma c); </w:t>
      </w:r>
    </w:p>
    <w:p w:rsidR="00D272D7" w:rsidRPr="00D272D7" w:rsidRDefault="00D272D7" w:rsidP="00D272D7">
      <w:pPr>
        <w:autoSpaceDE w:val="0"/>
        <w:autoSpaceDN w:val="0"/>
        <w:adjustRightInd w:val="0"/>
        <w:spacing w:after="0" w:line="20" w:lineRule="atLeast"/>
        <w:jc w:val="both"/>
      </w:pPr>
      <w:r w:rsidRPr="00D272D7">
        <w:lastRenderedPageBreak/>
        <w:t>Legge regionale 10 agosto 2016, n. 11 recante “Sistema integrato degli interventi e dei servizi sociali della Regione Lazio” ed in particolare l’art. 10 “Politiche in favore delle famiglie e dei minori”;</w:t>
      </w:r>
    </w:p>
    <w:p w:rsidR="00D272D7" w:rsidRPr="00D272D7" w:rsidRDefault="00D272D7" w:rsidP="00D272D7">
      <w:pPr>
        <w:autoSpaceDE w:val="0"/>
        <w:autoSpaceDN w:val="0"/>
        <w:adjustRightInd w:val="0"/>
        <w:spacing w:after="0" w:line="20" w:lineRule="atLeast"/>
        <w:jc w:val="both"/>
      </w:pPr>
      <w:r w:rsidRPr="00D272D7">
        <w:t xml:space="preserve"> Deliberazione del Consiglio Regionale 24 gennaio 2019, n. 1 “Piano sociale regionale denominato "Prendersi cura, un bene comune” che prevede, tra le aree prioritarie di intervento, il sostegno alla genitorialità in particolare attraverso il supporto alle famiglie “in una logica multidimensionale in cui il focus rimane il mondo dei bambini, dei loro affetti, e le reti sociali in cui vivono” anche “rafforzando il concetto di genitorialità attraverso il supporto e l’accompagnamento per gli adulti che, per motivi diversi, vivono delle difficoltà nel loro ruolo genitoriale”;</w:t>
      </w:r>
    </w:p>
    <w:p w:rsidR="00D272D7" w:rsidRPr="00D272D7" w:rsidRDefault="00D272D7" w:rsidP="00D272D7">
      <w:pPr>
        <w:autoSpaceDE w:val="0"/>
        <w:autoSpaceDN w:val="0"/>
        <w:adjustRightInd w:val="0"/>
        <w:spacing w:after="0" w:line="20" w:lineRule="atLeast"/>
        <w:jc w:val="both"/>
      </w:pPr>
      <w:r w:rsidRPr="00D272D7">
        <w:t xml:space="preserve">Decreto del 30 aprile 2019 del Ministro per la famiglia e le disabilità recante “Riparto delle risorse stanziate sul Fondo per le politiche della Famiglia per l’anno 2019” con il quale è stata destinata alla Regione Lazio la somma di euro 1.290.000,00 per il finanziamento “di interventi di competenza regionale volti a favorire la natalità, anche con carattere di innovatività rispetto alle misure previste a livello nazionale” che “potranno essere volti al supporto delle attività svolte dai Centri per le famiglie e nell’ambito delle competenze sociali dei consultori familiari, a sostegno della natalità, nonché a supporto della genitorialità” (art. 3); </w:t>
      </w:r>
    </w:p>
    <w:p w:rsidR="00D272D7" w:rsidRPr="00D272D7" w:rsidRDefault="00D272D7" w:rsidP="00D272D7">
      <w:pPr>
        <w:autoSpaceDE w:val="0"/>
        <w:autoSpaceDN w:val="0"/>
        <w:adjustRightInd w:val="0"/>
        <w:spacing w:after="0" w:line="20" w:lineRule="atLeast"/>
        <w:jc w:val="both"/>
      </w:pPr>
      <w:r w:rsidRPr="00D272D7">
        <w:t xml:space="preserve">Deliberazione della Giunta regionale 6 dicembre 2017, n. 829 “Legge 296/2006 – Fondo Famiglia annualità 2016 e </w:t>
      </w:r>
      <w:proofErr w:type="gramStart"/>
      <w:r w:rsidRPr="00D272D7">
        <w:t>2017,  programma</w:t>
      </w:r>
      <w:proofErr w:type="gramEnd"/>
      <w:r w:rsidRPr="00D272D7">
        <w:t xml:space="preserve"> “Supporto alle famiglie nel primo anno di vita del bambino” per: </w:t>
      </w:r>
    </w:p>
    <w:p w:rsidR="00D272D7" w:rsidRPr="00D272D7" w:rsidRDefault="00D272D7" w:rsidP="00D272D7">
      <w:pPr>
        <w:autoSpaceDE w:val="0"/>
        <w:autoSpaceDN w:val="0"/>
        <w:adjustRightInd w:val="0"/>
        <w:spacing w:after="0" w:line="20" w:lineRule="atLeast"/>
        <w:jc w:val="both"/>
      </w:pPr>
      <w:r w:rsidRPr="00D272D7">
        <w:t xml:space="preserve">• sostenere la relazione madre - bambino in situazioni di rischio psico-sociale attraverso interventi domiciliari che, per tutto il primo anno di vita del bambino, contribuiscano anche alla costruzione o al potenziamento di una rete di servizi, risorse e relazioni di sostegno intorno al nucleo, per favorire il raccordo funzionale con i punti nascita regionali, attivando percorsi strutturati di conoscenza reciproca tra servizi socio-sanitari per l’individuazione precoce di nuclei genitoriali a rischio psico-sociale; </w:t>
      </w:r>
    </w:p>
    <w:p w:rsidR="00D272D7" w:rsidRPr="00D272D7" w:rsidRDefault="00D272D7" w:rsidP="00D272D7">
      <w:pPr>
        <w:autoSpaceDE w:val="0"/>
        <w:autoSpaceDN w:val="0"/>
        <w:adjustRightInd w:val="0"/>
        <w:spacing w:after="0" w:line="20" w:lineRule="atLeast"/>
        <w:jc w:val="both"/>
      </w:pPr>
      <w:r w:rsidRPr="00D272D7">
        <w:t xml:space="preserve">• offrire percorsi ad hoc di sostegno alle gestanti che intendono avvalersi della facoltà di partorire in anonimato, come da legislazione vigente; </w:t>
      </w:r>
    </w:p>
    <w:p w:rsidR="00D272D7" w:rsidRPr="00D272D7" w:rsidRDefault="00D272D7" w:rsidP="00D272D7">
      <w:pPr>
        <w:autoSpaceDE w:val="0"/>
        <w:autoSpaceDN w:val="0"/>
        <w:adjustRightInd w:val="0"/>
        <w:spacing w:after="0" w:line="20" w:lineRule="atLeast"/>
        <w:jc w:val="both"/>
      </w:pPr>
      <w:r w:rsidRPr="00D272D7">
        <w:t xml:space="preserve">• implementare un approccio multidisciplinare e multi professionale; </w:t>
      </w:r>
    </w:p>
    <w:p w:rsidR="00D272D7" w:rsidRPr="00D272D7" w:rsidRDefault="00D272D7" w:rsidP="00D272D7">
      <w:pPr>
        <w:autoSpaceDE w:val="0"/>
        <w:autoSpaceDN w:val="0"/>
        <w:adjustRightInd w:val="0"/>
        <w:spacing w:after="0" w:line="20" w:lineRule="atLeast"/>
        <w:jc w:val="both"/>
      </w:pPr>
      <w:r w:rsidRPr="00D272D7">
        <w:t>• implementare percorsi integrati tra ospedale e servizi sanitari e sociali del territorio.</w:t>
      </w:r>
    </w:p>
    <w:p w:rsidR="00D272D7" w:rsidRPr="00D272D7" w:rsidRDefault="00D272D7" w:rsidP="00D272D7">
      <w:pPr>
        <w:autoSpaceDE w:val="0"/>
        <w:autoSpaceDN w:val="0"/>
        <w:adjustRightInd w:val="0"/>
        <w:spacing w:after="0" w:line="20" w:lineRule="atLeast"/>
        <w:jc w:val="both"/>
        <w:rPr>
          <w:b/>
        </w:rPr>
      </w:pPr>
      <w:r w:rsidRPr="00D272D7">
        <w:rPr>
          <w:b/>
        </w:rPr>
        <w:t>LE POLITICHE DI SISTEMA</w:t>
      </w:r>
    </w:p>
    <w:p w:rsidR="00D272D7" w:rsidRPr="00D272D7" w:rsidRDefault="00D272D7" w:rsidP="00D272D7">
      <w:pPr>
        <w:autoSpaceDE w:val="0"/>
        <w:autoSpaceDN w:val="0"/>
        <w:adjustRightInd w:val="0"/>
        <w:spacing w:after="0" w:line="20" w:lineRule="atLeast"/>
        <w:jc w:val="both"/>
      </w:pPr>
      <w:r w:rsidRPr="00D272D7">
        <w:t>Sono stati individuati i distretti socio sanitari come i soggetti destinatari delle risorse, al fine di consolidare, laddove possibile, percorsi già sperimentati di integrazione sociosanitaria.</w:t>
      </w:r>
    </w:p>
    <w:p w:rsidR="00D272D7" w:rsidRPr="00D272D7" w:rsidRDefault="00D272D7" w:rsidP="00D272D7">
      <w:pPr>
        <w:autoSpaceDE w:val="0"/>
        <w:autoSpaceDN w:val="0"/>
        <w:adjustRightInd w:val="0"/>
        <w:spacing w:after="0" w:line="20" w:lineRule="atLeast"/>
        <w:jc w:val="both"/>
      </w:pPr>
      <w:r w:rsidRPr="00D272D7">
        <w:t>Con determinazione dirigenziale 21 dicembre 2018, n. G17515 “Attuazione della deliberazione di Giunta regionale del 6 dicembre 2017, n. 829 – Programma regionale “Supporto alle famiglie nel primo anno di vita del bambino”. Individuazione dei soggetti attuatori e impegno della spesa complessiva […]”, sono stati individuati quali soggetti attuatori i seguenti Distretti sociosanitari/Municipi: Distretto sociosanitario/Roma Capitale Soggetto attuatore Roma Capitale Municipio Roma 6 Roma Capitale Municipio Roma5 Roma Capitale Municipio Roma 7 Ri 5 Comunità Montana del Velino Fr A Comune di Alatri Latina 1 Comune di Aprilia.</w:t>
      </w:r>
    </w:p>
    <w:p w:rsidR="00D272D7" w:rsidRPr="00D272D7" w:rsidRDefault="00D272D7" w:rsidP="00D272D7">
      <w:pPr>
        <w:autoSpaceDE w:val="0"/>
        <w:autoSpaceDN w:val="0"/>
        <w:adjustRightInd w:val="0"/>
        <w:spacing w:after="0" w:line="20" w:lineRule="atLeast"/>
        <w:jc w:val="both"/>
      </w:pPr>
      <w:r w:rsidRPr="00D272D7">
        <w:t>Per la realizzazione del Programma è stato assegnato a ciascun soggetto attuatore un finanziamento di € 129.000,00.</w:t>
      </w:r>
    </w:p>
    <w:p w:rsidR="00D272D7" w:rsidRPr="00D272D7" w:rsidRDefault="00D272D7" w:rsidP="00D272D7">
      <w:pPr>
        <w:autoSpaceDE w:val="0"/>
        <w:autoSpaceDN w:val="0"/>
        <w:adjustRightInd w:val="0"/>
        <w:spacing w:after="0" w:line="20" w:lineRule="atLeast"/>
        <w:jc w:val="both"/>
      </w:pPr>
      <w:r w:rsidRPr="00D272D7">
        <w:t>Attraverso il suddetto Programma sono stati implementati processi utili sia alla messa a sistema delle procedure di arruolamento dei nuclei genitoriali a rischio psico-sociale che al loro sostegno sin dalla nascita del bambino, per prevenire l’insorgere di fenomeni di grave trascuratezza e possibile abbandono tardivo.</w:t>
      </w:r>
    </w:p>
    <w:p w:rsidR="00D272D7" w:rsidRPr="00D272D7" w:rsidRDefault="00D272D7" w:rsidP="00D272D7">
      <w:pPr>
        <w:autoSpaceDE w:val="0"/>
        <w:autoSpaceDN w:val="0"/>
        <w:adjustRightInd w:val="0"/>
        <w:spacing w:after="0" w:line="20" w:lineRule="atLeast"/>
        <w:jc w:val="both"/>
        <w:rPr>
          <w:b/>
        </w:rPr>
      </w:pPr>
      <w:r w:rsidRPr="00D272D7">
        <w:rPr>
          <w:b/>
        </w:rPr>
        <w:t>I DATI STATISTICI</w:t>
      </w:r>
    </w:p>
    <w:p w:rsidR="00D272D7" w:rsidRPr="00D272D7" w:rsidRDefault="00D272D7" w:rsidP="00D272D7">
      <w:pPr>
        <w:autoSpaceDE w:val="0"/>
        <w:autoSpaceDN w:val="0"/>
        <w:adjustRightInd w:val="0"/>
        <w:spacing w:after="0" w:line="20" w:lineRule="atLeast"/>
        <w:jc w:val="both"/>
      </w:pPr>
      <w:r w:rsidRPr="00D272D7">
        <w:t>Nel rapporto “Le nascite del Lazio nel 2017” pubblicato a cura della Direzione Salute e Politiche Sociali - Area Programmazione rete ospedaliera e risk management della Regione Lazio, i 44.681 nati vivi risultano così distribuiti per luogo di nascita: Comune di Roma Capitale: 34.863 Area metropolitana di Roma Capitale: 3.676 Provincia di Latina: 3.721 Provincia di Frosinone: 2.944 Provincia di Viterbo: 1.219 Provincia di Rieti: 522</w:t>
      </w:r>
    </w:p>
    <w:p w:rsidR="00D272D7" w:rsidRPr="00D272D7" w:rsidRDefault="00D272D7" w:rsidP="00D272D7">
      <w:pPr>
        <w:autoSpaceDE w:val="0"/>
        <w:autoSpaceDN w:val="0"/>
        <w:adjustRightInd w:val="0"/>
        <w:spacing w:after="0" w:line="20" w:lineRule="atLeast"/>
        <w:jc w:val="both"/>
        <w:rPr>
          <w:b/>
        </w:rPr>
      </w:pPr>
      <w:r w:rsidRPr="00D272D7">
        <w:rPr>
          <w:b/>
        </w:rPr>
        <w:t>L’ASSENSO DELL’ANCI</w:t>
      </w:r>
    </w:p>
    <w:p w:rsidR="00D272D7" w:rsidRPr="00D272D7" w:rsidRDefault="00D272D7" w:rsidP="00D272D7">
      <w:pPr>
        <w:autoSpaceDE w:val="0"/>
        <w:autoSpaceDN w:val="0"/>
        <w:adjustRightInd w:val="0"/>
        <w:spacing w:after="0" w:line="20" w:lineRule="atLeast"/>
        <w:jc w:val="both"/>
      </w:pPr>
      <w:r w:rsidRPr="00D272D7">
        <w:t xml:space="preserve">Gli interventi sopra descritti sono stati individuati in accordo con l’ANCI Lazio che, informato in merito con nota prot. n. 537866 del 10/7/2019, ha espresso il proprio assenso sui contenuti e la relativa allocazione delle risorse, </w:t>
      </w:r>
    </w:p>
    <w:p w:rsidR="00D272D7" w:rsidRPr="00D272D7" w:rsidRDefault="00D272D7" w:rsidP="00D272D7">
      <w:pPr>
        <w:autoSpaceDE w:val="0"/>
        <w:autoSpaceDN w:val="0"/>
        <w:adjustRightInd w:val="0"/>
        <w:spacing w:after="0" w:line="20" w:lineRule="atLeast"/>
        <w:jc w:val="both"/>
        <w:rPr>
          <w:b/>
        </w:rPr>
      </w:pPr>
      <w:r w:rsidRPr="00D272D7">
        <w:rPr>
          <w:b/>
        </w:rPr>
        <w:t xml:space="preserve">LA DISPOSIZIONE </w:t>
      </w:r>
    </w:p>
    <w:p w:rsidR="00D272D7" w:rsidRPr="00D272D7" w:rsidRDefault="00D272D7" w:rsidP="00D272D7">
      <w:pPr>
        <w:autoSpaceDE w:val="0"/>
        <w:autoSpaceDN w:val="0"/>
        <w:adjustRightInd w:val="0"/>
        <w:spacing w:after="0" w:line="20" w:lineRule="atLeast"/>
        <w:jc w:val="both"/>
      </w:pPr>
      <w:r w:rsidRPr="00D272D7">
        <w:t xml:space="preserve">Le risorse destinate alla Regione Lazio con Decreto 30 aprile 2019 del Ministro per la famiglia e le disabilità, quale “Riparto delle risorse stanziate sul Fondo per le politiche della Famiglia per l’anno 2019” pari ad euro 1.290.000,00, unitamente al cofinanziamento previsto pari a euro 258.000,00, per complessivi euro </w:t>
      </w:r>
      <w:r w:rsidRPr="00D272D7">
        <w:lastRenderedPageBreak/>
        <w:t xml:space="preserve">1.548.000,00, vengono  finalizzate  per il finanziamento del Programma regionale “Supporto alle famiglie nel primo anno di vita del bambino” e la realizzazione dei seguenti interventi: </w:t>
      </w:r>
    </w:p>
    <w:p w:rsidR="00D272D7" w:rsidRPr="00D272D7" w:rsidRDefault="00D272D7" w:rsidP="00D272D7">
      <w:pPr>
        <w:autoSpaceDE w:val="0"/>
        <w:autoSpaceDN w:val="0"/>
        <w:adjustRightInd w:val="0"/>
        <w:spacing w:after="0" w:line="20" w:lineRule="atLeast"/>
        <w:jc w:val="both"/>
      </w:pPr>
      <w:r w:rsidRPr="00D272D7">
        <w:t xml:space="preserve">• sostenere la relazione madre - bambino in situazioni di rischio psico-sociale attraverso interventi domiciliari per tutto il primo anno di vita del bambino, interventi che contribuiscano anche alla costruzione o al potenziamento di una rete di servizi, risorse e relazioni di sostegno intorno al nucleo, per favorire il raccordo funzionale con i punti nascita regionali attivando percorsi strutturati di conoscenza reciproca tra servizi socio-sanitari per l’individuazione precoce di nuclei genitoriali a rischio psicosociale; </w:t>
      </w:r>
    </w:p>
    <w:p w:rsidR="00D272D7" w:rsidRPr="00D272D7" w:rsidRDefault="00D272D7" w:rsidP="00D272D7">
      <w:pPr>
        <w:autoSpaceDE w:val="0"/>
        <w:autoSpaceDN w:val="0"/>
        <w:adjustRightInd w:val="0"/>
        <w:spacing w:after="0" w:line="20" w:lineRule="atLeast"/>
        <w:jc w:val="both"/>
      </w:pPr>
      <w:r w:rsidRPr="00D272D7">
        <w:t xml:space="preserve">• offrire percorsi ad hoc di sostegno alle gestanti che intendono avvalersi della facoltà di partorire in anonimato, come da legislazione vigente; </w:t>
      </w:r>
    </w:p>
    <w:p w:rsidR="00D272D7" w:rsidRPr="00D272D7" w:rsidRDefault="00D272D7" w:rsidP="00D272D7">
      <w:pPr>
        <w:autoSpaceDE w:val="0"/>
        <w:autoSpaceDN w:val="0"/>
        <w:adjustRightInd w:val="0"/>
        <w:spacing w:after="0" w:line="20" w:lineRule="atLeast"/>
        <w:jc w:val="both"/>
      </w:pPr>
      <w:r w:rsidRPr="00D272D7">
        <w:t>• implementare un approccio multidisciplinare e multi professionale; • implementare percorsi integrati tra ospedale e servizi sanitari e sociali del territorio</w:t>
      </w:r>
      <w:r w:rsidR="00691F98">
        <w:t>.</w:t>
      </w:r>
    </w:p>
    <w:p w:rsidR="00D272D7" w:rsidRPr="00D272D7" w:rsidRDefault="00D272D7" w:rsidP="00D272D7">
      <w:pPr>
        <w:autoSpaceDE w:val="0"/>
        <w:autoSpaceDN w:val="0"/>
        <w:adjustRightInd w:val="0"/>
        <w:spacing w:after="0" w:line="20" w:lineRule="atLeast"/>
        <w:jc w:val="both"/>
      </w:pPr>
      <w:r w:rsidRPr="00D272D7">
        <w:t xml:space="preserve"> </w:t>
      </w:r>
      <w:proofErr w:type="gramStart"/>
      <w:r w:rsidRPr="00D272D7">
        <w:t>i</w:t>
      </w:r>
      <w:proofErr w:type="gramEnd"/>
      <w:r w:rsidRPr="00D272D7">
        <w:t xml:space="preserve"> beneficiari del finanziamento regionale per la realizzazione del programma “Supporto alle famiglie nel primo anno di vita del bambino” possono essere: </w:t>
      </w:r>
    </w:p>
    <w:p w:rsidR="00D272D7" w:rsidRPr="00D272D7" w:rsidRDefault="00D272D7" w:rsidP="00D272D7">
      <w:pPr>
        <w:autoSpaceDE w:val="0"/>
        <w:autoSpaceDN w:val="0"/>
        <w:adjustRightInd w:val="0"/>
        <w:spacing w:after="0" w:line="20" w:lineRule="atLeast"/>
        <w:jc w:val="both"/>
      </w:pPr>
      <w:r w:rsidRPr="00D272D7">
        <w:t xml:space="preserve">a) i distretti socio-sanitari, con esclusione di quelli già destinatari delle risorse assegnate con i provvedimenti sopra descritti; </w:t>
      </w:r>
    </w:p>
    <w:p w:rsidR="00D272D7" w:rsidRPr="00D272D7" w:rsidRDefault="00D272D7" w:rsidP="00D272D7">
      <w:pPr>
        <w:autoSpaceDE w:val="0"/>
        <w:autoSpaceDN w:val="0"/>
        <w:adjustRightInd w:val="0"/>
        <w:spacing w:after="0" w:line="20" w:lineRule="atLeast"/>
        <w:jc w:val="both"/>
        <w:rPr>
          <w:rFonts w:ascii="Corbel" w:hAnsi="Corbel" w:cs="Times New Roman"/>
          <w:sz w:val="28"/>
          <w:szCs w:val="28"/>
        </w:rPr>
      </w:pPr>
      <w:r w:rsidRPr="00D272D7">
        <w:t xml:space="preserve">b) Roma Capitale con la sua articolazione amministrativa (Municipi). </w:t>
      </w:r>
    </w:p>
    <w:p w:rsidR="00D272D7" w:rsidRDefault="00D272D7" w:rsidP="00CC548D">
      <w:pPr>
        <w:spacing w:after="0" w:line="20" w:lineRule="atLeast"/>
        <w:jc w:val="both"/>
        <w:rPr>
          <w:rFonts w:cstheme="minorHAnsi"/>
        </w:rPr>
      </w:pPr>
    </w:p>
    <w:p w:rsidR="007D66F5" w:rsidRPr="007D66F5" w:rsidRDefault="007D66F5" w:rsidP="007D66F5">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7D66F5">
        <w:rPr>
          <w:rFonts w:cstheme="minorHAnsi"/>
          <w:b/>
        </w:rPr>
        <w:t>IPAB</w:t>
      </w:r>
    </w:p>
    <w:p w:rsidR="007D66F5" w:rsidRDefault="007D66F5" w:rsidP="00CC548D">
      <w:pPr>
        <w:spacing w:after="0" w:line="20" w:lineRule="atLeast"/>
        <w:jc w:val="both"/>
        <w:rPr>
          <w:rFonts w:cstheme="minorHAnsi"/>
        </w:rPr>
      </w:pPr>
    </w:p>
    <w:p w:rsidR="00DF5E06" w:rsidRDefault="00BC1888" w:rsidP="00DF5E06">
      <w:pPr>
        <w:autoSpaceDE w:val="0"/>
        <w:autoSpaceDN w:val="0"/>
        <w:adjustRightInd w:val="0"/>
        <w:spacing w:after="0" w:line="20" w:lineRule="atLeast"/>
        <w:jc w:val="both"/>
        <w:rPr>
          <w:rFonts w:cstheme="minorHAnsi"/>
        </w:rPr>
      </w:pPr>
      <w:r w:rsidRPr="00976866">
        <w:rPr>
          <w:rFonts w:cstheme="minorHAnsi"/>
          <w:b/>
        </w:rPr>
        <w:t xml:space="preserve">Regolamento 9 agosto 2019, n. 17, </w:t>
      </w:r>
      <w:r w:rsidRPr="00976866">
        <w:rPr>
          <w:rFonts w:cstheme="minorHAnsi"/>
        </w:rPr>
        <w:t>Disciplina dei procedimenti di trasformazione delle Istituzioni pubbliche di assistenza e beneficenza (IPAB) in Aziende pubbliche di servizi alla persona (ASP) ovvero in persone giuridiche di diritto privato senza scopo di lucro, nonché dei procedimenti di fusione e di estinzione delle IPAB.</w:t>
      </w:r>
      <w:r w:rsidR="00DF5E06">
        <w:rPr>
          <w:rFonts w:cstheme="minorHAnsi"/>
        </w:rPr>
        <w:t xml:space="preserve"> (BUR n. 65 del 13.8.19)</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Art. 1</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(Oggetto)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 Il presente regolamento, adottato ai sensi dell’articolo 47, comma 2, lettera b), dello Statuto, in attuazione dell’articolo 20 della legge regionale 22 febbraio 2019, n. 2, disciplina i procedimenti di trasformazione delle Istituzioni pubbliche di assistenza e beneficenza (IPAB) in Aziende pubbliche di servizi alla persona (ASP) ovvero in persone giuridiche di diritto privato senza scopo di lucro, nonché i procedimenti di fusione e quelli di estinzione delle IPAB.</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Art. 2</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(Disposizioni generali)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 Ai sensi degli articoli 2, 3 e 18 della l.r. n. 2/2019, le IPAB, entro novanta giorni dalla data di entrata in vigore del presente regolamento, provvedono a trasformarsi in ASP, anche mediante fusione, ovvero in persona giuridica di diritto privato, secondo le procedure definite dal presente regolamento.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2. Sono escluse dalla trasformazione in ASP le IPAB soggette al procedimento di estinzione di cui all’articolo 13, commi 1 e 2, del presente regolamento.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3. Gli enti trasformati, ai sensi della l. r. n. 2/2019 e del presente regolamento, in ASP o in persone giuridiche di diritto privato senza scopo di lucro svolgenti attività di prevalente interesse pubblico, subentrano in tutti i rapporti giuridici, attivi e passivi, facenti capo alle IPAB da cui derivano.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4. Fatte salve eventuali disposizioni contenute nelle tavole di fondazione, la sede legale degli enti trasformati è fissata nel comune in cui l’ASP fornisce i servizi, o, nel caso di servizi resi in più comuni, in quello in cui i servizi sono prevalentemente svolti.</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Art. 3</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(Trasformazione delle IPAB in ASP)</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 Ai fini della trasformazione in ASP, le IPAB in possesso dei requisiti di cui all’articolo 5 deliberano, unitamente alla determinazione di conservazione della personalità giuridica</w:t>
      </w:r>
    </w:p>
    <w:p w:rsidR="00BC1888" w:rsidRPr="00976866" w:rsidRDefault="00BC1888" w:rsidP="00BC1888">
      <w:pPr>
        <w:autoSpaceDE w:val="0"/>
        <w:autoSpaceDN w:val="0"/>
        <w:adjustRightInd w:val="0"/>
        <w:spacing w:after="0" w:line="20" w:lineRule="atLeast"/>
        <w:jc w:val="both"/>
        <w:rPr>
          <w:rFonts w:cstheme="minorHAnsi"/>
        </w:rPr>
      </w:pPr>
      <w:proofErr w:type="gramStart"/>
      <w:r w:rsidRPr="00976866">
        <w:rPr>
          <w:rFonts w:cstheme="minorHAnsi"/>
        </w:rPr>
        <w:t>di</w:t>
      </w:r>
      <w:proofErr w:type="gramEnd"/>
      <w:r w:rsidRPr="00976866">
        <w:rPr>
          <w:rFonts w:cstheme="minorHAnsi"/>
        </w:rPr>
        <w:t xml:space="preserve"> diritto pubblico, l’adeguamento dello statuto alle disposizioni del presente regolamento.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 xml:space="preserve">2. Il legale rappresentante dell’IPAB, entro il termine di dieci giorni dalla data di adozione della deliberazione di trasformazione, presenta apposita istanza, sottoscritta e compilata nelle forme di cui al decreto del Presidente della Repubblica 28 dicembre 2000, n. 445 (Disposizioni legislative in materia di documentazione </w:t>
      </w:r>
      <w:r w:rsidRPr="00976866">
        <w:rPr>
          <w:rFonts w:cstheme="minorHAnsi"/>
        </w:rPr>
        <w:lastRenderedPageBreak/>
        <w:t>amministrativa), alla direzione regionale competente in materia di politiche sociali, di seguito denominata direzione regionale.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3. L’istanza è corredata da una relazione sulla situazione patrimoniale e finanziaria, sottoscritta dal legale rappresentante, completa di: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 statuto del nuovo soggetto giuridico, redatto secondo il modello di cui all’allegato B;</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b. inventario del patrimonio mobiliare e immobiliare della singola istituzione con relativa perizia asseverata;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c. elenco nominativo del personale della singola istituzione recante l'indicazione della natura giuridica del rapporto di lavoro, della sua decorrenza e del termine, se previsto, del profilo professionale e della categoria di appartenenza, del trattamento economico in godimento;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d. processo verbale della ricognizione dei rapporti giuridici attivi e passivi facenti capo alla singola istituzione;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e. copia dei bilanci consuntivi approvati negli ultimi tre anni;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f. ogni atto idoneo a comprovare il possesso dei requisiti che consentono la trasformazione;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g. relazione in ordine alle attività svolte dall'istituzione, sottoscritta dal legale rappresentante, contenente l’attestazione della sussistenza dei parametri e dei requisiti di cui all’articolo 5;</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h. relazione illustrativa delle attività che l’istituenda ASP intende svolgere e delle modalità di conseguimento degli scopi statutari, sottoscritta dal legale rappresentante.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4. La direzione regionale, all’atto del ricevimento dell’istanza, invia richiesta di parere motivato, non vincolante, al comune o ai comuni del distretto sociosanitario ove ha sede legale la costituenda ASP, che si esprimono entro trenta giorni. La direzione regionale, entro sessanta giorni dal ricevimento dell’istanza, tenuto conto del parere di cui al periodo precedente verifica la sussistenza dei requisiti richiesti per la trasformazione e appone il visto di conformità dello statuto dell’ASP alla normativa vigente;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5. Il termine di sessanta giorni previsto dal comma 4 può essere sospeso, per una sola volta e per un periodo non superiore a trenta giorni, per l'acquisizione di chiarimenti e elementi integrativi di giudizio. I chiarimenti e gli elementi integrativi devono pervenire alla direzione regionale entro trenta giorni dalla ricezione della richiesta. Il termine per la conclusione del procedimento riprende a decorrere dalla data di ricezione dei chiarimenti e degli elementi integrativi di giudizio o, in mancanza, dalla scadenza del termine previsto nel secondo periodo.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6. Se i chiarimenti forniti dall’IPAB non superano i rilievi formulati dalla direzione regionale oppure se non pervengono entro il termine di trenta giorni previsto nel comma 5, l’istanza si intende rigettata, e l’organo di amministrazione dell’IPAB, entro i successivi 60 giorni, assume le determinazioni di competenza previste dal presente regolamento.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7. La Giunta regionale, con propria deliberazione, approva lo statuto dell’ASP e dichiara la trasformazione dell’IPAB in ASP.</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8. Qualora l'IPAB, alla scadenza prevista dal comma 1 dell’articolo 2, non abbia inviato gli atti necessari alla trasformazione e fatte salve le disposizioni previste dal comma 2 dell’art. 18 della l. r. n. 2/2019, gli adempimenti previsti dal presente articolo sono svolti</w:t>
      </w:r>
    </w:p>
    <w:p w:rsidR="00BC1888" w:rsidRPr="00976866" w:rsidRDefault="00BC1888" w:rsidP="00BC1888">
      <w:pPr>
        <w:autoSpaceDE w:val="0"/>
        <w:autoSpaceDN w:val="0"/>
        <w:adjustRightInd w:val="0"/>
        <w:spacing w:after="0" w:line="20" w:lineRule="atLeast"/>
        <w:jc w:val="both"/>
        <w:rPr>
          <w:rFonts w:cstheme="minorHAnsi"/>
        </w:rPr>
      </w:pPr>
      <w:proofErr w:type="gramStart"/>
      <w:r w:rsidRPr="00976866">
        <w:rPr>
          <w:rFonts w:cstheme="minorHAnsi"/>
        </w:rPr>
        <w:t>da</w:t>
      </w:r>
      <w:proofErr w:type="gramEnd"/>
      <w:r w:rsidRPr="00976866">
        <w:rPr>
          <w:rFonts w:cstheme="minorHAnsi"/>
        </w:rPr>
        <w:t xml:space="preserve"> un commissario ad acta, nominato dalla Regione secondo quanto previsto dall'articolo 34 della legge regionale 10 agosto 2016, n. 12, relativo a disposizioni per i commissari di nomina regionale, con il compito di procedere, entro sessanta giorni dalla nomina, agli adempimenti finalizzati alla trasformazione, anche attraverso la fusione di cui all'articolo 4.</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9. Al commissario di cui al comma 8 spetta un compenso mensile lordo pari all’indennità</w:t>
      </w:r>
    </w:p>
    <w:p w:rsidR="00BC1888" w:rsidRPr="00976866" w:rsidRDefault="00BC1888" w:rsidP="00BC1888">
      <w:pPr>
        <w:autoSpaceDE w:val="0"/>
        <w:autoSpaceDN w:val="0"/>
        <w:adjustRightInd w:val="0"/>
        <w:spacing w:after="0" w:line="20" w:lineRule="atLeast"/>
        <w:jc w:val="both"/>
        <w:rPr>
          <w:rFonts w:cstheme="minorHAnsi"/>
        </w:rPr>
      </w:pPr>
      <w:proofErr w:type="gramStart"/>
      <w:r w:rsidRPr="00976866">
        <w:rPr>
          <w:rFonts w:cstheme="minorHAnsi"/>
        </w:rPr>
        <w:t>riconosciuta</w:t>
      </w:r>
      <w:proofErr w:type="gramEnd"/>
      <w:r w:rsidRPr="00976866">
        <w:rPr>
          <w:rFonts w:cstheme="minorHAnsi"/>
        </w:rPr>
        <w:t xml:space="preserve"> al Presidente della istituenda ASP nonché il rimborso delle spese effettivamente sostenute per l’espletamento dell’incarico, con oneri a carico delle IPAB commissariate.</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Art. 4</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(Fusione delle IPAB)</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 Qualora le dimensioni delle singole IPAB non soddisfino i requisiti dimensionali minimi di cui all’articolo 5 ovvero l’entità del patrimonio e del volume del bilancio non sia conforme ai parametri organizzativi ed economico-finanziari di cui al medesimo articolo 5, due o più IPAB possono deliberare di fondersi in un’unica ASP ai sensi dell’articolo 3 della legge regionale 22 febbraio 2019, n. 2.</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2. Ai fini di cui al comma 1, entro novanta giorni dall’entrata in vigore del presente regolamento, gli organi di amministrazione delle IPAB interessate, sentito il comune o i</w:t>
      </w:r>
    </w:p>
    <w:p w:rsidR="00BC1888" w:rsidRPr="00976866" w:rsidRDefault="00BC1888" w:rsidP="00BC1888">
      <w:pPr>
        <w:autoSpaceDE w:val="0"/>
        <w:autoSpaceDN w:val="0"/>
        <w:adjustRightInd w:val="0"/>
        <w:spacing w:after="0" w:line="20" w:lineRule="atLeast"/>
        <w:jc w:val="both"/>
        <w:rPr>
          <w:rFonts w:cstheme="minorHAnsi"/>
        </w:rPr>
      </w:pPr>
      <w:proofErr w:type="gramStart"/>
      <w:r w:rsidRPr="00976866">
        <w:rPr>
          <w:rFonts w:cstheme="minorHAnsi"/>
        </w:rPr>
        <w:lastRenderedPageBreak/>
        <w:t>comuni</w:t>
      </w:r>
      <w:proofErr w:type="gramEnd"/>
      <w:r w:rsidRPr="00976866">
        <w:rPr>
          <w:rFonts w:cstheme="minorHAnsi"/>
        </w:rPr>
        <w:t xml:space="preserve"> interessati, assumono, contestualmente all’atto di fusione delle istituzioni da loro amministrate, il provvedimento di trasformazione, in un’unica ASP che subentra nella titolarità di ogni rapporto giuridico attivo e passivo facente capo alle istituzioni preesistenti.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3. Le deliberazioni con le quali gli organi di amministrazione promuovono la fusione devono contenere: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 lo statuto del nuovo soggetto giuridico, redatto secondo il modello di cui all’allegato B;</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b. il progetto di fusione corredato del piano di sostenibilità economico – finanziaria;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c. l’indicazione degli standard qualitativi e quantitativi di erogazione dei servizi;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d. l'inventario del patrimonio mobiliare e immobiliare di ogni singola istituzione con relativa perizia asseverata;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e. l'elenco nominativo del personale della singola istituzione recante l'indicazione della natura giuridica del rapporto di lavoro, della sua decorrenza e del termine, se previsto, del profilo professionale e della categoria di appartenenza, del trattamento economico in godimento, della contrattazione collettiva applicata;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f. il parere reso dalle organizzazioni sindacali per quanto concerne le questioni inerenti al personale;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g. il processo verbale della ricognizione dei rapporti giuridici attivi e passivi facenti capo alla singola istituzione;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h. l'ultimo bilancio consuntivo approvato.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4. In caso di fusione di più IPAB, lo statuto dell’ente che da essa deriva deve prevedere il rispetto delle finalità istituzionali disciplinate dagli statuti e dalle tavole di fondazione delle IPAB originarie, con particolare riferimento alle tipologie dei soggetti destinatari dei servizi, degli interventi e dell’ambito territoriale di riferimento, nonché ai vincoli di destinazione dei beni e a quanto previsto nei singoli atti di fondazione. Deve comunque essere assicurato il mantenimento degli standard, privilegiando, ove possibile e nel rispetto degli ambiti territoriali, le fusioni tra IPAB che abbiano finalità analoghe o complementari e che mirino ad agevolare l’erogazione dei servizi sociali e sociosanitari alla persona in forma diretta da parte dell’istituenda ASP</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5. Ai fini della fusione i legali rappresentanti delle singole istituzioni presentano apposita</w:t>
      </w:r>
      <w:r w:rsidR="006306B5">
        <w:rPr>
          <w:rFonts w:cstheme="minorHAnsi"/>
        </w:rPr>
        <w:t xml:space="preserve"> </w:t>
      </w:r>
      <w:r w:rsidRPr="00976866">
        <w:rPr>
          <w:rFonts w:cstheme="minorHAnsi"/>
        </w:rPr>
        <w:t>istanza, a firma congiunta, alla direzione regionale, corredata dalla seguente documentazione: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 deliberazioni di cui al comma 3;</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b) inventario dei beni mobili del nuovo soggetto giuridico recante l’indicazione dell'istituzione di provenienza e di eventuali vincoli;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c) inventario del patrimonio immobiliare, con relativa perizia asseverata, del nuovo soggetto giuridico recante l’indicazione dell'istituzione di provenienza, dei beni espressamente destinati alla realizzazione degli scopi istituzionali e degli immobili di valore storico e monumentale, indicando la sussistenza di eventuali vincoli imposti dai rispettivi atti di provenienza;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d) elenco nominativo del personale del nuovo soggetto giuridico recante l’indicazione dell'istituzione di provenienza, della natura giuridica del rapporto di lavoro, della sua decorrenza e del termine, se previsto, del profilo professionale e della categoria di appartenenza, del trattamento economico in godimento e della contrattazione collettiva applicata;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e) elenco dei rapporti giuridici attivi e passivi cui succede il nuovo soggetto giuridico.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6. La direzione regionale, all’atto del ricevimento dell’istanza, invia richiesta di parere motivato, non vincolante, al comune o ai comuni del distretto sociosanitario ove ha sede legale la costituenda ASP, che si esprimono entro trenta giorni. La direzione regionale, entro sessanta giorni dal ricevimento dell’istanza, tenuto conto del parere di cui al periodo precedente verifica la sussistenza dei requisiti richiesti per la fusione e appone il visto di conformità dello statuto dell’ASP alla normativa vigente;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7. Il termine di sessanta giorni previsto dal comma 6 può essere sospeso, per una sola volta e per un periodo non superiore a trenta giorni, per l'acquisizione di chiarimenti e elementi integrativi di giudizio. I chiarimenti e gli elementi integrativi devono pervenire alla direzione regionale entro trenta giorni dalla ricezione della richiesta. Il termine per la conclusione del procedimento riprende a decorrere dalla data di ricezione dei chiarimenti e degli elementi integrativi di giudizio o, in mancanza, dalla scadenza del termine previsto nel secondo periodo.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8. Se i chiarimenti forniti dalle IPAB non superano i rilievi formulati dalla direzione regionale oppure se non pervengono entro il termine di trenta giorni previsto dal comma 7, l’istanza si intende rigettata e gli organi di amministrazione dell’IPAB, entro i successivi sessanta giorni, assumono le determinazioni di competenza previste dal presente regolamento.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lastRenderedPageBreak/>
        <w:t>9. La Giunta regionale, con propria deliberazione, approva lo statuto dell’ASP e dichiara la fusione delle IPAB in un’unica ASP.</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Art. 5</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(Parametri organizzativi ed economico-finanziari e requisiti dimensionali minimi delle istituende ASP)</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 Ai sensi dell’articolo 20, comma 1, lettera a), della l.r. n. 2/2019, i requisiti dimensionali minimi ed i corrispondenti parametri organizzativi ed economico-finanziari delle istituende ASP sono definiti nelle tabelle di cui all’allegato A.</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Art. 6</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(Trasformazione delle IPAB in persone giuridiche di diritto privato senza scopo di lucro)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 Le IPAB in possesso dei requisiti di cui al decreto del Presidente del Consiglio dei ministri 16 febbraio 1990 (Direttiva alle regioni in materia di riconoscimento della personalità giuridica di diritto privato alle istituzioni pubbliche di assistenza e beneficenza a carattere regionale ed infra-regionale) e quelle tuttora svolgenti in modo precipuo attività inerenti alla sfera educativa-religiosa di cui all’articolo 3 della legge regionale 21 febbraio 2001, n. 5, entro novanta giorni dalla data di entrata in vigore del presente regolamento, deliberano di trasformarsi in persona giuridica di diritto privato, ai sensi dell’articolo 18 della l.r. n. 2/2019.</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2. Ai fini di cui al comma 1, il legale rappresentante dell’IPAB, entro dieci giorni dall’adozione della deliberazione di cui al comma 1, presenta apposita istanza, sottoscritta e compilata nelle forme di cui al decreto del Presidente della Repubblica 28 dicembre 2000, n. 445 (Disposizioni legislative in materia di documentazione amministrativa) alla direzione regionale ed al comune in cui l’IPAB ha sede legale.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3. La domanda di trasformazione deve essere corredata da una relazione sulla situazione patrimoniale e finanziaria, sottoscritta dal legale rappresentante, completa della documentazione di seguito indicata: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 proposta di statuto del nuovo soggetto giuridico;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b. inventario del patrimonio mobiliare e immobiliare dell’IPAB, corredato di perizia asseverata;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c. elenco nominativo del personale dell’IPAB recante l'indicazione della natura giuridica del rapporto di lavoro, della sua decorrenza e del termine, se previsto, del profilo professionale e della categoria di appartenenza, del trattamento economico in godimento;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d. processo verbale della ricognizione dei rapporti giuridici attivi e passivi facenti capo all’IPAB;</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e. ultimo bilancio consuntivo approvato dall’IPAB;</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f. ogni atto idoneo a comprovare il possesso dei requisiti di cui al DPCM 16 febbraio 1990 che consentono la trasformazione in persona giuridica di diritto privato;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g. relazione sulle attività svolte dall’IPAB, sottoscritta dal legale rappresentante;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h. relazione illustrativa delle attività che si intendono svolgere e delle modalità di</w:t>
      </w:r>
      <w:r w:rsidR="00DF5E06">
        <w:rPr>
          <w:rFonts w:cstheme="minorHAnsi"/>
        </w:rPr>
        <w:t xml:space="preserve"> </w:t>
      </w:r>
      <w:r w:rsidRPr="00976866">
        <w:rPr>
          <w:rFonts w:cstheme="minorHAnsi"/>
        </w:rPr>
        <w:t>conseguimento degli scopi statutari sottoscritta dal legale rappresentante.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4. Entro trenta giorni dal ricevimento dell’istanza, la direzione regionale convoca un’apposita conferenza di servizi interistituzionale tra la Regione, il comune e l’IPAB interessata, con l’eventuale partecipazione dell’azienda sanitaria locale territorialmente competente, ove i servizi erogati dall’IPAB abbiano natura sanitaria o sociosanitaria, per l’acquisizione del parere propedeutico all’adozione del provvedimento di trasformazione dell’istituzione.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5. Entro trenta giorni dalla conclusione della conferenza di servizi, la Giunta regionale adotta il provvedimento di trasformazione dell’IPAB in persona giuridica di diritto privato, nel rispetto delle tavole di fondazione.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4. Alle revisioni statutarie e ai patrimoni delle IPAB che si trasformano in persone giuridiche di diritto privato senza scopo di lucro si applicano le disposizioni di cui agli articoli 17 e 18 del d.lgs. 207/2001, nonché quelle di cui al presente regolamento.</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Art. 7</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(Autonomia delle ASP)</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 Ai sensi dell’articolo 6 del decreto legislativo 4 maggio 2001, n. 207 e dell’articolo 5 della l.r. n. 2/2019 le ASP hanno personalità giuridica di diritto pubblico, sono dotate di autonomia giuridica e amministrativa, in particolare statutaria, contabile, patrimoniale, gestionale e tecnica e non hanno scopo di lucro. Esse informano la propria organizzazione ai principi di efficacia, economicità, efficienza e trasparenza, nel rispetto dell’equilibrio di bilancio e sono sottoposte alla vigilanza della Regione e operano con criteri imprenditoriali.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2. L’organizzazione e l’attività delle ASP si conformano ai seguenti principi: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 separazione tra attività di indirizzo e programmazione e attività di gestione;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lastRenderedPageBreak/>
        <w:t>b) programmazione delle attività e idoneità organizzativa dell’istituzione, al fine di garantire la corretta, equa e regolare erogazione delle prestazioni;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c) responsabilità ed unicità dell’amministrazione, attribuendo ad un unico soggetto funzionalità connesse, strumentali o complementari ed individuando specificamente un unico organo o soggetto al quale affidare la responsabilità dei procedimenti e dall’azione amministrativa.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3. Lo statuto dell’ASP, redatto secondo lo schema di cui all’allegato B al presente regolamento, stabilisce le norme fondamentali dell’organizzazione dell'ASP e, in particolare: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 indica le origini e la natura giuridica dell’Ente;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b) indica la denominazione e la sede legale dell’azienda;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c) individua gli scopi istituzionali;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d) definisce i limiti territoriali entro cui l’azienda svolge l'attività;</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e) definisce l’assetto funzionale e organizzativo dell’azienda;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f) determina il numero dei componenti del consiglio di amministrazione;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g) definisce i requisiti per accedere alla carica di presidente e di consigliere;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h) disciplina le modalità di nomina e i casi e le modalità di revoca e di decadenza del presidente e degli altri componenti del consiglio di amministrazione e, in particolare, prevede il divieto per i componenti del consiglio di amministrazione di ricoprire la medesima carica in più ASP;</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i) stabilisce le attribuzioni e la durata del mandato del consiglio di amministrazione;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j) disciplina i criteri e le modalità di erogazione dei compensi e dei rimborsi spese al presidente e ai consiglieri;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k) disciplina il funzionamento degli organi di amministrazione e, in particolare, determina il quorum strutturale per la validità delle adunanze e stabilisce la periodicità delle sedute ordinarie e le modalità di convocazione degli organi amministrativi;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l) stabilisce i criteri, definisce le modalità e le procedure per la nomina del direttore e determina le relative attribuzioni;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m) garantisce l’applicazione al personale dipendente dei contratti collettivi di lavoro;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n) indica la composizione e la consistenza del patrimonio e specifica i beni che costituiscono il patrimonio indisponibile dell’azienda;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o) contiene le disposizioni contabili;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p) prevede l’istituzione dell’Organismo Interno di Valutazione (OIV) e di eventuali organi di controllo interno;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q) prevede l’istituzione dell’organo di revisione contabile;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r) prevede l’istituzione dell’ufficio relazioni con il pubblico previsto dall’articolo 11 del decreto legislativo 30 marzo 2001, n. 165 (Norme generali sull'ordinamento del lavoro alle dipendenze delle amministrazioni pubbliche);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s) disciplina il servizio di tesoreria.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4. La denominazione dell’ASP reca l’indicazione di “Azienda di servizi alla persona” o dell’acronimo “ASP”.</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Art. 8</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(Modifiche statutarie)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 Le modifiche statutarie sono deliberate dal consiglio di amministrazione dell’ASP con il voto favorevole della maggioranza assoluta dei componenti e sono approvate con deliberazione della Giunta regionale secondo le modalità di approvazione dello Statuto di cui all’articolo 3.</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2. Entro dieci giorni dall’adozione della proposta di modifica statutaria il legale rappresentante dell’ASP trasmette alla struttura regionale competente apposita istanza, sottoscritta nelle forme previste dall'articolo 38 del DPR 445/2000 e corredata della seguente documentazione: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 copia della deliberazione contenente le modifiche statutarie;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b) relazioni sulle motivazioni sottese all’adozione delle modifiche statutarie.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3. Le modifiche statutarie che dispongono la variazione della struttura e della durata del mandato degli organi amministrativi non determinano la decadenza degli organi in carica e producono i propri effetti a decorrere dal rinnovo degli organi che hanno deliberato le modifiche.</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Art. 9</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(Rimborso spese, indennità, compensi, e gettoni di presenza dei consiglieri di amministrazione)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 xml:space="preserve">1. Ai consiglieri di amministrazione e ai presidenti delle ASP che ricevono, in via ordinaria, contributi o utilità comunque denominati da parte della Regione o di altre pubbliche amministrazioni, si applica l’onorificità dell’incarico, il quale, nel rispetto dell’articolo 16 della legge regionale 28 giugno 2013, n. 4, relativo a </w:t>
      </w:r>
      <w:r w:rsidRPr="00976866">
        <w:rPr>
          <w:rFonts w:cstheme="minorHAnsi"/>
        </w:rPr>
        <w:lastRenderedPageBreak/>
        <w:t>partecipazione a organi collegiali e gratuità degli incarichi, e successive modifiche, può dar luogo esclusivamente ad un rimborso delle spese effettivamente sostenute e documentate, ove previsto dai relativi statuti.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2. Nei casi in cui non trovi applicazione l’onorificità di cui al comma 1, lo Statuto dell’ASP, compatibilmente con la normativa vigente in materia e con le disponibilità di bilancio, determina, in conformità con la tabella di cui all’allegato C, l’indennità attribuibile a ciascun componente dell’organo di amministrazione, tenuto conto: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 delle dimensioni dell’ASP, rapportate al volume del patrimonio mobiliare e immobiliare nonché all’ambito di intervento territoriale;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2) del volume di bilancio dell’ASP;</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3) della tipologia di servizi erogati.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3. Nel caso in cui lo statuto dell’ASP non disponga in ordine all’erogazione di indennità in favore del presidente e dei consiglieri, essi hanno diritto di percepire, nei limiti fissati dalla legge, un gettone di presenza per ogni seduta del Consiglio di Amministrazione.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3. Al presidente e ai consiglieri che risiedono fuori del territorio del comune dove è ubicata la sede legale dell'azienda spetta il rimborso delle sole spese di viaggio effettivamente sostenute all’interno del territorio della Regione Lazio per la partecipazione a ciascuna delle sedute del consiglio di amministrazione formalmente convocate.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4. La liquidazione del rimborso delle spese è effettuata dal direttore dell'azienda, su richiesta dell'interessato, corredata dalla documentazione delle spese di viaggio effettivamente sostenute.</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Art. 10</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(Cause di incompatibilità e di inconferibilità o di conflitto di interessi dei</w:t>
      </w:r>
      <w:r w:rsidR="00FC4DD5">
        <w:rPr>
          <w:rFonts w:cstheme="minorHAnsi"/>
          <w:b/>
          <w:bCs/>
        </w:rPr>
        <w:t xml:space="preserve"> </w:t>
      </w:r>
      <w:r w:rsidRPr="00976866">
        <w:rPr>
          <w:rFonts w:cstheme="minorHAnsi"/>
          <w:b/>
          <w:bCs/>
        </w:rPr>
        <w:t>componenti del Consiglio di amministrazione)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 Ferma restando la disciplina in materia di cause di incompatibilità e di inconferibilità di cui all’articolo 10 della legge regionale 22 febbraio 2019, n. 2, costituiscono ipotesi di conflitto di interessi dei componenti del Consiglio di amministrazione che comportano un obbligo di astensione dall’assunzione di decisioni: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 avere, in sede di Consiglio di amministrazione, interessi propri o dei propri parenti o affini sino al quarto grado o di imprese o società da tali soggetti controllate;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b. avere, direttamente o indirettamente, un interesse finanziario, economico o altro interesse personale tale da condizionare, nell’espletamento delle proprie funzioni, l’esercizio delle funzioni pubbliche ad esso attribuite;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2. Nel caso in cui, nell’ambito del procedimento di nomina, la struttura regionale competente accerti la sussistenza di una delle ipotesi di inconferibilità o incompatibilità del soggetto designato quale componente del Consiglio di amministrazione dell’ASP, ne dà immediata comunicazione al soggetto che ha effettuato la designazione, il quale dovrà provvedere: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 in presenza di una o più cause di inconferibilità, a individuare, entro il termine di 30 giorni dal ricevimento della contestazione, un nuovo soggetto in sostituzione di quello dichiarato inconferibile;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b. in presenza di una o più cause di incompatibilità, a richiederne al soggetto designato la rimozione entro il termine di 30 giorni;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3. Qualora la causa di incompatibilità venga accertata nel corso del mandato, si applicano le disposizioni di cui al comma 3 dell’articolo 10 della legge regionale 22 febbraio 2019, n. 2.</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4. La deliberazione del Consiglio di Amministrazione che dispone la decadenza o la revoca del consigliere deve essere comunicata entro 7 giorni alla competente struttura regionale, la quale dovrà attivare tutte le procedure finalizzate alla sostituzione del Consigliere dichiarato decaduto.</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Art. 11</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(Direttore dell’ASP)</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 Fermi restando i requisiti previsti dalla normativa vigente in materia di conferimento di incarichi dirigenziali, ai sensi dall’articolo 11 della l.r. n. 2/2019 e del presente regolamento, per la nomina a Direttore dell'ASP è comunque richiesto il possesso di: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 diploma di laurea, o di laurea magistrale o specialistica;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b) comprovata esperienza professionale e funzionale, non inferiore a 5 anni, adeguata allo svolgimento dello specifico incarico, maturata nei ruoli dirigenziali presso enti pubblici e privati, in materia di gestione di servizi e strutture socio-assistenziali e socio-sanitarie.</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lastRenderedPageBreak/>
        <w:t>Art. 12</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(Organo di revisione)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 Ai sensi dell’articolo 12 della l.r. n. 2/2019, le ASP si dotano, anche in forma associata, di un organo di revisione legale dei conti scelto esclusivamente tra gli iscritti nel registro</w:t>
      </w:r>
      <w:r w:rsidR="00DF5E06">
        <w:rPr>
          <w:rFonts w:cstheme="minorHAnsi"/>
        </w:rPr>
        <w:t xml:space="preserve"> </w:t>
      </w:r>
      <w:r w:rsidRPr="00976866">
        <w:rPr>
          <w:rFonts w:cstheme="minorHAnsi"/>
        </w:rPr>
        <w:t>dei revisori legali di cui al decreto legislativo 27 gennaio 2010, n. 39 (Attuazione della direttiva 2006/43/CE, relativa alle revisioni legali dei conti annuali e dei conti consolidati,</w:t>
      </w:r>
    </w:p>
    <w:p w:rsidR="00BC1888" w:rsidRPr="00976866" w:rsidRDefault="00BC1888" w:rsidP="00BC1888">
      <w:pPr>
        <w:autoSpaceDE w:val="0"/>
        <w:autoSpaceDN w:val="0"/>
        <w:adjustRightInd w:val="0"/>
        <w:spacing w:after="0" w:line="20" w:lineRule="atLeast"/>
        <w:jc w:val="both"/>
        <w:rPr>
          <w:rFonts w:cstheme="minorHAnsi"/>
        </w:rPr>
      </w:pPr>
      <w:proofErr w:type="gramStart"/>
      <w:r w:rsidRPr="00976866">
        <w:rPr>
          <w:rFonts w:cstheme="minorHAnsi"/>
        </w:rPr>
        <w:t>che</w:t>
      </w:r>
      <w:proofErr w:type="gramEnd"/>
      <w:r w:rsidRPr="00976866">
        <w:rPr>
          <w:rFonts w:cstheme="minorHAnsi"/>
        </w:rPr>
        <w:t xml:space="preserve"> modifica le direttive 78/660/CEE e 83/349/CEE, e che abroga la direttiva 84/253/CEE), e successive modifiche e viene nominato dal Presidente della Regione. Le ipotesi di ineleggibilità e incompatibilità previste dall’articolo 2399, comma 1, del codice</w:t>
      </w:r>
    </w:p>
    <w:p w:rsidR="00BC1888" w:rsidRPr="00976866" w:rsidRDefault="00BC1888" w:rsidP="00BC1888">
      <w:pPr>
        <w:autoSpaceDE w:val="0"/>
        <w:autoSpaceDN w:val="0"/>
        <w:adjustRightInd w:val="0"/>
        <w:spacing w:after="0" w:line="20" w:lineRule="atLeast"/>
        <w:jc w:val="both"/>
        <w:rPr>
          <w:rFonts w:cstheme="minorHAnsi"/>
        </w:rPr>
      </w:pPr>
      <w:proofErr w:type="gramStart"/>
      <w:r w:rsidRPr="00976866">
        <w:rPr>
          <w:rFonts w:cstheme="minorHAnsi"/>
        </w:rPr>
        <w:t>civile</w:t>
      </w:r>
      <w:proofErr w:type="gramEnd"/>
      <w:r w:rsidRPr="00976866">
        <w:rPr>
          <w:rFonts w:cstheme="minorHAnsi"/>
        </w:rPr>
        <w:t xml:space="preserve"> si applicano anche all’Organo di revisione dell’ASP.</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2. L'Organo di revisione si riunisce obbligatoriamente in occasione dell'approvazione del</w:t>
      </w:r>
      <w:r w:rsidR="00DF5E06">
        <w:rPr>
          <w:rFonts w:cstheme="minorHAnsi"/>
        </w:rPr>
        <w:t xml:space="preserve"> </w:t>
      </w:r>
      <w:r w:rsidRPr="00976866">
        <w:rPr>
          <w:rFonts w:cstheme="minorHAnsi"/>
        </w:rPr>
        <w:t>bilancio di esercizio, del bilancio pluriennale economico di previsione e del bilancio annuale economico di previsione, esprimendo il proprio parere sulla regolarità amministrativa e contabile di tali atti, nonché formulando eventuali rilievi e proposte finalizzate ad una migliore efficienza, produttività ed economicità della gestione dell'ASP.</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3. All’Organo di revisione spetta un’indennità annua, comprensiva delle spese e di ogni altro rimborso, fissata nella misura del 60% di quanto riconosciuto a un sindaco di una società controllata dalla Regione appartenente alla classe di produzione minore.</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Art. 13</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(Estinzione delle IPAB)</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 Ai sensi dell’articolo 4 della l.r. n. 2/2019, le IPAB che non siano state più in grado di perseguire gli scopi statutari nel triennio precedente al 30 giugno 2018, perché inattive o</w:t>
      </w:r>
    </w:p>
    <w:p w:rsidR="00BC1888" w:rsidRPr="00976866" w:rsidRDefault="00BC1888" w:rsidP="00BC1888">
      <w:pPr>
        <w:autoSpaceDE w:val="0"/>
        <w:autoSpaceDN w:val="0"/>
        <w:adjustRightInd w:val="0"/>
        <w:spacing w:after="0" w:line="20" w:lineRule="atLeast"/>
        <w:jc w:val="both"/>
        <w:rPr>
          <w:rFonts w:cstheme="minorHAnsi"/>
        </w:rPr>
      </w:pPr>
      <w:proofErr w:type="gramStart"/>
      <w:r w:rsidRPr="00976866">
        <w:rPr>
          <w:rFonts w:cstheme="minorHAnsi"/>
        </w:rPr>
        <w:t>in</w:t>
      </w:r>
      <w:proofErr w:type="gramEnd"/>
      <w:r w:rsidRPr="00976866">
        <w:rPr>
          <w:rFonts w:cstheme="minorHAnsi"/>
        </w:rPr>
        <w:t xml:space="preserve"> situazioni di mancanza di mezzi economici e finanziari, o per le quali siano esaurite le finalità previste nelle tavole di fondazione o negli statuti ovvero che non siano più in grado di perseguire altra attività assistenziale o educativa, sono soggette ad estinzione.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2. Il procedimento di estinzione delle IPAB è promosso d’ufficio dalla direzione regionale, ovvero dall’organo di amministrazione dell’IPAB interessata, ai sensi dell’articolo 14.</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3. Non sono sottoposte al procedimento di estinzione le IPAB che abbiano avviato le procedure di fusione nel termine di novanta giorni dalla data di entrata in vigore del presente regolamento e che le abbiano concluse nei termini previsti dall’articolo 4.</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4. Le disposizioni del presente articolo si applicano anche alle IPAB già concentrate o comunque amministrate dagli enti comunali di assistenza di cui all’articolo 8 della legge regionale 29 maggio 1978, n. 22 (Norme sullo scioglimento degli enti comunali di assistenza, sul passaggio delle attribuzioni, del personale e dei rapporti patrimoniali ai comuni ai sensi dell’articolo 25 del decreto del Presidente della Repubblica 24 luglio 1977, n. 616 e sul trasferimento di competenze regionali in merito alla beneficenza pubblica) e successive modifiche, ferme restando le attribuzioni riconosciute ai comuni e previa convocazione di un’apposita conferenza di servizi interistituzionale tra la Regione, il comune e l’IPAB interessata, con l’eventuale partecipazione dell’azienda sanitaria locale territorialmente competente, ove i servizi erogati dalla stessa IPAB abbiano natura sanitaria o sociosanitaria.</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Art. 14</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(Procedimento di estinzione delle IPAB)</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 xml:space="preserve">1. Il procedimento di estinzione delle IPAB può essere promosso d’ufficio dalla </w:t>
      </w:r>
      <w:proofErr w:type="gramStart"/>
      <w:r w:rsidRPr="00976866">
        <w:rPr>
          <w:rFonts w:cstheme="minorHAnsi"/>
        </w:rPr>
        <w:t>direzione  regionale</w:t>
      </w:r>
      <w:proofErr w:type="gramEnd"/>
      <w:r w:rsidRPr="00976866">
        <w:rPr>
          <w:rFonts w:cstheme="minorHAnsi"/>
        </w:rPr>
        <w:t>, che provvede a darne comunicazione all’IPAB interessata, al comune o ai comuni del distretto sociosanitario ove ha sede legale l’IPAB stessa e ai soggetti interessati.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2. Entro trenta giorni dalla ricezione della comunicazione di cui al comma 1, l’IPAB e i soggetti interessati possono formulare osservazioni alla direzione regionale. Entro il medesimo termine, il Comune esprime parere motivato sulla proposta di estinzione.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3. L’organo di amministrazione dell’IPAB trasmette, altresì, alla direzione regionale, nello stesso termine di cui al comma 2, la ricognizione aggiornata delle risorse umane, patrimoniali e finanziarie nonché dei rapporti giuridici attivi e passivi pendenti. Nei casi di cui alle lettere a), b) e c) del comma 2 dell’articolo 34 della l.r. n. 12/2016, gli adempimenti previsti dal precedente periodo sono svolti da un commissario straordinario nominato dal Presidente della Regione ai sensi del medesimo articolo 34.</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 xml:space="preserve">4. Il procedimento di estinzione può essere promosso anche dall’organo di amministrazione dell’IPAB. In tal caso, il legale rappresentante dell’IPAB entro il termine di dieci giorni dalla data di adozione della </w:t>
      </w:r>
      <w:r w:rsidRPr="00976866">
        <w:rPr>
          <w:rFonts w:cstheme="minorHAnsi"/>
        </w:rPr>
        <w:lastRenderedPageBreak/>
        <w:t>deliberazione che propone l’estinzione dell’IPAB, presenta apposita istanza, sottoscritta nelle forme di cui al decreto del Presidente della Repubblica 28 dicembre 2000, n. 445 (Disposizioni legislative in materia di documentazione amministrativa), alla direzione regionale, che la trasmette al comune o ai comuni del distretto sociosanitario ove ha sede legale l’IPAB, i quali possono esprimere parere motivato entro trenta giorni dal ricevimento della stessa.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5. L’istanza di cui al comma 4 deve essere corredata da una relazione sulla situazione patrimoniale e finanziaria, sottoscritta dal legale rappresentante, completa della ricognizione delle risorse umane, patrimoniali e finanziarie nonché dei rapporti giuridici attivi e passivi pendenti.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6. Entro trenta giorni dal ricevimento delle osservazioni o del parere di cui al comma 2, ovvero dell’istanza di cui al comma 4 in caso di estinzione promossa dall’IPAB, la direzione regionale, esprime parere motivato in merito all’estinzione.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7. Ai fini del parere di cui al comma 6, per le IPAB già oggetto di procedura di estinzione ai sensi dell’abrogato regolamento regionale 25 ottobre 2007, n. 12, sono fatte salve le risultanze dei lavori svolti dalla commissione tecnica per le estinzioni, nominata ai sensi dell’articolo 4 del medesimo regolamento.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8. Il provvedimento di estinzione è adottato dalla Giunta regionale, con propria deliberazione, su proposta della direzione regionale, sentite le organizzazioni sindacali per gli eventuali aspetti inerenti al personale.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9. La Giunta regionale, con la deliberazione di cui al comma 8, provvede, altresì, ad individuare, nel rispetto delle tavole di fondazione, il destinatario delle risorse umane, patrimoniali e finanziarie, il quale subentra in tutti i rapporti giuridici pendenti. In mancanza di disposizioni specifiche nelle suddette tavole di fondazione, il destinatario è</w:t>
      </w:r>
      <w:r w:rsidR="005E2973">
        <w:rPr>
          <w:rFonts w:cstheme="minorHAnsi"/>
        </w:rPr>
        <w:t xml:space="preserve"> </w:t>
      </w:r>
      <w:r w:rsidRPr="00976866">
        <w:rPr>
          <w:rFonts w:cstheme="minorHAnsi"/>
        </w:rPr>
        <w:t>individuato:</w:t>
      </w:r>
      <w:r w:rsidR="005E2973">
        <w:rPr>
          <w:rFonts w:cstheme="minorHAnsi"/>
        </w:rPr>
        <w:t xml:space="preserve"> </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 per le IPAB aventi sede legale nel Comune di Roma capitale, ad altra IPAB in via di trasformazione o già trasformata in ASP, avente finalità analoghe o complementari e sede nello stesso comune;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b) per le IPAB aventi sede legale nel resto della Regione, ad altra IPAB in via di trasformazione o già trasformata in ASP, avente sede nello stesso distretto sociosanitario o, in caso di assenza di altre IPAB nel medesimo distretto, facendo riferimento agli ambiti territoriali delle aziende sanitarie locali di comune appartenenza.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10. Limitatamente alle IPAB le cui finalità previste nelle tavole di fondazione o negli statuti risultino esaurite, il patrimonio residuo è attribuito ad altre IPAB in via di trasformazione o già trasformate in ASP, secondo il criterio territoriale di cui al comma 9 lettere a) e b), con destinazione prioritaria alle finalità di cui alla legge 22 giugno 2016, n. 12 (Disposizioni in materia di assistenza in favore delle persone con disabilità grave prive del sostegno familiare) e successive modifiche e alla legge 5 febbraio 1992, n. 104</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(Legge quadro per l’assistenza, l’integrazione sociale e i diritti delle persone handicappate) e successive modifiche.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11. L’estinzione produce effetti dalla data di pubblicazione della deliberazione di Giunta regionale sul Bollettino Ufficiale della Regione.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12. Entro trenta giorni dalla data di cui al comma 8 il legale rappresentante dell’IPAB effettua la consegna dei beni al destinatario individuato nel provvedimento di estinzione mediante appositi verbali da redigersi con l’intervento, in contraddittorio, del destinatario stesso.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13. I processi verbali di consegna, sottoscritti dagli intervenuti, costituiscono titolo per la trascrizione e per la voltura catastale dei beni a favore del destinatario, da eseguirsi a cura e spese dello stesso nei termini di legge.</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Art. 15</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(Liquidazione delle IPAB)</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 Fermo restando quanto previsto dall’articolo 14 del presente regolamento, nel caso di IPAB che si trovino in condizioni economiche di grave dissesto, determinate da un consistente disavanzo di amministrazione nonché da un notevole volume di residui passivi rispetto ai quali è accertata l’impossibilità dell’ente di farvi fronte con le risorse a disposizione, così come desumibili dall’ultimo bilancio consuntivo trasmesso, la Giunta regionale, ai sensi dell’articolo 4, comma 8, della l.r. n. 2/2019, su richiesta dell’IPAB medesima o d’ufficio o su segnalazione del comune o dei comuni del distretto sociosanitario ove ha sede legale l’IPAB, dispone la messa in liquidazione dell’ente, nominando contestualmente un commissario liquidatore per accertare la cessazione dell’attività e procedere alle relative operazioni. Nei casi di richiesta dell’IPAB medesima</w:t>
      </w:r>
      <w:r w:rsidR="00DF5E06">
        <w:rPr>
          <w:rFonts w:cstheme="minorHAnsi"/>
        </w:rPr>
        <w:t xml:space="preserve"> </w:t>
      </w:r>
      <w:r w:rsidRPr="00976866">
        <w:rPr>
          <w:rFonts w:cstheme="minorHAnsi"/>
        </w:rPr>
        <w:t xml:space="preserve">o d’ufficio, la Giunta regionale provvede previo parere motivato del comune o dei comuni del distretto </w:t>
      </w:r>
      <w:r w:rsidRPr="00976866">
        <w:rPr>
          <w:rFonts w:cstheme="minorHAnsi"/>
        </w:rPr>
        <w:lastRenderedPageBreak/>
        <w:t>sociosanitario ove ha sede legale l’IPAB, da esprimersi entro trenta giorni dalla richiesta. Nel caso in cui detto termine decorra inutilmente il parere si intende rilasciato positivamente.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2. Nei casi di cui al comma 1 si applicano, in quanto compatibili ed in relazione alle competenze regionali, le norme procedimentali e di esecuzione di cui alla legge 4 dicembre 1956, n. 1404 (Soppressione e messa in liquidazione di enti di diritto pubblico e di altri enti sotto qualsiasi forma costituiti, soggetti a vigilanza dello Stato e comunque</w:t>
      </w:r>
      <w:r w:rsidR="00DF5E06">
        <w:rPr>
          <w:rFonts w:cstheme="minorHAnsi"/>
        </w:rPr>
        <w:t xml:space="preserve"> </w:t>
      </w:r>
      <w:r w:rsidRPr="00976866">
        <w:rPr>
          <w:rFonts w:cstheme="minorHAnsi"/>
        </w:rPr>
        <w:t>interessanti la finanza statale) e successive modifiche.</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ALLEGATO A</w:t>
      </w:r>
    </w:p>
    <w:p w:rsidR="00BC1888" w:rsidRDefault="00BC1888" w:rsidP="00BC1888">
      <w:pPr>
        <w:autoSpaceDE w:val="0"/>
        <w:autoSpaceDN w:val="0"/>
        <w:adjustRightInd w:val="0"/>
        <w:spacing w:after="0" w:line="20" w:lineRule="atLeast"/>
        <w:jc w:val="both"/>
        <w:rPr>
          <w:rFonts w:cstheme="minorHAnsi"/>
          <w:b/>
          <w:bCs/>
        </w:rPr>
      </w:pPr>
      <w:r w:rsidRPr="00976866">
        <w:rPr>
          <w:rFonts w:cstheme="minorHAnsi"/>
          <w:b/>
          <w:bCs/>
        </w:rPr>
        <w:t>(</w:t>
      </w:r>
      <w:proofErr w:type="gramStart"/>
      <w:r w:rsidRPr="00976866">
        <w:rPr>
          <w:rFonts w:cstheme="minorHAnsi"/>
          <w:b/>
          <w:bCs/>
        </w:rPr>
        <w:t>al</w:t>
      </w:r>
      <w:proofErr w:type="gramEnd"/>
      <w:r w:rsidRPr="00976866">
        <w:rPr>
          <w:rFonts w:cstheme="minorHAnsi"/>
          <w:b/>
          <w:bCs/>
        </w:rPr>
        <w:t xml:space="preserve"> regolamento regionale recante “Disciplina dei procedimenti di trasformazione delle Istituzioni pubbliche di assistenza e beneficenza (IPAB) in Aziende pubbliche di servizi alla persona (ASP) ovvero in persone giuridiche di diritto privato senza scopo di lucro, nonché dei procedimenti di fusione e di estinzione delle IPAB”) </w:t>
      </w:r>
    </w:p>
    <w:p w:rsidR="00DF5E06" w:rsidRDefault="00DF5E06" w:rsidP="00BC1888">
      <w:pPr>
        <w:autoSpaceDE w:val="0"/>
        <w:autoSpaceDN w:val="0"/>
        <w:adjustRightInd w:val="0"/>
        <w:spacing w:after="0" w:line="20" w:lineRule="atLeast"/>
        <w:jc w:val="both"/>
        <w:rPr>
          <w:rFonts w:cstheme="minorHAnsi"/>
          <w:b/>
          <w:bCs/>
        </w:rPr>
      </w:pPr>
      <w:r>
        <w:rPr>
          <w:rFonts w:cstheme="minorHAnsi"/>
          <w:b/>
          <w:bCs/>
        </w:rPr>
        <w:t>NB</w:t>
      </w:r>
    </w:p>
    <w:p w:rsidR="00DF5E06" w:rsidRPr="00976866" w:rsidRDefault="00DF5E06" w:rsidP="00BC1888">
      <w:pPr>
        <w:autoSpaceDE w:val="0"/>
        <w:autoSpaceDN w:val="0"/>
        <w:adjustRightInd w:val="0"/>
        <w:spacing w:after="0" w:line="20" w:lineRule="atLeast"/>
        <w:jc w:val="both"/>
        <w:rPr>
          <w:rFonts w:cstheme="minorHAnsi"/>
          <w:b/>
          <w:bCs/>
        </w:rPr>
      </w:pPr>
      <w:r>
        <w:rPr>
          <w:rFonts w:cstheme="minorHAnsi"/>
          <w:b/>
          <w:bCs/>
        </w:rPr>
        <w:t>SI FA RINVIO ALLA LETTURA INTEGRALE DEL TESTO</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ALLEGATO B</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rPr>
        <w:t>(</w:t>
      </w:r>
      <w:proofErr w:type="gramStart"/>
      <w:r w:rsidRPr="00976866">
        <w:rPr>
          <w:rFonts w:cstheme="minorHAnsi"/>
          <w:b/>
          <w:bCs/>
        </w:rPr>
        <w:t>al</w:t>
      </w:r>
      <w:proofErr w:type="gramEnd"/>
      <w:r w:rsidRPr="00976866">
        <w:rPr>
          <w:rFonts w:cstheme="minorHAnsi"/>
          <w:b/>
          <w:bCs/>
        </w:rPr>
        <w:t xml:space="preserve"> regolamento regionale recante </w:t>
      </w:r>
      <w:r w:rsidRPr="00976866">
        <w:rPr>
          <w:rFonts w:cstheme="minorHAnsi"/>
        </w:rPr>
        <w:t>“</w:t>
      </w:r>
      <w:r w:rsidRPr="00976866">
        <w:rPr>
          <w:rFonts w:cstheme="minorHAnsi"/>
          <w:b/>
          <w:bCs/>
        </w:rPr>
        <w:t>Disciplina dei procedimenti di trasformazione</w:t>
      </w:r>
      <w:r w:rsidR="00DF5E06">
        <w:rPr>
          <w:rFonts w:cstheme="minorHAnsi"/>
          <w:b/>
          <w:bCs/>
        </w:rPr>
        <w:t xml:space="preserve"> </w:t>
      </w:r>
      <w:r w:rsidRPr="00976866">
        <w:rPr>
          <w:rFonts w:cstheme="minorHAnsi"/>
          <w:b/>
          <w:bCs/>
        </w:rPr>
        <w:t>delle Istituzioni pubbliche di assistenza e beneficenza (IPAB) in Aziende pubbliche</w:t>
      </w:r>
      <w:r w:rsidR="00DF5E06">
        <w:rPr>
          <w:rFonts w:cstheme="minorHAnsi"/>
          <w:b/>
          <w:bCs/>
        </w:rPr>
        <w:t xml:space="preserve"> </w:t>
      </w:r>
      <w:r w:rsidRPr="00976866">
        <w:rPr>
          <w:rFonts w:cstheme="minorHAnsi"/>
          <w:b/>
          <w:bCs/>
        </w:rPr>
        <w:t>di servizi alla persona (ASP) ovvero in persone giuridiche di diritto privato senza</w:t>
      </w:r>
      <w:r w:rsidR="00DF5E06">
        <w:rPr>
          <w:rFonts w:cstheme="minorHAnsi"/>
          <w:b/>
          <w:bCs/>
        </w:rPr>
        <w:t xml:space="preserve"> </w:t>
      </w:r>
      <w:r w:rsidRPr="00976866">
        <w:rPr>
          <w:rFonts w:cstheme="minorHAnsi"/>
          <w:b/>
          <w:bCs/>
        </w:rPr>
        <w:t>scopo di lucro, nonché dei procedimenti di fusione e di estinzione delle IPAB”)</w:t>
      </w:r>
    </w:p>
    <w:p w:rsidR="00BC1888" w:rsidRPr="00976866" w:rsidRDefault="00BC1888" w:rsidP="00BC1888">
      <w:pPr>
        <w:autoSpaceDE w:val="0"/>
        <w:autoSpaceDN w:val="0"/>
        <w:adjustRightInd w:val="0"/>
        <w:spacing w:after="0" w:line="20" w:lineRule="atLeast"/>
        <w:jc w:val="both"/>
        <w:rPr>
          <w:rFonts w:cstheme="minorHAnsi"/>
          <w:b/>
          <w:bCs/>
        </w:rPr>
      </w:pP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SCHEMA DI STATUTO DELLE AZIENDE DI SERVIZI ALLA PERSONA</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(ASP)</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TITOLO I - DISPOSIZIONI GENERALI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CAPO I – ORIGINI E SEDE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Articolo 1 - Origini e natura giuridica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L’Azienda trae le sue origini dall’IPAB/dalla fusione delle IPAB:</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 xml:space="preserve">1) ………………. …………………………... istituita da………………. </w:t>
      </w:r>
      <w:proofErr w:type="gramStart"/>
      <w:r w:rsidRPr="00976866">
        <w:rPr>
          <w:rFonts w:cstheme="minorHAnsi"/>
        </w:rPr>
        <w:t>ed</w:t>
      </w:r>
      <w:proofErr w:type="gramEnd"/>
      <w:r w:rsidRPr="00976866">
        <w:rPr>
          <w:rFonts w:cstheme="minorHAnsi"/>
        </w:rPr>
        <w:t xml:space="preserve"> eretta in ente morale con decreto del………………………………………………………………...,</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 xml:space="preserve">2) ………………………………………………… istituita da………………. </w:t>
      </w:r>
      <w:proofErr w:type="gramStart"/>
      <w:r w:rsidRPr="00976866">
        <w:rPr>
          <w:rFonts w:cstheme="minorHAnsi"/>
        </w:rPr>
        <w:t>ed</w:t>
      </w:r>
      <w:proofErr w:type="gramEnd"/>
      <w:r w:rsidRPr="00976866">
        <w:rPr>
          <w:rFonts w:cstheme="minorHAnsi"/>
        </w:rPr>
        <w:t xml:space="preserve"> eretta in ente morale con decreto</w:t>
      </w:r>
    </w:p>
    <w:p w:rsidR="00BC1888" w:rsidRPr="00976866" w:rsidRDefault="00BC1888" w:rsidP="00BC1888">
      <w:pPr>
        <w:autoSpaceDE w:val="0"/>
        <w:autoSpaceDN w:val="0"/>
        <w:adjustRightInd w:val="0"/>
        <w:spacing w:after="0" w:line="20" w:lineRule="atLeast"/>
        <w:jc w:val="both"/>
        <w:rPr>
          <w:rFonts w:cstheme="minorHAnsi"/>
        </w:rPr>
      </w:pPr>
      <w:proofErr w:type="gramStart"/>
      <w:r w:rsidRPr="00976866">
        <w:rPr>
          <w:rFonts w:cstheme="minorHAnsi"/>
        </w:rPr>
        <w:t>del</w:t>
      </w:r>
      <w:proofErr w:type="gramEnd"/>
      <w:r w:rsidRPr="00976866">
        <w:rPr>
          <w:rFonts w:cstheme="minorHAnsi"/>
        </w:rPr>
        <w:t>………………………………………………………………...,</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 xml:space="preserve">L’Azienda Pubblica di Servizi alla Persona denominata ………...………………. </w:t>
      </w:r>
      <w:proofErr w:type="gramStart"/>
      <w:r w:rsidRPr="00976866">
        <w:rPr>
          <w:rFonts w:cstheme="minorHAnsi"/>
        </w:rPr>
        <w:t>è</w:t>
      </w:r>
      <w:proofErr w:type="gramEnd"/>
      <w:r w:rsidRPr="00976866">
        <w:rPr>
          <w:rFonts w:cstheme="minorHAnsi"/>
        </w:rPr>
        <w:t xml:space="preserve"> ente pubblico non economico senza finalità di lucro dotata di autonomia statutaria, regolamentare, patrimoniale, finanziaria, contabile, gestionale, tecnica.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L’Azienda informa la propria organizzazione ai principi di efficacia, economicità, efficienza e trasparenza, nel rispetto dell’equilibrio di bilancio, è sottoposta alla vigilanza della Regione e opera con criteri imprenditoriali.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È inserita nel sistema regionale di interventi e servizi sociali definito dalla legge regionale ed orienta la sua attività al rispetto dei principi dalla stessa indicati, nel rispetto delle volontà espresse dai fondatori/donatori.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L’Azienda interviene nelle fasi consultive e concertative della programmazione socioassistenziale e sociosanitaria a livello regionale e locale e concorre a realizzare i servizi e gli interventi del sistema integrato sociale previsti dalla programmazione regionale e locale, anche mediante l’utilizzazione del proprio patrimonio immobiliare.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Articolo 2 – Sede legale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 xml:space="preserve">L’Azienda Pubblica di Servizi alla Persona denominata ………...………………. </w:t>
      </w:r>
      <w:proofErr w:type="gramStart"/>
      <w:r w:rsidRPr="00976866">
        <w:rPr>
          <w:rFonts w:cstheme="minorHAnsi"/>
        </w:rPr>
        <w:t>ha</w:t>
      </w:r>
      <w:proofErr w:type="gramEnd"/>
      <w:r w:rsidRPr="00976866">
        <w:rPr>
          <w:rFonts w:cstheme="minorHAnsi"/>
        </w:rPr>
        <w:t xml:space="preserve"> sede</w:t>
      </w:r>
    </w:p>
    <w:p w:rsidR="00BC1888" w:rsidRPr="00976866" w:rsidRDefault="00BC1888" w:rsidP="00BC1888">
      <w:pPr>
        <w:autoSpaceDE w:val="0"/>
        <w:autoSpaceDN w:val="0"/>
        <w:adjustRightInd w:val="0"/>
        <w:spacing w:after="0" w:line="20" w:lineRule="atLeast"/>
        <w:jc w:val="both"/>
        <w:rPr>
          <w:rFonts w:cstheme="minorHAnsi"/>
        </w:rPr>
      </w:pPr>
      <w:proofErr w:type="gramStart"/>
      <w:r w:rsidRPr="00976866">
        <w:rPr>
          <w:rFonts w:cstheme="minorHAnsi"/>
        </w:rPr>
        <w:t>legale</w:t>
      </w:r>
      <w:proofErr w:type="gramEnd"/>
      <w:r w:rsidRPr="00976866">
        <w:rPr>
          <w:rFonts w:cstheme="minorHAnsi"/>
        </w:rPr>
        <w:t xml:space="preserve"> nel Comune di …...……….</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CAPO II – FINALITA’ E AMBITO TERRITORIALE DI INTERVENTO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Articolo 3 – Finalità istituzionale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L’ASP ha come finalità l’organizzazione ed erogazione di servizi rivolti 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Articolo 4 – Ambito territoriale di intervento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L’ASP ha come finalità l’organizzazione ed erogazione dei servizi di cui all’articolo 3 per l’ambito territoriale…………………………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Articolo 5 – Gestione dei servizi e delle attività</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 L’ASP organizza ed eroga i servizi e le attività di cui all’articolo 4 di norma in forma diretta a mezzo della propria struttura organizzativa.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lastRenderedPageBreak/>
        <w:t>2. L’ASP può stipulare contratti per l’acquisizione di beni e servizi nel rispetto delle norme poste a garanzia della imparzialità, trasparenza ed efficienza dell’azione amministrativa, in coerenza con le proprie caratteristiche e natura.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3. L’ASP può stipulare contratti di servizio in relazione alle prestazioni definite dall’articolo 2, con i soggetti pubblici del sistema integrato dei servizi di cui al Capo IV della l. r. 11/2016, sulla base di quanto stabilito dall’articolo 1 comma 3 della legge regionale n. 2 del 2019.</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4. L’ASP può avvalersi della collaborazione del volontariato nelle forme e con le modalità previste dalle disposizioni vigenti.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5. L’ASP richiede l’accreditamento per i servizi e le prestazioni individuate a norma della</w:t>
      </w:r>
      <w:r w:rsidR="005E2973">
        <w:rPr>
          <w:rFonts w:cstheme="minorHAnsi"/>
        </w:rPr>
        <w:t xml:space="preserve"> </w:t>
      </w:r>
      <w:r w:rsidRPr="00976866">
        <w:rPr>
          <w:rFonts w:cstheme="minorHAnsi"/>
        </w:rPr>
        <w:t>legislazione regionale vigente.</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TITOLO II- ORGANI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CAPO I – ASSETTO FUNZIONALE E ORGANIZZATIVO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Articolo 6 – Organi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 Gli organi delle ASP sono: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 di indirizzo politico-amministrativo: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 il Consiglio di amministrazione;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2) il Presidente;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b) di gestione: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 il Direttore;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c) di controllo interno: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 l’Organo di revisione.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2. I rapporti tra gli organi sono basati sul dovere di lealtà, collaborazione e rispetto delle</w:t>
      </w:r>
      <w:r w:rsidR="005E2973">
        <w:rPr>
          <w:rFonts w:cstheme="minorHAnsi"/>
        </w:rPr>
        <w:t xml:space="preserve"> </w:t>
      </w:r>
      <w:r w:rsidRPr="00976866">
        <w:rPr>
          <w:rFonts w:cstheme="minorHAnsi"/>
        </w:rPr>
        <w:t>specifiche competenze.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3. L’organizzazione dell’ASP si conforma al principio di separazione tra attività di indirizzo e programmazione e attività di gestione ed alle disposizioni del Decreto Legislativo 30 marzo 2001 n. 165.</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CAPO II –PRESIDENTE CONSIGLIO DI AMMINISTRAZIONE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Articolo 7 – Il Presidente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 Spetta al Presidente del Consiglio di Amministrazione: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 la legale rappresentanza dell'Ente;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b. convocare e presiedere le sedute del Consiglio d'Amministrazione e stabilire l’ordine del giorno dei lavori del Consiglio;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c. curare l’esecuzione delle deliberazioni assunte dal Consiglio di Amministrazione;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d. adottare in caso di urgenza ogni provvedimento opportuno, sottoponendolo a ratifica del Consiglio di Amministrazione in adunanza da convocarsi entro breve termine;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e. adottare i provvedimenti che gli competono previsti dalle leggi, dai regolamenti e dallo Statuto.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2. Nel caso di assenza o di impedimento temporaneo del Presidente, nonché in caso di vacanza della carica e sino alla nomina del nuovo Presidente, le funzioni sono esercitate dal vicepresidente o dal consigliere più anziano per età.</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Articolo 8 – Composizione, durata e procedura di nomina del Consiglio di Amministrazione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 L’Asp è amministrata da un Consiglio di amministrazione composto di ………………membri, compreso il Presidente.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2. Il Consiglio di amministrazione delle ASP ha durata non superiore ai cinque anni e i componenti sono nominati, per non più di due mandati consecutivi, dal Presidente della Regione e sono così designati: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 il Presidente da parte del Presidente della Regione, sentita la commissione consiliare competente per materia;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b) un componente …………………………………………</w:t>
      </w:r>
      <w:proofErr w:type="gramStart"/>
      <w:r w:rsidRPr="00976866">
        <w:rPr>
          <w:rFonts w:cstheme="minorHAnsi"/>
        </w:rPr>
        <w:t>…….</w:t>
      </w:r>
      <w:proofErr w:type="gramEnd"/>
      <w:r w:rsidRPr="00976866">
        <w:rPr>
          <w:rFonts w:cstheme="minorHAnsi"/>
        </w:rPr>
        <w:t>.</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c) un componente …………………………………</w:t>
      </w:r>
      <w:proofErr w:type="gramStart"/>
      <w:r w:rsidRPr="00976866">
        <w:rPr>
          <w:rFonts w:cstheme="minorHAnsi"/>
        </w:rPr>
        <w:t>…….</w:t>
      </w:r>
      <w:proofErr w:type="gramEnd"/>
      <w:r w:rsidRPr="00976866">
        <w:rPr>
          <w:rFonts w:cstheme="minorHAnsi"/>
        </w:rPr>
        <w:t>.</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d) due componenti ……………………………………………………………</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3. Le designazioni sono effettuate almeno sessanta giorni prima della scadenza del Consiglio di amministrazione in carica e le nomine sono obbligatoriamente effettuate nei trenta giorni antecedenti a tale scadenza. Qualora i soggetti titolari delle designazioni non vi provvedano entro detto termine, il Presidente della Regione provvede indipendentemente dalle designazioni nei successivi trenta giorni.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lastRenderedPageBreak/>
        <w:t>4. Scaduto il mandato, i Consiglieri rimangono in carica fino alla relativa scadenza e comunque per un periodo non superiore a 45 giorni successivi alla stessa, durante il quale possono essere adottati atti urgenti ed indifferibili.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Articolo 9 – Requisiti per l’accesso alla carica di presidente e di consigliere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 Il Presidente e i consiglieri devono essere scelti tra persone in possesso di adeguata competenza ed esperienza in materia di servizi alla persona e specifica e qualificata competenza tecnica e amministrativa, desumibile dalla esperienza scolastica e lavorativa anche in aziende private o da eventuali incarichi pubblici ricoperti.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Articolo 10 – Decadenza, revoca e dimissioni dei consiglieri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1.I componenti del Consiglio di amministrazione operano senza vincolo di mandato e possono essere revocati nelle ipotesi previste dalla legge e dallo statuto.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2. I componenti del Consiglio di amministrazione non possono ricoprire la medesima carica in più ASP.</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3. Le dimissioni dalla carica di Consigliere sono presentate al Presidente e il quale ne dovrà prendere atto con proprio provvedimento espresso, da adottarsi entro 10 giorni dalla presentazione delle dimissioni.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4. La revoca della carica di Consigliere è disposta con le stesse modalità con cui si è provveduto alla nomina.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5. I Consiglieri sono sostituiti in caso di dimissioni, decadenza revoca o decesso secondo la stessa procedura prevista per la nomina. I Consiglieri così nominati restano in carica fino al termine del mandato del Consiglio di Amministrazione.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6. Le dimissioni o la cessazione dalla carica della maggioranza dei componenti il Consiglio di amministrazione determina la decadenza dell’intero collegio. In tal caso, il Presidente della Regione provvede alla nomina di un commissario, secondo quanto previsto dall’articolo 34 della l. r. 12/2016, per la temporanea gestione dell’ente, con il compito di procedere alla ricostituzione degli organi ordinari, dandone tempestiva comunicazione alla Regione ed ai comuni interessati.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Articolo 11 – Ineleggibilità e incompatibilità</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 Ferme restando le cause di inconferibilità ed incompatibilità disciplinate dal decreto legislativo 8 aprile 2013, n. 39 (Disposizioni in materia di inconferibilità e incompatibilità di incarichi presso le pubbliche amministrazioni e presso gli enti privati in controllo pubblico, a norma dell’articolo 1, commi 49 e 50 della legge 6 novembre 2012, n. 190) e successive modifiche, sono incompatibili con la carica di Presidente o di componente del Consiglio di amministrazione i dirigenti delle aziende sanitarie locali e delle aziende ospedaliere che operano nel territorio nel quale l’ASP ha la sede legale, nonché i dirigenti delle strutture private convenzionate con l’ASP.</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2. Non possono essere nominati membri del Consiglio di amministrazione: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 coloro che hanno riportato condanna, anche non definitiva, a pena detentiva non inferiore ad un anno per delitto non colposo;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b) coloro che sono sottoposti a procedimento penale per delitto per il quale è previsto l’arresto obbligatorio in flagranza;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c) coloro che sono sottoposti a misura di sicurezza detentiva o a libertà vigilata;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d) coloro che sono stati dichiarati inadempienti all’obbligo della presentazione dei conti o responsabili delle irregolarità che hanno cagionato il diniego di approvazione dei conti resi e non hanno riportato quietanza finale del risultato della loro gestione;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e) chi ha lite pendente con l’azienda o ha debiti liquidi verso essa ed è in mora di pagamento, nonché i titolari, i soci illimitatamente responsabili, gli amministratori, i dipendenti con potere di rappresentanza o di coordinamento di imprese esercenti attività concorrenti o comunque connesse ai servizi dell’azienda.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3. Le cause di incompatibilità di cui al comma 1 devono essere rimosse entro trenta giorni dalla nomina ad amministratore di ASP o dall’accertamento della causa di incompatibilità sopravvenuta. In caso di inadempimento, l’interessato decade automaticamente dalla carica di amministratore dell’azienda. La decadenza è dichiarata dal Consiglio di amministrazione alla scadenza del predetto termine. In mancanza, provvede la struttura regionale competente di cui all’articolo 15, comma 1.</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4. La deliberazione del Consiglio di Amministrazione che dispone la decadenza o la revoca del consigliere deve essere comunicata entro sette giorni alla competente struttura regionale, la quale dovrà attivare tutte le procedure finalizzate alla sostituzione del Consigliere dichiarato decaduto.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 xml:space="preserve">5. Nel caso in cui venga accertata la sussistenza di cause di incompatibilità nei confronti della maggioranza o di tutti i componenti del Consiglio di Amministrazione, la Regione Lazio provvede alla nomina, nelle more </w:t>
      </w:r>
      <w:r w:rsidRPr="00976866">
        <w:rPr>
          <w:rFonts w:cstheme="minorHAnsi"/>
        </w:rPr>
        <w:lastRenderedPageBreak/>
        <w:t xml:space="preserve">della nomina del nuovo organo di amministrazione e previa comunicazione ai sensi della legge 241/1990 a tuti i soggetti interessati dal procedimento, di un Commissario </w:t>
      </w:r>
      <w:r w:rsidRPr="00976866">
        <w:rPr>
          <w:rFonts w:cstheme="minorHAnsi"/>
          <w:i/>
          <w:iCs/>
        </w:rPr>
        <w:t xml:space="preserve">ad acta </w:t>
      </w:r>
      <w:r w:rsidRPr="00976866">
        <w:rPr>
          <w:rFonts w:cstheme="minorHAnsi"/>
        </w:rPr>
        <w:t>al fine di garantire l’ordinaria e straordinaria amministrazione dell’ASP.</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Articolo 12 - Attribuzioni del consiglio di amministrazione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 Il Consiglio di amministrazione esercita le funzioni di programmazione, di indirizzo e controllo, e in particolare: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 approva lo statuto e le relative modifiche;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b. approva i regolamenti di organizzazione e di contabilità e le relative modifiche;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c. approva i piani e i programmi, in coerenza con gli atti di programmazione regionale in materia, indicando indirizzi ed obiettivi della gestione;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d. approva i bilanci di previsione e di esercizio, oltre a tutti gli atti, comunque denominati, di rendicontazione sulla gestione economico-finanziaria e patrimoniale delle ASP;</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e. verifica la rispondenza dei risultati della gestione con gli obiettivi indicati;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f. nomina, su proposta del Presidente e previo espletamento di una procedura di evidenza pubblica, il Direttore ed assegna allo stesso le risorse umane e finanziarie necessarie al raggiungimento degli obiettivi fissati;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g. nomina, previo espletamento di una procedura di evidenza pubblica, gli organi di controllo interno;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h. approva la dotazione organica e il piano di fabbisogno del personale dell’ASP su proposta del Direttore;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i. delibera i programmi di dismissione, conservazione, valorizzazione e acquisto di beni immobili nel rispetto delle prescrizioni regionali emanate ai sensi dell’articolo 17 della legge regionale n. 2 del 2019 e dei regolamenti attuativi;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j. approva le proposte di contratti di servizio;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k. delibera la partecipazione in organismi di natura pubblica o privata e designa i propri rappresentanti negli stessi;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l. provvede all’attivazione delle forme di partecipazione, in particolare degli utenti dei servizi dell’ASP e dei loro familiari;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m. nomina il vicepresidente;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Articolo 13 – Adunanze e deliberazioni del Consiglio di Amministrazione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 Le adunanze del Consiglio di Amministrazione sono ordinarie e straordinarie.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2. Le prime hanno luogo ogni due mesi ed in ogni caso, nelle epoche stabilite dalla legge per l’esame e approvazione dei Bilanci preventivi e consuntivo, nonché degli strumenti di pianificazione e programmazione, le altre ogni qualvolta lo richiedono motivi di urgenza, sia su invito del Presidente, sia a seguito di domanda scritta e motivata di almeno due consiglieri, sia per invito dell’Autorità di vigilanza.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3. Le convocazioni sono fatte dal Presidente a mezzo di avviso da recapitarsi ai Consiglieri almeno sette giorni prima, ovvero due giorni prima in caso d’urgenza, con l’indicazione dell’ordine del giorno degli oggetti da trattare ovvero mediante i previsti mezzi di telecomunicazione.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4. Il Consiglio d'Amministrazione può validamente deliberare con la presenza della metà più uno dei suoi membri ed a maggioranza dei voti degli intervenuti, ad eccezione delle modifiche allo Statuto, delle fusioni ed estinzione dell’Azienda ove si richiede la maggioranza dei componenti per l’approvazione.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5. L’assenza di uno più Consiglieri, salvo comprovata motivazione, per più di tre sedute nell’arco dell’anno è valutata dal Consiglio di Amministrazione ai fini della dichiarazione di decadenza.</w:t>
      </w:r>
    </w:p>
    <w:p w:rsidR="00BC1888" w:rsidRPr="00976866" w:rsidRDefault="00BC1888" w:rsidP="00BC1888">
      <w:pPr>
        <w:tabs>
          <w:tab w:val="right" w:pos="10118"/>
        </w:tabs>
        <w:autoSpaceDE w:val="0"/>
        <w:autoSpaceDN w:val="0"/>
        <w:adjustRightInd w:val="0"/>
        <w:spacing w:after="0" w:line="20" w:lineRule="atLeast"/>
        <w:jc w:val="both"/>
        <w:rPr>
          <w:rFonts w:cstheme="minorHAnsi"/>
        </w:rPr>
      </w:pPr>
      <w:r w:rsidRPr="00976866">
        <w:rPr>
          <w:rFonts w:cstheme="minorHAnsi"/>
        </w:rPr>
        <w:t>6. I consiglieri non possono prendere parte ai punti all’ordine del giorno in cui si discutono o si deliberano atti o provvedimenti nei quali hanno interesse personale essi stessi o i loro congiunti od affini entro il quarto grado.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7. Le votazioni si fanno per appello nominale o a voti segreti. Hanno sempre luogo a voti</w:t>
      </w:r>
    </w:p>
    <w:p w:rsidR="00BC1888" w:rsidRPr="00976866" w:rsidRDefault="00BC1888" w:rsidP="00BC1888">
      <w:pPr>
        <w:autoSpaceDE w:val="0"/>
        <w:autoSpaceDN w:val="0"/>
        <w:adjustRightInd w:val="0"/>
        <w:spacing w:after="0" w:line="20" w:lineRule="atLeast"/>
        <w:jc w:val="both"/>
        <w:rPr>
          <w:rFonts w:cstheme="minorHAnsi"/>
        </w:rPr>
      </w:pPr>
      <w:proofErr w:type="gramStart"/>
      <w:r w:rsidRPr="00976866">
        <w:rPr>
          <w:rFonts w:cstheme="minorHAnsi"/>
        </w:rPr>
        <w:t>segreti</w:t>
      </w:r>
      <w:proofErr w:type="gramEnd"/>
      <w:r w:rsidRPr="00976866">
        <w:rPr>
          <w:rFonts w:cstheme="minorHAnsi"/>
        </w:rPr>
        <w:t xml:space="preserve"> quando si tratta di questioni concernenti persone. A parità di voti la proposta si intende respinta.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8. I processi verbali delle deliberazioni sono stesi dal Direttore dell’Azienda e devono essere dallo stesso firmati oltre che dal Presidente e dai Consiglieri intervenuti. Quando alcuno degli intervenuti si allontani o ricusi o non possa firmare ne viene fatta menzione.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9. Le deliberazioni del Consiglio di Amministrazione sono pubblicate sulla sezione “Amministrazione Trasparente” del sito istituzionale dell’ASP.</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Articolo 14 - Compensi e rimborsi spese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lastRenderedPageBreak/>
        <w:t>1. Ai consiglieri di amministrazione e ai Presidenti delle ASP che ricevono, in via ordinaria, contributi o utilità comunque denominati da parte Regione o di altre pubbliche amministrazioni, si applica l’onorificità dell’incarico, il quale, nel rispetto dell’articolo 16 della legge regionale 28 giugno 2013, n. 4, relativo a partecipazione a organi collegiali e gratuità degli incarichi, e successive modifiche, può dar luogo esclusivamente ad un rimborso delle spese effettivamente sostenute e documentate, ove previsto dai relativi statuti.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2. Nei casi in cui non trovi applicazione l’onorificità di cui al comma 1 si applicano le disposizioni regionali in materia.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3. Nel caso in cui lo statuto dell’Ente non disponga in ordine all’erogazione di indennità in favore del presidente e dei consiglieri, essi hanno diritto di percepire, nei limiti fissati dalla legge, un gettone di presenza per ogni seduta del Consiglio di Amministrazione.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4. Al presidente e ai consiglieri che risiedono fuori del territorio del comune dove è ubicata la sede legale dell'azienda spetta il rimborso delle sole spese di viaggio effettivamente sostenute all’interno del territorio della Regione Lazio per la partecipazione a ciascuna delle sedute del consiglio di amministrazione formalmente convocate.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5. La liquidazione del rimborso delle spese è effettuata dal direttore dell'azienda, su richiesta dell'interessato, corredata dalla documentazione delle spese di viaggio effettivamente sostenute.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CAPO II – DIRETTORE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Articolo 15 – Nomina, attribuzioni e trattamento economico</w:t>
      </w:r>
    </w:p>
    <w:p w:rsidR="00BC1888" w:rsidRPr="00976866" w:rsidRDefault="00BC1888" w:rsidP="00BC1888">
      <w:pPr>
        <w:autoSpaceDE w:val="0"/>
        <w:autoSpaceDN w:val="0"/>
        <w:adjustRightInd w:val="0"/>
        <w:spacing w:after="0" w:line="20" w:lineRule="atLeast"/>
        <w:jc w:val="both"/>
        <w:rPr>
          <w:rFonts w:cstheme="minorHAnsi"/>
          <w:i/>
          <w:iCs/>
        </w:rPr>
      </w:pPr>
      <w:r w:rsidRPr="00976866">
        <w:rPr>
          <w:rFonts w:cstheme="minorHAnsi"/>
        </w:rPr>
        <w:t>1. La gestione dell’ASP è affidata, con contratto di diritto privato eventualmente rinnovabile, ad un Direttore nominato dal Consiglio di amministrazione su proposta del Presidente, previo espletamento di una procedura di evidenza pubblica</w:t>
      </w:r>
      <w:r w:rsidRPr="00976866">
        <w:rPr>
          <w:rFonts w:cstheme="minorHAnsi"/>
          <w:i/>
          <w:iCs/>
        </w:rPr>
        <w:t>.</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2. Il Direttore dell’ASP cura la gestione finanziaria, tecnica e amministrativa, compresa l’adozione degli atti che impegnano l’ente verso l’esterno, mediante autonomi poteri di spesa, di organizzazione delle risorse umane e strumentali, con responsabilità della gestione e dei relativi risultati, di direzione, di coordinamento, di controllo, di cura dei rapporti sindacali e di istruttoria dei procedimenti disciplinari.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3. Per le finalità di cui al comma 2 il Direttore è assegnatario dei capitoli di bilancio, procede ad impegnare e liquidare le spese compatibilmente con le disponibilità di ogni singolo capitolo. Firma i mandati di pagamento.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4. Il Direttore dell’ASP dà esecuzione alle deliberazioni del Consiglio di amministrazione</w:t>
      </w:r>
    </w:p>
    <w:p w:rsidR="00BC1888" w:rsidRPr="00976866" w:rsidRDefault="00BC1888" w:rsidP="00BC1888">
      <w:pPr>
        <w:autoSpaceDE w:val="0"/>
        <w:autoSpaceDN w:val="0"/>
        <w:adjustRightInd w:val="0"/>
        <w:spacing w:after="0" w:line="20" w:lineRule="atLeast"/>
        <w:jc w:val="both"/>
        <w:rPr>
          <w:rFonts w:cstheme="minorHAnsi"/>
        </w:rPr>
      </w:pPr>
      <w:proofErr w:type="gramStart"/>
      <w:r w:rsidRPr="00976866">
        <w:rPr>
          <w:rFonts w:cstheme="minorHAnsi"/>
        </w:rPr>
        <w:t>e</w:t>
      </w:r>
      <w:proofErr w:type="gramEnd"/>
      <w:r w:rsidRPr="00976866">
        <w:rPr>
          <w:rFonts w:cstheme="minorHAnsi"/>
        </w:rPr>
        <w:t xml:space="preserve"> risponde dei risultati della gestione e della propria attività al medesimo Consiglio.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L’esito negativo della valutazione è condizione per poter procedere alla revoca dell’incarico di Direttore da parte del Consiglio di amministrazione.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5. Il Direttore svolge anche compiti di collaborazione e funzioni di assistenza giuridico amministrativa per gli organi di governo dell’ASP in ordine alla conformità dell’azione amministrativa alle leggi, allo statuto e ai regolamenti e partecipa, secondo la programmazione definita dall’ente, ad attività di formazione e aggiornamento inerenti le proprie competenze.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6. Il rapporto di lavoro del Direttore è regolato da un contratto di diritto privato, che ne stabilisce anche la durata, che non può essere superiore a 5 anni rinnovabili per una sola volta e per il medesimo periodo. Al Direttore competono esclusivamente gli emolumenti definiti nel contratto, con onere a carico del bilancio dell’azienda.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7. Per tutelare il perseguimento dell’economicità ed efficienza nelle ASP, il compenso del Direttore non può comunque superare quello dei dirigenti non generali delle strutture amministrative della Giunta regionale.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Articolo 16 – Requisiti per l’accesso alla carica.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 Fermi restando i requisiti previsti dalla normativa vigente per il conferimento di incarichi dirigenziali, per la nomina a Direttore dell’ASP sono comunque richiesti: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 diploma di laurea o di laurea magistrale o specialistica;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b) comprovata esperienza professionale e funzionale, adeguata allo svolgimento dello specifico incarico, maturata nei ruoli dirigenziali presso enti pubblici e privati, in materia</w:t>
      </w:r>
    </w:p>
    <w:p w:rsidR="00BC1888" w:rsidRPr="00976866" w:rsidRDefault="00BC1888" w:rsidP="00BC1888">
      <w:pPr>
        <w:autoSpaceDE w:val="0"/>
        <w:autoSpaceDN w:val="0"/>
        <w:adjustRightInd w:val="0"/>
        <w:spacing w:after="0" w:line="20" w:lineRule="atLeast"/>
        <w:jc w:val="both"/>
        <w:rPr>
          <w:rFonts w:cstheme="minorHAnsi"/>
        </w:rPr>
      </w:pPr>
      <w:proofErr w:type="gramStart"/>
      <w:r w:rsidRPr="00976866">
        <w:rPr>
          <w:rFonts w:cstheme="minorHAnsi"/>
        </w:rPr>
        <w:t>di</w:t>
      </w:r>
      <w:proofErr w:type="gramEnd"/>
      <w:r w:rsidRPr="00976866">
        <w:rPr>
          <w:rFonts w:cstheme="minorHAnsi"/>
        </w:rPr>
        <w:t xml:space="preserve"> gestione di servizi e strutture socio-assistenziali e socio-sanitarie.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CAPO III – ORGANO DI REVISIONE CONTABILE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Articolo 17 – Nomina, attribuzioni e funzionamento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 xml:space="preserve">1.L’ASP si dota, anche in forma associata con altre ASP, di un organo di revisione legale dei conti scelto esclusivamente tra gli iscritti nel registro dei revisori legali di cui al decreto legislativo 27 gennaio 2010, n. 39 </w:t>
      </w:r>
      <w:r w:rsidRPr="00976866">
        <w:rPr>
          <w:rFonts w:cstheme="minorHAnsi"/>
        </w:rPr>
        <w:lastRenderedPageBreak/>
        <w:t>e viene nominato con decreto del Presidente della Regione. Le ipotesi di ineleggibilità e incompatibilità previste dall’articolo 2399, comma 1, del codice civile si applicano anche all’Organo di revisione dell’ASP.</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2. L’Organo di revisione si riunisce obbligatoriamente in occasione dell’approvazione del bilancio di esercizio, del bilancio pluriennale economico di previsione e del bilancio annuale economico di previsione, esprimendo, mediante la redazione di apposita relazione, il proprio parere sulla regolarità amministrativa e contabile di tali atti, nonché</w:t>
      </w:r>
      <w:r w:rsidR="005E2973">
        <w:rPr>
          <w:rFonts w:cstheme="minorHAnsi"/>
        </w:rPr>
        <w:t xml:space="preserve"> </w:t>
      </w:r>
      <w:r w:rsidRPr="00976866">
        <w:rPr>
          <w:rFonts w:cstheme="minorHAnsi"/>
        </w:rPr>
        <w:t>formulando eventuali rilievi e proposte finalizzate ad una migliore efficienza, produttività ed economicità della gestione dell’ASP.</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3. L’Organo di revisione, in conformità alle disposizioni statutarie e alla normativa vigente, controlla l’amministrazione dell’ASP garantendo la regolarità amministrativa, contabile e patrimoniale della gestione dell’ente nonché la rappresentazione corretta dei fatti di gestione.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4. L’Organo di revisione ha diritto di accesso agli atti e documenti dell’ente nonché ad ogni informazione funzionale ai suoi compiti.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5. L’Organo di revisione è tenuto, su richiesta del Consiglio di amministrazione, a partecipare alle sedute del Consiglio stesso e risponde della veridicità delle proprie attestazioni, adempiendo ai propri doveri con la diligenza del mandatario.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6. Ove riscontri irregolarità nella gestione o comunque fatti che possano contrastare con gli interessi dell’ASP, l’Organo di revisione riferisce immediatamente al Consiglio di amministrazione informando anche la struttura regionale competente.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Articolo 18 – Durata e trattamento economico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 L’Organo di revisione dura in carica tre anni, è rinnovabile per una sola volta e può essere revocato solo per giusta causa. In caso di morte, rinuncia, revoca o decadenza, si provvede all’immediata sostituzione.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2. All’Organo di Revisione spetta un’indennità, comprensiva delle spese e di ogni altro rimborso, fissata nella misura del 60% di quanto riconosciuto a un sindaco di una società</w:t>
      </w:r>
    </w:p>
    <w:p w:rsidR="00BC1888" w:rsidRPr="00976866" w:rsidRDefault="00BC1888" w:rsidP="00BC1888">
      <w:pPr>
        <w:autoSpaceDE w:val="0"/>
        <w:autoSpaceDN w:val="0"/>
        <w:adjustRightInd w:val="0"/>
        <w:spacing w:after="0" w:line="20" w:lineRule="atLeast"/>
        <w:jc w:val="both"/>
        <w:rPr>
          <w:rFonts w:cstheme="minorHAnsi"/>
        </w:rPr>
      </w:pPr>
      <w:proofErr w:type="gramStart"/>
      <w:r w:rsidRPr="00976866">
        <w:rPr>
          <w:rFonts w:cstheme="minorHAnsi"/>
        </w:rPr>
        <w:t>controllata</w:t>
      </w:r>
      <w:proofErr w:type="gramEnd"/>
      <w:r w:rsidRPr="00976866">
        <w:rPr>
          <w:rFonts w:cstheme="minorHAnsi"/>
        </w:rPr>
        <w:t xml:space="preserve"> dalla Regione.</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TITOLO III – ORGANIZZAZIONE DEGLI UFFICI E DEI SERVIZI –</w:t>
      </w:r>
      <w:r w:rsidR="00467092">
        <w:rPr>
          <w:rFonts w:cstheme="minorHAnsi"/>
          <w:b/>
          <w:bCs/>
        </w:rPr>
        <w:t xml:space="preserve"> </w:t>
      </w:r>
      <w:r w:rsidRPr="00976866">
        <w:rPr>
          <w:rFonts w:cstheme="minorHAnsi"/>
          <w:b/>
          <w:bCs/>
        </w:rPr>
        <w:t>PERSONALE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CAPO I – PERSONALE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Articolo 19 – Principi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 L’organizzazione e la gestione dell’ASP si ispirano ai seguenti principi fondamentali: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 separazione tra responsabilità di direzione politica, di governo, di indirizzo gestionale e di controllo, riservata agli organi di governo dell’ASP e responsabilità di gestione tecnica e amministrativa riservata al livello tecnico;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b. rispetto dei principi di efficacia e efficienza dell’azione amministrativa;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c. perseguimento di una elevata qualità dei servizi offerti nel rispetto del pareggio del bilancio e dell’equilibrio tra costi e ricavi;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d. sviluppo, nell’ambito degli indirizzi del Consiglio di Amministrazione, di progetti innovativi per il miglioramento dei servizi offerti alla collettività.</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Articolo 20– Regolamenti di organizzazione degli Uffici e dei Servizi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 Le attività istituzionali dell’Azienda sono disciplinate da apposito regolamento di organizzazione da approvare con deliberazione del Consiglio di Amministrazione entro novanta giorni dall’insediamento dello stesso.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2. Il regolamento disciplina la struttura organizzativa, definisce i requisiti per il reperimento del personale dipendente, nonché i doveri, i diritti, le attribuzioni e le mansioni dello stesso, le modalità di governo e di gestione, i principi generali per l’individuazione del compenso spettante al Direttore nel rispetto dei principi fissati dalla legge, dai regolamenti e dal presente statuto ed ogni altra funzione organizzativa.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Articolo 21– Personale e relazioni sindacali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 La trasformazione in ASP, non costituisce causa di risoluzione del rapporto di lavoro con i dirigenti e il personale dipendente; eventuali rapporti di lavoro a termine o incarichi professionali sono mantenuti fino alla scadenza.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2. Il rapporto di lavoro dei dipendenti delle ASP è disciplinato dal contratto di lavoro riconducibile al comparto funzioni locali.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3. Le procedure di selezione e di avviamento al lavoro, i requisiti di accesso e le modalità</w:t>
      </w:r>
    </w:p>
    <w:p w:rsidR="00BC1888" w:rsidRPr="00976866" w:rsidRDefault="00BC1888" w:rsidP="00BC1888">
      <w:pPr>
        <w:autoSpaceDE w:val="0"/>
        <w:autoSpaceDN w:val="0"/>
        <w:adjustRightInd w:val="0"/>
        <w:spacing w:after="0" w:line="20" w:lineRule="atLeast"/>
        <w:jc w:val="both"/>
        <w:rPr>
          <w:rFonts w:cstheme="minorHAnsi"/>
        </w:rPr>
      </w:pPr>
      <w:proofErr w:type="gramStart"/>
      <w:r w:rsidRPr="00976866">
        <w:rPr>
          <w:rFonts w:cstheme="minorHAnsi"/>
        </w:rPr>
        <w:t>di</w:t>
      </w:r>
      <w:proofErr w:type="gramEnd"/>
      <w:r w:rsidRPr="00976866">
        <w:rPr>
          <w:rFonts w:cstheme="minorHAnsi"/>
        </w:rPr>
        <w:t xml:space="preserve"> assunzione agli impieghi presso l’ASP sono disciplinati nell’ambito del Regolamento sull’ordinamento degli uffici e dei servizi di cui all’articolo 31, sulla base di quanto previsto dal d.lgs. n. 165 del 2001.</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lastRenderedPageBreak/>
        <w:t>4. L’Azienda riconosce nel proprio personale una risorsa preziosa e indispensabile per garantire un’efficiente e efficace gestione delle attività e dei servizi. A tal fine l’Azienda costruisce un contesto organizzativo che sia in grado di individuare e valorizzare le capacità e le competenze dei propri collaboratori, ricercandone le potenzialità e permettendone lo sviluppo anche mediante la costante e continua formazione.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5. L’Azienda riconosce l’importanza delle relazioni sindacali per la realizzazione degli indirizzi definiti dal Consiglio di Amministrazione e per la condivisione degli indirizzi definiti.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6. L’ASP riconosce il valore del lavoro, della salvaguardia dei diritti dei lavoratori, con particolare attenzione alla tutela dei soggetti svantaggiati.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CAPO II – URP E ORGANI DI CONTROLLO INTERNO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Articolo 22 – Istituzione dell’Ufficio relazioni con il pubblico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 È istituito presso l’ASP un Ufficio relazioni con il pubblico (URP) per l'esercizio dei diritti d'informazione, di accesso e di partecipazione di cui alla legge 7 agosto 1990 n. 241 e per favorire l'accesso ai servizi pubblici offerti dall’ASP, promuovendone la conoscenza.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2. L’URP attua, mediante l'ascolto dei cittadini e la comunicazione interna, i processi di verifica della qualità dei servizi e di gradimento degli stessi da parte degli utenti e garantisce la reciproca informazione fra i servizi per le relazioni con il pubblico delle varie amministrazioni.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Articolo 23 – Organi di controllo interno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 L’ASP istituisce un organismo di controllo interno con funzioni di attività di internal auditing, in raccordo con le altre strutture interne dell’Azienda, sull’adeguatezza e l’aderenza dei processi e dell’organizzazione alle norme ed alle direttive impartite dal Consiglio di Amministrazione.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2. L’ASP istituisce, altresì, un organismo interno di valutazione (OIV) con funzione di monitoraggio del funzionamento complessivo del sistema della valutazione, della trasparenza e integrità dei controlli interni ed elabora una relazione annuale sullo stato dello stesso, anche formulando proposte e raccomandazioni ai vertici amministrativi</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TITOLO IV – RISORSE - PATRIMONIO - CONTABILITA’ -PROGRAMMAZIONE E SERVIZIO DI TESORERIA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Articolo 24 – Risorse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 Tutte le risorse dell’ASP sono destinate al raggiungimento delle finalità istituzionali.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2. L’ASP provvede alla realizzazione degli scopi statutari attraverso: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 l’utilizzazione diretta del proprio patrimonio;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b. i proventi derivanti dalla stipula di eventuali contratti di servizio;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c. i proventi derivanti da rette, rimborsi e contributi per la fruizione delle prestazioni e dei servizi offerti;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d. i proventi derivanti dall’utilizzo del patrimonio disponibile;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e. i contributi erogati dagli enti pubblici sotto qualunque forma;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f. ogni altro provento non destinato ad incremento patrimoniale.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Articolo 25 – Patrimonio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 Il patrimonio delle ASP è costituito da tutti i beni mobili ed immobili ad esse appartenenti, nonché da tutti i beni comunque acquisiti nell’esercizio della propria attività o a seguito di atti di liberalità.</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2. Sono beni del patrimonio indisponibile delle ASP tutti i beni destinati allo svolgimento delle attività istituzionali. Gli stessi non possono essere sottratti alla loro destinazione se non attraverso la dismissione dal patrimonio indisponibile a seguito di sostituzione con altro bene idoneo al perseguimento delle medesime finalità.</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3. Le ASP predispongono appositi programmi di conservazione e valorizzazione del proprio patrimonio immobiliare, in conformità ai seguenti principi: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 valorizzazione del patrimonio, attraverso il conseguimento di rendite dai propri beni patrimoniali commisurate ai relativi valori di mercato, definiti in misura non inferiore ai dati rilevati dall’Osservatorio del mercato immobiliare (OMI) ai fini del monitoraggio e delle quotazioni immobiliari;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b) utilizzazione dei proventi della gestione del patrimonio per gli scopi indicati all’articolo 16, comma 7 della legge regionale n. 2 del 2019 e all’articolo 3 del presente Statuto.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4. Fermo restando quanto disposto dalla normativa vigente in materia di dismissione e di conferimento del patrimonio pubblico, le alienazioni del patrimonio disponibile delle ASP sono consentite solo previa autorizzazione della struttura regionale competente.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5. Per le finalità di cui al comma 4 l’ASP presenta una proposta di alienazione, corredata da parere dell’Organo di revisione di cui all’articolo 17, nonché da perizia di stima giurata</w:t>
      </w:r>
    </w:p>
    <w:p w:rsidR="00BC1888" w:rsidRPr="00976866" w:rsidRDefault="00BC1888" w:rsidP="00BC1888">
      <w:pPr>
        <w:autoSpaceDE w:val="0"/>
        <w:autoSpaceDN w:val="0"/>
        <w:adjustRightInd w:val="0"/>
        <w:spacing w:after="0" w:line="20" w:lineRule="atLeast"/>
        <w:jc w:val="both"/>
        <w:rPr>
          <w:rFonts w:cstheme="minorHAnsi"/>
        </w:rPr>
      </w:pPr>
      <w:proofErr w:type="gramStart"/>
      <w:r w:rsidRPr="00976866">
        <w:rPr>
          <w:rFonts w:cstheme="minorHAnsi"/>
        </w:rPr>
        <w:lastRenderedPageBreak/>
        <w:t>sul</w:t>
      </w:r>
      <w:proofErr w:type="gramEnd"/>
      <w:r w:rsidRPr="00976866">
        <w:rPr>
          <w:rFonts w:cstheme="minorHAnsi"/>
        </w:rPr>
        <w:t xml:space="preserve"> valore di mercato e da una relazione tecnica attestante: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 le finalità di pubblica utilità ad essa sottese;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b) le ragioni dell’eventuale danno derivante dalla mancata alienazione;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c) i progetti di investimento per finalità assistenziali o di utilità sociale in cui si intendano reinvestire i proventi, con esclusione di ogni forma di investimento in titoli speculativi o azioni o strumenti finanziari derivati;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d) l’inesistenza di vincoli di destinazione imposti dalle tavole di fondazione, da disposizioni testamentarie o atti di liberalità.</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6. La relazione tecnica di cui al comma 5, corredata dalla perizia giurata di stima, è pubblicata sul sito istituzionale dell’ASP per un periodo non inferiore a trenta giorni ed è comunicata, insieme alla proposta, al comune interessato che può esprimere parere motivato entro trenta giorni dalla comunicazione. Sulla richiesta di autorizzazione la struttura regionale competente si pronuncia entro novanta giorni, dandone comunicazione alla commissione consiliare per il tramite dell’Assessore competente. Decorso inutilmente tale termine la richiesta si intende respinta.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7. L’ASP richiede alla struttura regionale competente l’autorizzazione all’acquisizione di patrimonio immobiliare a titolo oneroso, secondo i criteri e le modalità definiti nell’apposito regolamento.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8. Fermo restando quanto stabilito dall’articolo 52 del decreto legislativo 26 agosto 2016, n. 174, relativo all’obbligo di denuncia di danno e onere di segnalazione, nelle ipotesi di dismissioni patrimoniali, la direzione regionale competente provvede al monitoraggio, per il triennio successivo, delle operazioni effettuate.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Articolo 26 – Sistema contabile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 L’esercizio finanziario dell’ASP inizia il 1° gennaio e termina il 31 dicembre dell’anno stesso.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2. L’ASP adotta la contabilità economico-patrimoniale, con particolare riguardo ai sistemi di controllo di gestione, all’individuazione di centri di costo e di responsabilità e di analisi di costi e dei rendimenti e informa la propria gestione al principio del pareggio di bilancio.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3. All’ASP si applicano, in quanto compatibili, i principi contabili disciplinati dal decreto legislativo 23 giugno 2011, n. 118.</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4. L’ASP adotta un regolamento di contabilità per la disciplina del proprio sistema contabile, prevedendo, in particolare, l’articolazione della propria organizzazione per centri di costo che consentano la programmazione e la rendicontazione della gestione economica e amministrativa nonché delle risorse umane e strumentali. Il regime di contabilità analitica per centri di costo e di responsabilità deve consentire verifiche periodiche dei risultati raggiunti, anche da parte dell’Organo di revisione di cui all’articolo 17.</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3. L’ASP approva il bilancio economico pluriennale di previsione, il bilancio economico annuale di previsione ed il bilancio di esercizio.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4. Il bilancio economico pluriennale di previsione ed il bilancio economico annuale di previsione, redatti rispettando gli schemi del bilancio di esercizio, sono approvati dal Consiglio di amministrazione entro il 31 dicembre di ogni anno. Al bilancio economico annuale di previsione sono allegati la relazione riguardante il patrimonio ed il relativo piano di valorizzazione.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5. Il bilancio di esercizio, redatto secondo i principi del codice civile, è costituito dallo stato patrimoniale, dal conto economico, dalla nota integrativa e dal rendiconto finanziario. Il bilancio di esercizio è approvato dal Consiglio di amministrazione entro il 30 aprile dell’anno successivo ed è trasmesso, entro quindici giorni dalla sua approvazione, alla competente direzione regionale e contestualmente pubblicato sul sito istituzionale dell’ASP. Al bilancio di esercizio è allegata la relazione sulla gestione dell’organo di governo dell’ASP e la relazione dell’Organo di revisione.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6. Al fine di ridurre i costi di gestione e favorire economie di scala, nel rispetto di quanto previsto dal regolamento di contabilità, l’ASP può prevedere forme di collaborazione con altri soggetti pubblici erogatori di servizi alla persona.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7. L’ASP è tenuta ad utilizzare eventuali utili unicamente per:</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 il miglioramento delle prestazioni;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b. lo sviluppo delle attività istituzionali indicate dallo statuto;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c. la conservazione e l’incremento del patrimonio dell’ente, nel rispetto dei principi di qualità e degli standard dei servizi erogati.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8. Nel caso in cui si verifichino perdite nella gestione si applicano le disposizioni di cui alla legge regionale n. 2 del 2019 e ai regolamenti di attuazione.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Articolo 27 – Programmazione delle attività e dei servizi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lastRenderedPageBreak/>
        <w:t>1. Ai sensi dell’articolo 12, comma 1, lettera c) il Consiglio di Amministrazione approva piani e i programmi, in coerenza con gli atti di programmazione regionale in materia, da</w:t>
      </w:r>
    </w:p>
    <w:p w:rsidR="00BC1888" w:rsidRPr="00976866" w:rsidRDefault="00BC1888" w:rsidP="00BC1888">
      <w:pPr>
        <w:autoSpaceDE w:val="0"/>
        <w:autoSpaceDN w:val="0"/>
        <w:adjustRightInd w:val="0"/>
        <w:spacing w:after="0" w:line="20" w:lineRule="atLeast"/>
        <w:jc w:val="both"/>
        <w:rPr>
          <w:rFonts w:cstheme="minorHAnsi"/>
        </w:rPr>
      </w:pPr>
      <w:proofErr w:type="gramStart"/>
      <w:r w:rsidRPr="00976866">
        <w:rPr>
          <w:rFonts w:cstheme="minorHAnsi"/>
        </w:rPr>
        <w:t>trasmettere</w:t>
      </w:r>
      <w:proofErr w:type="gramEnd"/>
      <w:r w:rsidRPr="00976866">
        <w:rPr>
          <w:rFonts w:cstheme="minorHAnsi"/>
        </w:rPr>
        <w:t xml:space="preserve"> alla direzione regionale competente entro il 30 novembre di ogni esercizio, che fissano in termini quali-quantitativi, le strategie e gli obiettivi aziendali, articolati in programmi e progetti.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2. Dai piani e dai programmi dovranno risultare: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 caratteristiche e requisiti delle prestazioni da erogare;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b) risorse finanziarie ed economiche necessarie alla realizzazione degli obiettivi del Piano;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c) priorità di intervento, anche attraverso l’individuazione di appositi progetti;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d) modalità di attuazione dei servizi erogati e modalità di coordinamento con gli altri Enti del territorio;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e) indicatori e parametri per la verifica;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f) programma degli investimenti;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h) politiche del personale con particolare riferimento alla formazione, alla programmazione dei fabbisogni delle risorse umane ed alle modalità di reperimento delle stesse.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Articolo 28 – Servizio di tesoreria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Il servizio di tesoreria e di cassa è affidato, previo espletamento di una procedura di evidenza pubblica, ad un Istituto Bancario o ad altro soggetto abilitato per legge ed è regolato da apposita convenzione.</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TITOLO V – DISPOSIZIONI FINALI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Articolo 29 – Durata, fusioni e estinzioni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 L’ASP ha durata illimitata.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2. Al procedimento di fusione o estinzione dell’ASP si applica la normativa vigente.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Articolo 30 – Modifiche statutarie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 Le modifiche statutarie sono deliberate dal consiglio di amministrazione dell’ASP con</w:t>
      </w:r>
    </w:p>
    <w:p w:rsidR="00BC1888" w:rsidRPr="00976866" w:rsidRDefault="00BC1888" w:rsidP="00BC1888">
      <w:pPr>
        <w:autoSpaceDE w:val="0"/>
        <w:autoSpaceDN w:val="0"/>
        <w:adjustRightInd w:val="0"/>
        <w:spacing w:after="0" w:line="20" w:lineRule="atLeast"/>
        <w:jc w:val="both"/>
        <w:rPr>
          <w:rFonts w:cstheme="minorHAnsi"/>
        </w:rPr>
      </w:pPr>
      <w:proofErr w:type="gramStart"/>
      <w:r w:rsidRPr="00976866">
        <w:rPr>
          <w:rFonts w:cstheme="minorHAnsi"/>
        </w:rPr>
        <w:t>il</w:t>
      </w:r>
      <w:proofErr w:type="gramEnd"/>
      <w:r w:rsidRPr="00976866">
        <w:rPr>
          <w:rFonts w:cstheme="minorHAnsi"/>
        </w:rPr>
        <w:t xml:space="preserve"> voto favorevole della maggioranza assoluta dei componenti e sono approvate con deliberazione della Giunta regionale secondo le modalità di approvazione dello Statuto</w:t>
      </w:r>
    </w:p>
    <w:p w:rsidR="00BC1888" w:rsidRPr="00976866" w:rsidRDefault="00BC1888" w:rsidP="00BC1888">
      <w:pPr>
        <w:autoSpaceDE w:val="0"/>
        <w:autoSpaceDN w:val="0"/>
        <w:adjustRightInd w:val="0"/>
        <w:spacing w:after="0" w:line="20" w:lineRule="atLeast"/>
        <w:jc w:val="both"/>
        <w:rPr>
          <w:rFonts w:cstheme="minorHAnsi"/>
        </w:rPr>
      </w:pPr>
      <w:proofErr w:type="gramStart"/>
      <w:r w:rsidRPr="00976866">
        <w:rPr>
          <w:rFonts w:cstheme="minorHAnsi"/>
        </w:rPr>
        <w:t>previste</w:t>
      </w:r>
      <w:proofErr w:type="gramEnd"/>
      <w:r w:rsidRPr="00976866">
        <w:rPr>
          <w:rFonts w:cstheme="minorHAnsi"/>
        </w:rPr>
        <w:t xml:space="preserve"> dall’articolo 5 della legge regionale n. 2 del 2019.</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2. Entro dieci giorni dall’adozione delle modifiche statutarie il legale rappresentante dell’ASP trasmette alla struttura regionale competente apposita istanza, sottoscritta nelle forme previste dall'articolo 38 del DPR 445/2000 e corredata della seguente documentazione: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 copia della deliberazione contenente le modifiche statutarie;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b) relazioni sulle motivazioni sottese all’adozione delle modifiche statutarie.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3. Le modifiche statutarie che dispongono la variazione della struttura e della durata del mandato degli organi amministrativi non determinano la decadenza degli organi in carica e producono i propri effetti a decorrere dal rinnovo degli organi che hanno deliberato le modifiche.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Articolo 31 – Trattamento dei dati personali</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1. L’ASP adotta tutte le misure finalizzate al trattamento dei dati personali secondo i principi dettati dal decreto legislativo 30 giugno 2003, n. 196 (Codice della Privacy), così come modificato dal decreto legislativo 10 agosto 2018, n. 101, in adeguamento al Regolamento UE 2016/679 - GDPR (General Data Protection Regulation).</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Articolo 32 – Norma di rinvio</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Per tutto quanto non espressamente previsto nel presente Statuto, si osservano le disposizioni di legge nazionale e regionale e le norme regolamentari vigenti e quelle che in avvenire saranno emanate in materia.</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ALLEGATO C</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rPr>
        <w:t>(</w:t>
      </w:r>
      <w:proofErr w:type="gramStart"/>
      <w:r w:rsidRPr="00976866">
        <w:rPr>
          <w:rFonts w:cstheme="minorHAnsi"/>
          <w:b/>
          <w:bCs/>
        </w:rPr>
        <w:t>al</w:t>
      </w:r>
      <w:proofErr w:type="gramEnd"/>
      <w:r w:rsidRPr="00976866">
        <w:rPr>
          <w:rFonts w:cstheme="minorHAnsi"/>
          <w:b/>
          <w:bCs/>
        </w:rPr>
        <w:t xml:space="preserve"> regolamento regionale recante </w:t>
      </w:r>
      <w:r w:rsidRPr="00976866">
        <w:rPr>
          <w:rFonts w:cstheme="minorHAnsi"/>
        </w:rPr>
        <w:t>“</w:t>
      </w:r>
      <w:r w:rsidRPr="00976866">
        <w:rPr>
          <w:rFonts w:cstheme="minorHAnsi"/>
          <w:b/>
          <w:bCs/>
        </w:rPr>
        <w:t>Disciplina dei procedimenti di trasformazione</w:t>
      </w:r>
      <w:r w:rsidR="005E2973">
        <w:rPr>
          <w:rFonts w:cstheme="minorHAnsi"/>
          <w:b/>
          <w:bCs/>
        </w:rPr>
        <w:t xml:space="preserve"> </w:t>
      </w:r>
      <w:r w:rsidRPr="00976866">
        <w:rPr>
          <w:rFonts w:cstheme="minorHAnsi"/>
          <w:b/>
          <w:bCs/>
        </w:rPr>
        <w:t>delle Istituzioni pubbliche di assistenza e beneficenza (IPAB) in Aziende pubbliche</w:t>
      </w:r>
      <w:r w:rsidR="005E2973">
        <w:rPr>
          <w:rFonts w:cstheme="minorHAnsi"/>
          <w:b/>
          <w:bCs/>
        </w:rPr>
        <w:t xml:space="preserve"> </w:t>
      </w:r>
      <w:r w:rsidRPr="00976866">
        <w:rPr>
          <w:rFonts w:cstheme="minorHAnsi"/>
          <w:b/>
          <w:bCs/>
        </w:rPr>
        <w:t>di servizi alla persona (ASP) ovvero in persone giuridiche di diritto privato senza</w:t>
      </w:r>
      <w:r w:rsidR="005E2973">
        <w:rPr>
          <w:rFonts w:cstheme="minorHAnsi"/>
          <w:b/>
          <w:bCs/>
        </w:rPr>
        <w:t xml:space="preserve"> </w:t>
      </w:r>
      <w:r w:rsidRPr="00976866">
        <w:rPr>
          <w:rFonts w:cstheme="minorHAnsi"/>
          <w:b/>
          <w:bCs/>
        </w:rPr>
        <w:t>scopo di lucro, nonché dei procedimenti di fusione e di estinzione delle IPAB”)</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 xml:space="preserve">PARAMETRI INDENNITA’ ATTRIBUIBILE A CIASCUN COMPONENTE DELL’ORGANO DI AMMINISTRAZIONE REGIONALE </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Presidente dell’ASP: fino al 50% dell’indennità lorda riconosciuta al Presidente della Regione Lazio ai sensi dell’articolo 3 del Regolamento Regionale 4 agosto 2016, n. 18</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Altri componenti: fino al 25% dell’indennità lorda riconosciuta al Presidente della Regione Lazio ai sensi dell’articolo 3 del regolamento medesimo.</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ROMA CAPITALE E/O CITTA’ METROPOLITANA</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lastRenderedPageBreak/>
        <w:t>Presidente dell’ASP: fino al 40% dell’indennità lorda riconosciuta al Presidente della Regione Lazio ai sensi dell’articolo 3 del Regolamento Regionale 4 agosto 2016, n. 18</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Altri componenti: fino al 20% dell’indennità lorda riconosciuta al Presidente della Regione Lazio ai sensi dell’articolo 3 del regolamento medesimo.</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DISTRETTUALE</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E/O</w:t>
      </w:r>
    </w:p>
    <w:p w:rsidR="00BC1888" w:rsidRPr="00976866" w:rsidRDefault="00BC1888" w:rsidP="00BC1888">
      <w:pPr>
        <w:autoSpaceDE w:val="0"/>
        <w:autoSpaceDN w:val="0"/>
        <w:adjustRightInd w:val="0"/>
        <w:spacing w:after="0" w:line="20" w:lineRule="atLeast"/>
        <w:jc w:val="both"/>
        <w:rPr>
          <w:rFonts w:cstheme="minorHAnsi"/>
          <w:b/>
          <w:bCs/>
        </w:rPr>
      </w:pPr>
      <w:r w:rsidRPr="00976866">
        <w:rPr>
          <w:rFonts w:cstheme="minorHAnsi"/>
          <w:b/>
          <w:bCs/>
        </w:rPr>
        <w:t>PROVINCIALE</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Presidente dell’ASP: fino al 30% dell’indennità lorda riconosciuta al Presidente della Regione Lazio ai sensi dell’articolo 3 del Regolamento Regionale 4 agosto 2016, n. 18</w:t>
      </w:r>
    </w:p>
    <w:p w:rsidR="00BC1888" w:rsidRPr="00976866" w:rsidRDefault="00BC1888" w:rsidP="00BC1888">
      <w:pPr>
        <w:autoSpaceDE w:val="0"/>
        <w:autoSpaceDN w:val="0"/>
        <w:adjustRightInd w:val="0"/>
        <w:spacing w:after="0" w:line="20" w:lineRule="atLeast"/>
        <w:jc w:val="both"/>
        <w:rPr>
          <w:rFonts w:cstheme="minorHAnsi"/>
        </w:rPr>
      </w:pPr>
      <w:r w:rsidRPr="00976866">
        <w:rPr>
          <w:rFonts w:cstheme="minorHAnsi"/>
        </w:rPr>
        <w:t>Altri componenti: fino al 15% dell’indennità lorda riconosciuta al Presidente della Regione Lazio ai sensi dell’articolo 3 del regolamento medesimo.</w:t>
      </w:r>
    </w:p>
    <w:p w:rsidR="005E2973" w:rsidRDefault="006F1F52" w:rsidP="006F1F52">
      <w:pPr>
        <w:spacing w:after="0" w:line="20" w:lineRule="atLeast"/>
        <w:jc w:val="center"/>
        <w:rPr>
          <w:rFonts w:cstheme="minorHAnsi"/>
          <w:b/>
        </w:rPr>
      </w:pPr>
      <w:r>
        <w:rPr>
          <w:rFonts w:cstheme="minorHAnsi"/>
          <w:b/>
        </w:rPr>
        <w:t>………….</w:t>
      </w:r>
    </w:p>
    <w:p w:rsidR="00CC548D" w:rsidRPr="006B0B81" w:rsidRDefault="00CC548D" w:rsidP="00CC548D">
      <w:pPr>
        <w:spacing w:after="0" w:line="20" w:lineRule="atLeast"/>
        <w:jc w:val="both"/>
        <w:rPr>
          <w:rFonts w:cstheme="minorHAnsi"/>
        </w:rPr>
      </w:pPr>
      <w:proofErr w:type="gramStart"/>
      <w:r w:rsidRPr="006B0B81">
        <w:rPr>
          <w:rFonts w:cstheme="minorHAnsi"/>
          <w:b/>
        </w:rPr>
        <w:t>DPGR  Lazio</w:t>
      </w:r>
      <w:proofErr w:type="gramEnd"/>
      <w:r w:rsidRPr="006B0B81">
        <w:rPr>
          <w:rFonts w:cstheme="minorHAnsi"/>
          <w:b/>
        </w:rPr>
        <w:t xml:space="preserve"> 2 agosto 2019, n. T00208</w:t>
      </w:r>
      <w:r w:rsidRPr="006B0B81">
        <w:rPr>
          <w:rFonts w:cstheme="minorHAnsi"/>
        </w:rPr>
        <w:t xml:space="preserve"> Istituzione Pubblica di Assistenza e Beneficenza Ospedale SS. Crocefisso di Boville Ernica (FR). Nomina del Commissario straordinario.</w:t>
      </w:r>
      <w:r w:rsidR="005E2973">
        <w:rPr>
          <w:rFonts w:cstheme="minorHAnsi"/>
        </w:rPr>
        <w:t xml:space="preserve"> (BUR n. 66 del 16.8.19)</w:t>
      </w:r>
    </w:p>
    <w:p w:rsidR="00CC548D" w:rsidRPr="006B0B81" w:rsidRDefault="00CC548D" w:rsidP="00CC548D">
      <w:pPr>
        <w:spacing w:after="0" w:line="20" w:lineRule="atLeast"/>
        <w:jc w:val="both"/>
        <w:rPr>
          <w:rFonts w:cstheme="minorHAnsi"/>
          <w:b/>
        </w:rPr>
      </w:pPr>
      <w:r w:rsidRPr="006B0B81">
        <w:rPr>
          <w:rFonts w:cstheme="minorHAnsi"/>
          <w:b/>
        </w:rPr>
        <w:t>Note</w:t>
      </w:r>
    </w:p>
    <w:p w:rsidR="00CC548D" w:rsidRPr="006B0B81" w:rsidRDefault="00CC548D" w:rsidP="00CC548D">
      <w:pPr>
        <w:spacing w:after="0" w:line="20" w:lineRule="atLeast"/>
        <w:jc w:val="both"/>
        <w:rPr>
          <w:rFonts w:cstheme="minorHAnsi"/>
        </w:rPr>
      </w:pPr>
      <w:r w:rsidRPr="006B0B81">
        <w:rPr>
          <w:rFonts w:cstheme="minorHAnsi"/>
        </w:rPr>
        <w:t xml:space="preserve">Viene  nominato, in esecuzione della deliberazione della Giunta regionale 18 aprile 2019, n. 225, nelle more dell’approvazione dei regolamenti regionali di attuazione della l. r. n. 2 del 2019, fino a conclusione del procedimento di estinzione e, comunque, per un periodo massimo di sei mesi, decorrenti dalla data di pubblicazione sul BURL del presente decreto, il dott. Piergiorgio Fascina, soggetto esterno all’amministrazione regionale, Commissario straordinario dell’IPAB Ospedale SS. Crocefisso di Boville Ernica (FR), al fine di: </w:t>
      </w:r>
    </w:p>
    <w:p w:rsidR="00CC548D" w:rsidRPr="006B0B81" w:rsidRDefault="00CC548D" w:rsidP="00CC548D">
      <w:pPr>
        <w:spacing w:after="0" w:line="20" w:lineRule="atLeast"/>
        <w:jc w:val="both"/>
        <w:rPr>
          <w:rFonts w:cstheme="minorHAnsi"/>
        </w:rPr>
      </w:pPr>
      <w:r w:rsidRPr="006B0B81">
        <w:rPr>
          <w:rFonts w:cstheme="minorHAnsi"/>
        </w:rPr>
        <w:sym w:font="Symbol" w:char="F02D"/>
      </w:r>
      <w:r w:rsidRPr="006B0B81">
        <w:rPr>
          <w:rFonts w:cstheme="minorHAnsi"/>
        </w:rPr>
        <w:t xml:space="preserve"> </w:t>
      </w:r>
      <w:proofErr w:type="gramStart"/>
      <w:r w:rsidRPr="006B0B81">
        <w:rPr>
          <w:rFonts w:cstheme="minorHAnsi"/>
        </w:rPr>
        <w:t>procedere</w:t>
      </w:r>
      <w:proofErr w:type="gramEnd"/>
      <w:r w:rsidRPr="006B0B81">
        <w:rPr>
          <w:rFonts w:cstheme="minorHAnsi"/>
        </w:rPr>
        <w:t xml:space="preserve"> alla ricognizione dello stato patrimoniale, istituzionale e finanziario dell’Ente; </w:t>
      </w:r>
    </w:p>
    <w:p w:rsidR="00CC548D" w:rsidRPr="006B0B81" w:rsidRDefault="00CC548D" w:rsidP="00CC548D">
      <w:pPr>
        <w:spacing w:after="0" w:line="20" w:lineRule="atLeast"/>
        <w:jc w:val="both"/>
        <w:rPr>
          <w:rFonts w:cstheme="minorHAnsi"/>
        </w:rPr>
      </w:pPr>
      <w:r w:rsidRPr="006B0B81">
        <w:rPr>
          <w:rFonts w:cstheme="minorHAnsi"/>
        </w:rPr>
        <w:sym w:font="Symbol" w:char="F02D"/>
      </w:r>
      <w:r w:rsidRPr="006B0B81">
        <w:rPr>
          <w:rFonts w:cstheme="minorHAnsi"/>
        </w:rPr>
        <w:t xml:space="preserve"> </w:t>
      </w:r>
      <w:proofErr w:type="gramStart"/>
      <w:r w:rsidRPr="006B0B81">
        <w:rPr>
          <w:rFonts w:cstheme="minorHAnsi"/>
        </w:rPr>
        <w:t>completare</w:t>
      </w:r>
      <w:proofErr w:type="gramEnd"/>
      <w:r w:rsidRPr="006B0B81">
        <w:rPr>
          <w:rFonts w:cstheme="minorHAnsi"/>
        </w:rPr>
        <w:t xml:space="preserve"> la procedura di estinzione; </w:t>
      </w:r>
    </w:p>
    <w:p w:rsidR="00CC548D" w:rsidRPr="006B0B81" w:rsidRDefault="00CC548D" w:rsidP="00CC548D">
      <w:pPr>
        <w:spacing w:after="0" w:line="20" w:lineRule="atLeast"/>
        <w:jc w:val="both"/>
        <w:rPr>
          <w:rFonts w:cstheme="minorHAnsi"/>
        </w:rPr>
      </w:pPr>
      <w:r w:rsidRPr="006B0B81">
        <w:rPr>
          <w:rFonts w:cstheme="minorHAnsi"/>
        </w:rPr>
        <w:sym w:font="Symbol" w:char="F02D"/>
      </w:r>
      <w:r w:rsidRPr="006B0B81">
        <w:rPr>
          <w:rFonts w:cstheme="minorHAnsi"/>
        </w:rPr>
        <w:t xml:space="preserve"> </w:t>
      </w:r>
      <w:proofErr w:type="gramStart"/>
      <w:r w:rsidRPr="006B0B81">
        <w:rPr>
          <w:rFonts w:cstheme="minorHAnsi"/>
        </w:rPr>
        <w:t>garantire</w:t>
      </w:r>
      <w:proofErr w:type="gramEnd"/>
      <w:r w:rsidRPr="006B0B81">
        <w:rPr>
          <w:rFonts w:cstheme="minorHAnsi"/>
        </w:rPr>
        <w:t>, laddove necessario, l’ordinaria e straordinaria amministrazione;</w:t>
      </w:r>
    </w:p>
    <w:p w:rsidR="00CC548D" w:rsidRPr="006B0B81" w:rsidRDefault="00CC548D" w:rsidP="00CC548D">
      <w:pPr>
        <w:spacing w:after="0" w:line="20" w:lineRule="atLeast"/>
        <w:jc w:val="both"/>
        <w:rPr>
          <w:rFonts w:cstheme="minorHAnsi"/>
        </w:rPr>
      </w:pPr>
      <w:r w:rsidRPr="006B0B81">
        <w:rPr>
          <w:rFonts w:cstheme="minorHAnsi"/>
        </w:rPr>
        <w:t xml:space="preserve"> </w:t>
      </w:r>
      <w:r w:rsidRPr="006B0B81">
        <w:rPr>
          <w:rFonts w:cstheme="minorHAnsi"/>
        </w:rPr>
        <w:sym w:font="Symbol" w:char="F02D"/>
      </w:r>
      <w:r w:rsidRPr="006B0B81">
        <w:rPr>
          <w:rFonts w:cstheme="minorHAnsi"/>
        </w:rPr>
        <w:t xml:space="preserve"> </w:t>
      </w:r>
      <w:proofErr w:type="gramStart"/>
      <w:r w:rsidRPr="006B0B81">
        <w:rPr>
          <w:rFonts w:cstheme="minorHAnsi"/>
        </w:rPr>
        <w:t>di</w:t>
      </w:r>
      <w:proofErr w:type="gramEnd"/>
      <w:r w:rsidRPr="006B0B81">
        <w:rPr>
          <w:rFonts w:cstheme="minorHAnsi"/>
        </w:rPr>
        <w:t xml:space="preserve"> stabilire che: a. al Commissario straordinario spetta, dalla data di insediamento, un compenso lordo mensile di euro 1.000,00 </w:t>
      </w:r>
    </w:p>
    <w:p w:rsidR="00CC548D" w:rsidRPr="006B0B81" w:rsidRDefault="00CC548D" w:rsidP="00CC548D">
      <w:pPr>
        <w:spacing w:after="0" w:line="20" w:lineRule="atLeast"/>
        <w:jc w:val="both"/>
        <w:rPr>
          <w:rFonts w:cstheme="minorHAnsi"/>
        </w:rPr>
      </w:pPr>
    </w:p>
    <w:p w:rsidR="005E2973" w:rsidRPr="006B0B81" w:rsidRDefault="00CC548D" w:rsidP="005E2973">
      <w:pPr>
        <w:spacing w:after="0" w:line="20" w:lineRule="atLeast"/>
        <w:jc w:val="both"/>
        <w:rPr>
          <w:rFonts w:cstheme="minorHAnsi"/>
        </w:rPr>
      </w:pPr>
      <w:r w:rsidRPr="006B0B81">
        <w:rPr>
          <w:rFonts w:cstheme="minorHAnsi"/>
          <w:b/>
        </w:rPr>
        <w:t>DPGR 7 agosto 2019, n. T00212</w:t>
      </w:r>
      <w:r w:rsidRPr="006B0B81">
        <w:rPr>
          <w:rFonts w:cstheme="minorHAnsi"/>
        </w:rPr>
        <w:t xml:space="preserve"> Istituzione Pubblica di Assistenza e Beneficenza Istituto Tempesti per l'educazione permanente dei giovani - Casa di Riposo Evaldo Chiassarini di Capranica (VT). Nomina del Commissario straordinario.</w:t>
      </w:r>
      <w:r w:rsidR="005E2973">
        <w:rPr>
          <w:rFonts w:cstheme="minorHAnsi"/>
        </w:rPr>
        <w:t xml:space="preserve"> (BUR n. 66 del 16.8.19)</w:t>
      </w:r>
    </w:p>
    <w:p w:rsidR="00CC548D" w:rsidRPr="006B0B81" w:rsidRDefault="00CC548D" w:rsidP="00CC548D">
      <w:pPr>
        <w:spacing w:after="0" w:line="20" w:lineRule="atLeast"/>
        <w:jc w:val="both"/>
        <w:rPr>
          <w:rFonts w:cstheme="minorHAnsi"/>
          <w:b/>
        </w:rPr>
      </w:pPr>
      <w:r w:rsidRPr="006B0B81">
        <w:rPr>
          <w:rFonts w:cstheme="minorHAnsi"/>
          <w:b/>
        </w:rPr>
        <w:t>Note</w:t>
      </w:r>
    </w:p>
    <w:p w:rsidR="00CC548D" w:rsidRPr="006B0B81" w:rsidRDefault="00CC548D" w:rsidP="00CC548D">
      <w:pPr>
        <w:spacing w:after="0" w:line="20" w:lineRule="atLeast"/>
        <w:jc w:val="both"/>
        <w:rPr>
          <w:rFonts w:cstheme="minorHAnsi"/>
        </w:rPr>
      </w:pPr>
      <w:r w:rsidRPr="006B0B81">
        <w:rPr>
          <w:rFonts w:cstheme="minorHAnsi"/>
        </w:rPr>
        <w:t>Viene nominato, in esecuzione della deliberazione della Giunta regionale 20 giugno 2019, n. 395, nelle more dell’approvazione dei regolamenti regionali di attuazione della l. r. n. 2 del 2019, per il tempo necessario ad attuare il processo di trasformazione dell’Ente e comunque fino al 31 dicembre 2019, decorrente dalla data di pubblicazione sul BURL del presente decreto, il dott. Gabriele Serrau, soggetto esterno all’amministrazione regionale, Commissario straordinario dell’IPAB Istituto Tempesti per l’educazione permanente dei giovani – Casa di Riposo Evaldo Chiassarini di Capranica (VT), al fine di garantire l’ordinaria e straordinaria amministrazione.</w:t>
      </w:r>
    </w:p>
    <w:p w:rsidR="00CC548D" w:rsidRDefault="00CC548D" w:rsidP="00CC548D">
      <w:pPr>
        <w:spacing w:after="0" w:line="20" w:lineRule="atLeast"/>
        <w:jc w:val="both"/>
        <w:rPr>
          <w:rFonts w:cstheme="minorHAnsi"/>
        </w:rPr>
      </w:pPr>
      <w:r w:rsidRPr="006B0B81">
        <w:rPr>
          <w:rFonts w:cstheme="minorHAnsi"/>
        </w:rPr>
        <w:t xml:space="preserve">Al Commissario straordinario spetta, dalla data di insediamento, un compenso lordo mensile di euro 2.000,00 Il Commissario straordinario, entro 10 giorni dal termine del mandato, dovrà trasmettere una dettagliata relazione sulle attività svolte indicando eventuali criticità, corredata della documentazione attestante le spese sostenute per l’espletamento dell’incarico. </w:t>
      </w:r>
    </w:p>
    <w:p w:rsidR="008606F1" w:rsidRDefault="008606F1" w:rsidP="00CC548D">
      <w:pPr>
        <w:spacing w:after="0" w:line="20" w:lineRule="atLeast"/>
        <w:jc w:val="both"/>
        <w:rPr>
          <w:rFonts w:cstheme="minorHAnsi"/>
        </w:rPr>
      </w:pPr>
    </w:p>
    <w:p w:rsidR="001900F5" w:rsidRPr="001900F5" w:rsidRDefault="001900F5" w:rsidP="001900F5">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1900F5">
        <w:rPr>
          <w:rFonts w:cstheme="minorHAnsi"/>
          <w:b/>
        </w:rPr>
        <w:t>MINORI</w:t>
      </w:r>
    </w:p>
    <w:p w:rsidR="001900F5" w:rsidRDefault="001900F5" w:rsidP="00CC548D">
      <w:pPr>
        <w:spacing w:after="0" w:line="20" w:lineRule="atLeast"/>
        <w:jc w:val="both"/>
        <w:rPr>
          <w:rFonts w:cstheme="minorHAnsi"/>
        </w:rPr>
      </w:pPr>
    </w:p>
    <w:p w:rsidR="001900F5" w:rsidRPr="001900F5" w:rsidRDefault="001900F5" w:rsidP="001900F5">
      <w:pPr>
        <w:spacing w:after="0" w:line="20" w:lineRule="atLeast"/>
        <w:jc w:val="both"/>
        <w:rPr>
          <w:rFonts w:cstheme="minorHAnsi"/>
        </w:rPr>
      </w:pPr>
      <w:r w:rsidRPr="001900F5">
        <w:rPr>
          <w:b/>
        </w:rPr>
        <w:t xml:space="preserve">DGR  6 agosto 2019, n. </w:t>
      </w:r>
      <w:proofErr w:type="gramStart"/>
      <w:r w:rsidRPr="001900F5">
        <w:rPr>
          <w:b/>
        </w:rPr>
        <w:t>604</w:t>
      </w:r>
      <w:r w:rsidRPr="001900F5">
        <w:t>,  Istituzione</w:t>
      </w:r>
      <w:proofErr w:type="gramEnd"/>
      <w:r w:rsidRPr="001900F5">
        <w:t xml:space="preserve"> del "Tavolo regionale del Lazio per il monitoraggio dell'applicazione dell'intervento di affidamento familiare e delle "Linee di indirizzo nazionali pe r l'intervento con bambini e famiglie in situazione di vulnerabilità – promozione della genitorialità positiva". (BUR n. 69 del 27.8.19)</w:t>
      </w:r>
    </w:p>
    <w:p w:rsidR="001900F5" w:rsidRPr="001900F5" w:rsidRDefault="001900F5" w:rsidP="001900F5">
      <w:pPr>
        <w:spacing w:after="0" w:line="20" w:lineRule="atLeast"/>
        <w:jc w:val="both"/>
      </w:pPr>
      <w:r w:rsidRPr="001900F5">
        <w:t>RIFERIMENTI NORMATIVI ED AMMINISTRATIVI</w:t>
      </w:r>
    </w:p>
    <w:p w:rsidR="001900F5" w:rsidRPr="001900F5" w:rsidRDefault="001900F5" w:rsidP="001900F5">
      <w:pPr>
        <w:spacing w:after="0" w:line="20" w:lineRule="atLeast"/>
        <w:jc w:val="both"/>
      </w:pPr>
      <w:r w:rsidRPr="001900F5">
        <w:t xml:space="preserve">Convenzione sui diritti dell’infanzia approvata dall’Assemblea generale delle Nazioni Unite nel 1989, ratificata dall’Italia con legge n. 176/1991; </w:t>
      </w:r>
    </w:p>
    <w:p w:rsidR="001900F5" w:rsidRPr="001900F5" w:rsidRDefault="001900F5" w:rsidP="001900F5">
      <w:pPr>
        <w:spacing w:after="0" w:line="20" w:lineRule="atLeast"/>
        <w:jc w:val="both"/>
      </w:pPr>
      <w:r w:rsidRPr="001900F5">
        <w:lastRenderedPageBreak/>
        <w:t xml:space="preserve">Legge 8 novembre 2000, n. 328, “Legge quadro per la realizzazione del sistema integrato di interventi e servizi sociali”; </w:t>
      </w:r>
    </w:p>
    <w:p w:rsidR="001900F5" w:rsidRPr="001900F5" w:rsidRDefault="001900F5" w:rsidP="001900F5">
      <w:pPr>
        <w:spacing w:after="0" w:line="20" w:lineRule="atLeast"/>
        <w:jc w:val="both"/>
      </w:pPr>
      <w:r w:rsidRPr="001900F5">
        <w:t xml:space="preserve">Legge 4 maggio 1983, n. 184, concernente “Diritto del minore ad una famiglia”, così come modificata dalla legge 28 marzo 2001, n. 149; </w:t>
      </w:r>
    </w:p>
    <w:p w:rsidR="001900F5" w:rsidRPr="001900F5" w:rsidRDefault="001900F5" w:rsidP="001900F5">
      <w:pPr>
        <w:spacing w:after="0" w:line="20" w:lineRule="atLeast"/>
        <w:jc w:val="both"/>
      </w:pPr>
      <w:r w:rsidRPr="001900F5">
        <w:t>Articolo 1 della citata legge 4 maggio 1983, n. 184 che sancisce il diritto del minore di crescere ed essere educato nell’ambito della propria famiglia;</w:t>
      </w:r>
    </w:p>
    <w:p w:rsidR="001900F5" w:rsidRPr="001900F5" w:rsidRDefault="001900F5" w:rsidP="001900F5">
      <w:pPr>
        <w:spacing w:after="0" w:line="20" w:lineRule="atLeast"/>
        <w:jc w:val="both"/>
      </w:pPr>
      <w:r w:rsidRPr="001900F5">
        <w:t xml:space="preserve">Articolo 2, commi 2 e 4, della legge 4 maggio 1983, n. 184 per il quale: </w:t>
      </w:r>
    </w:p>
    <w:p w:rsidR="001900F5" w:rsidRPr="001900F5" w:rsidRDefault="001900F5" w:rsidP="001900F5">
      <w:pPr>
        <w:spacing w:after="0" w:line="20" w:lineRule="atLeast"/>
        <w:jc w:val="both"/>
      </w:pPr>
      <w:r w:rsidRPr="001900F5">
        <w:t xml:space="preserve">a. il minore temporaneamente privo di un ambiente familiare idoneo, ove non sia possibile l’affidamento ad una famiglia, è inserito in una comunità di tipo familiare o, in mancanza, in un istituto di assistenza pubblico o privato, che abbia sede preferibilmente nel luogo più vicino a quello in cui stabilmente risiede il nucleo familiare di provenienza; </w:t>
      </w:r>
    </w:p>
    <w:p w:rsidR="001900F5" w:rsidRPr="001900F5" w:rsidRDefault="001900F5" w:rsidP="001900F5">
      <w:pPr>
        <w:spacing w:after="0" w:line="20" w:lineRule="atLeast"/>
        <w:jc w:val="both"/>
      </w:pPr>
      <w:r w:rsidRPr="001900F5">
        <w:t xml:space="preserve">b. il ricovero in istituto deve essere superato entro il 31 dicembre 2006 mediante affidamento ad una famiglia e, ove ciò non sia possibile, mediante inserimento in comunità di tipo familiare caratterizzate da organizzazione e da rapporti interpersonali analoghi a quelli di una famiglia; </w:t>
      </w:r>
    </w:p>
    <w:p w:rsidR="001900F5" w:rsidRPr="001900F5" w:rsidRDefault="001900F5" w:rsidP="001900F5">
      <w:pPr>
        <w:spacing w:after="0" w:line="20" w:lineRule="atLeast"/>
        <w:jc w:val="both"/>
      </w:pPr>
      <w:r w:rsidRPr="001900F5">
        <w:t xml:space="preserve">Legge regionale 10 agosto 2016, n. 11 “Sistema integrato degli interventi e dei servizi sociali della Regione Lazio”, in particolare: l’art. 10 (Politiche in favore delle famiglie e dei minori), comma 3, lett. g) che prevede: “Le politiche in favore dei minori sono perseguite, in particolare, attraverso interventi e servizi riguardanti la promozione dell’affidamento temporaneo”; </w:t>
      </w:r>
    </w:p>
    <w:p w:rsidR="001900F5" w:rsidRPr="001900F5" w:rsidRDefault="001900F5" w:rsidP="001900F5">
      <w:pPr>
        <w:spacing w:after="0" w:line="20" w:lineRule="atLeast"/>
        <w:jc w:val="both"/>
      </w:pPr>
      <w:r w:rsidRPr="001900F5">
        <w:t>Piano Sociale regionale denominato "PRENDERSI CURA, UN BENE COMUNE approvato con deliberazione del Consiglio regionale 24 gennaio 2019, n. 1.</w:t>
      </w:r>
    </w:p>
    <w:p w:rsidR="001900F5" w:rsidRPr="001900F5" w:rsidRDefault="001900F5" w:rsidP="001900F5">
      <w:pPr>
        <w:spacing w:after="0" w:line="20" w:lineRule="atLeast"/>
        <w:jc w:val="both"/>
        <w:rPr>
          <w:b/>
        </w:rPr>
      </w:pPr>
      <w:r w:rsidRPr="001900F5">
        <w:rPr>
          <w:b/>
        </w:rPr>
        <w:t xml:space="preserve">LE SPECIFICITA’ DEL PIANO </w:t>
      </w:r>
    </w:p>
    <w:p w:rsidR="001900F5" w:rsidRPr="001900F5" w:rsidRDefault="001900F5" w:rsidP="001900F5">
      <w:pPr>
        <w:spacing w:after="0" w:line="20" w:lineRule="atLeast"/>
        <w:jc w:val="both"/>
      </w:pPr>
      <w:r w:rsidRPr="001900F5">
        <w:t xml:space="preserve">Nella sezione “Programmazione di area vasta” si parla degli “Strumenti di raccordo programmatico” ed in particolare si sottolinea “La complessa articolazione che caratterizza il territorio del Lazio esige una strumentazione in grado di assicurare un forte raccordo e coordinamento tra i diversi livelli territoriali, per garantire la coerenza degli obiettivi e il confronto tra i processi e i risultati raggiunti in ciascun ambito. </w:t>
      </w:r>
    </w:p>
    <w:p w:rsidR="001900F5" w:rsidRPr="001900F5" w:rsidRDefault="001900F5" w:rsidP="001900F5">
      <w:pPr>
        <w:spacing w:after="0" w:line="20" w:lineRule="atLeast"/>
        <w:jc w:val="both"/>
      </w:pPr>
      <w:r w:rsidRPr="001900F5">
        <w:t xml:space="preserve">A tal fine, la Giunta regionale, contestualmente all’approvazione degli schemi tipo per i Piani sociali di zona, adotterà i seguenti provvedimenti: </w:t>
      </w:r>
    </w:p>
    <w:p w:rsidR="001900F5" w:rsidRPr="001900F5" w:rsidRDefault="001900F5" w:rsidP="001900F5">
      <w:pPr>
        <w:spacing w:after="0" w:line="20" w:lineRule="atLeast"/>
        <w:jc w:val="both"/>
      </w:pPr>
      <w:r w:rsidRPr="001900F5">
        <w:sym w:font="Symbol" w:char="F02D"/>
      </w:r>
      <w:r w:rsidRPr="001900F5">
        <w:t xml:space="preserve"> </w:t>
      </w:r>
      <w:proofErr w:type="gramStart"/>
      <w:r w:rsidRPr="001900F5">
        <w:t>revisione</w:t>
      </w:r>
      <w:proofErr w:type="gramEnd"/>
      <w:r w:rsidRPr="001900F5">
        <w:t xml:space="preserve"> e rafforzamento delle Consulte e dei Tavoli di confronto tematici, che dovranno avere operatività stabile, con incontri periodici; </w:t>
      </w:r>
    </w:p>
    <w:p w:rsidR="001900F5" w:rsidRPr="001900F5" w:rsidRDefault="001900F5" w:rsidP="001900F5">
      <w:pPr>
        <w:spacing w:after="0" w:line="20" w:lineRule="atLeast"/>
        <w:jc w:val="both"/>
      </w:pPr>
      <w:r w:rsidRPr="001900F5">
        <w:sym w:font="Symbol" w:char="F02D"/>
      </w:r>
      <w:r w:rsidRPr="001900F5">
        <w:t xml:space="preserve"> </w:t>
      </w:r>
      <w:proofErr w:type="gramStart"/>
      <w:r w:rsidRPr="001900F5">
        <w:t>promozione</w:t>
      </w:r>
      <w:proofErr w:type="gramEnd"/>
      <w:r w:rsidRPr="001900F5">
        <w:t xml:space="preserve"> e attivazione dei “Tavoli interdistrettuali di coordinamento degli Uffici di Piano”, a livello di ASL; </w:t>
      </w:r>
    </w:p>
    <w:p w:rsidR="001900F5" w:rsidRPr="001900F5" w:rsidRDefault="001900F5" w:rsidP="001900F5">
      <w:pPr>
        <w:spacing w:after="0" w:line="20" w:lineRule="atLeast"/>
        <w:jc w:val="both"/>
      </w:pPr>
      <w:r w:rsidRPr="001900F5">
        <w:sym w:font="Symbol" w:char="F02D"/>
      </w:r>
      <w:r w:rsidRPr="001900F5">
        <w:t xml:space="preserve"> </w:t>
      </w:r>
      <w:proofErr w:type="gramStart"/>
      <w:r w:rsidRPr="001900F5">
        <w:t>organizzazione</w:t>
      </w:r>
      <w:proofErr w:type="gramEnd"/>
      <w:r w:rsidRPr="001900F5">
        <w:t xml:space="preserve"> della “Cabina di regia” del Piano sociale regionale, con compiti di monitoraggio e assistenza tecnica.”.</w:t>
      </w:r>
    </w:p>
    <w:p w:rsidR="001900F5" w:rsidRPr="001900F5" w:rsidRDefault="001900F5" w:rsidP="001900F5">
      <w:pPr>
        <w:spacing w:after="0" w:line="20" w:lineRule="atLeast"/>
        <w:jc w:val="both"/>
        <w:rPr>
          <w:b/>
        </w:rPr>
      </w:pPr>
      <w:r w:rsidRPr="001900F5">
        <w:rPr>
          <w:b/>
        </w:rPr>
        <w:t xml:space="preserve">L’ATTENZIONE SUI MINORI </w:t>
      </w:r>
    </w:p>
    <w:p w:rsidR="001900F5" w:rsidRPr="001900F5" w:rsidRDefault="001900F5" w:rsidP="001900F5">
      <w:pPr>
        <w:spacing w:after="0" w:line="20" w:lineRule="atLeast"/>
        <w:jc w:val="both"/>
      </w:pPr>
      <w:r w:rsidRPr="001900F5">
        <w:t>Il suddetto Piano affronta, fra gli altri, il tema della prevenzione degli allontanamenti e della tutela dei minori, con particolare attenzione alla tematica dell’affido familiare prevedendo, in particolare, che: “sarà assicurata la piena funzionalità dei tavoli regionali già istituiti o da istituirsi, al fine di assicurare spazi di confronto periodico tra le realtà attive nel settore, sviluppando politiche organiche, con il coinvolgimento dei servizi territoriali, delle autorità giudiziarie minorili, delle associazioni del settore e dei genitori adottivi e affidatari”.</w:t>
      </w:r>
    </w:p>
    <w:p w:rsidR="001900F5" w:rsidRPr="001900F5" w:rsidRDefault="001900F5" w:rsidP="001900F5">
      <w:pPr>
        <w:spacing w:after="0" w:line="20" w:lineRule="atLeast"/>
        <w:jc w:val="both"/>
        <w:rPr>
          <w:b/>
        </w:rPr>
      </w:pPr>
      <w:r w:rsidRPr="001900F5">
        <w:rPr>
          <w:b/>
        </w:rPr>
        <w:t xml:space="preserve">IL PERCORSO AMMINISTRATIVO  </w:t>
      </w:r>
    </w:p>
    <w:p w:rsidR="001900F5" w:rsidRPr="001900F5" w:rsidRDefault="001900F5" w:rsidP="001900F5">
      <w:pPr>
        <w:spacing w:after="0" w:line="20" w:lineRule="atLeast"/>
        <w:jc w:val="both"/>
      </w:pPr>
      <w:r w:rsidRPr="001900F5">
        <w:t xml:space="preserve">Regolamento regionale 4 marzo 2019, n. 2 “Regolamento per l'affidamento familiare nella Regione Lazio” e, in particolare, l’art.12 in base al quale la Regione “esercita la funzione di monitoraggio dell’appropriatezza, della coerenza e dell’effettiva applicazione delle indicazioni sull’affidamento familiare adottando gli eventuali provvedimenti per la sua ridefinizione anche attraverso la consultazione di tavoli regionali già istituiti o da istituirsi previsti dal Piano sociale regionale, al fine di assicurare spazi di confronto periodico tra le realtà attive nel settore”. </w:t>
      </w:r>
    </w:p>
    <w:p w:rsidR="001900F5" w:rsidRPr="001900F5" w:rsidRDefault="001900F5" w:rsidP="001900F5">
      <w:pPr>
        <w:spacing w:after="0" w:line="20" w:lineRule="atLeast"/>
        <w:jc w:val="both"/>
      </w:pPr>
      <w:r w:rsidRPr="001900F5">
        <w:t xml:space="preserve">Con determinazione dirigenziale 10 agosto 2017, n° G11510 è stato istituito il “Tavolo regionale del Lazio per la prevenzione degli allontanamenti e la tutela dei minori”. </w:t>
      </w:r>
    </w:p>
    <w:p w:rsidR="001900F5" w:rsidRPr="001900F5" w:rsidRDefault="001900F5" w:rsidP="001900F5">
      <w:pPr>
        <w:spacing w:after="0" w:line="20" w:lineRule="atLeast"/>
        <w:jc w:val="both"/>
      </w:pPr>
      <w:r w:rsidRPr="001900F5">
        <w:t>Con la predisposizione della bozza di regolamento per l'affidamento familiare nella Regione Lazio nonché con la programmazione e l’attuazione del corso per l’aggiornamento specialistico per gli operatori pubblici socio sanitari della Regione Lazio e con il recepimento delle "Linee di indirizzo nazionali per genitorialità positiva avvenuto il 19 marzo 2019 con DGR n° 135, il “Tavolo regionale del Lazio per la prevenzione degli allontanamenti e la tutela dei minori” ha concluso in modo positivo i propri compiti.</w:t>
      </w:r>
    </w:p>
    <w:p w:rsidR="001900F5" w:rsidRPr="001900F5" w:rsidRDefault="001900F5" w:rsidP="001900F5">
      <w:pPr>
        <w:spacing w:after="0" w:line="20" w:lineRule="atLeast"/>
        <w:jc w:val="both"/>
        <w:rPr>
          <w:b/>
        </w:rPr>
      </w:pPr>
      <w:r w:rsidRPr="001900F5">
        <w:rPr>
          <w:b/>
        </w:rPr>
        <w:lastRenderedPageBreak/>
        <w:t xml:space="preserve">LA CONSTATAZIONE </w:t>
      </w:r>
    </w:p>
    <w:p w:rsidR="001900F5" w:rsidRPr="001900F5" w:rsidRDefault="001900F5" w:rsidP="001900F5">
      <w:pPr>
        <w:spacing w:after="0" w:line="20" w:lineRule="atLeast"/>
        <w:jc w:val="both"/>
      </w:pPr>
      <w:r w:rsidRPr="001900F5">
        <w:t>Nell’ambito della “revisione e rafforzamento delle Consulte e dei Tavoli” di cui al Piano Sociale regionale, la Regione Lazio ha la necessità, per esercitare le azioni individuate all’art.12 del r.r. 2/2019, di istituire un nuovo percorso di partecipazione degli attori pubblici e del privato sociale attivi nella promozione e nell’attuazione dell’affidamento familiare a favore dei bambini e dei ragazzi, al fine di assicurare “spazi di confronto periodico tra le diverse realtà attive nel settore”;</w:t>
      </w:r>
    </w:p>
    <w:p w:rsidR="001900F5" w:rsidRPr="001900F5" w:rsidRDefault="001900F5" w:rsidP="001900F5">
      <w:pPr>
        <w:spacing w:after="0" w:line="20" w:lineRule="atLeast"/>
        <w:jc w:val="both"/>
        <w:rPr>
          <w:b/>
        </w:rPr>
      </w:pPr>
      <w:r w:rsidRPr="001900F5">
        <w:rPr>
          <w:b/>
        </w:rPr>
        <w:t xml:space="preserve">LA DISPOSIZIONE </w:t>
      </w:r>
    </w:p>
    <w:p w:rsidR="001900F5" w:rsidRPr="001900F5" w:rsidRDefault="001900F5" w:rsidP="001900F5">
      <w:pPr>
        <w:spacing w:after="0" w:line="20" w:lineRule="atLeast"/>
        <w:jc w:val="both"/>
      </w:pPr>
      <w:r w:rsidRPr="001900F5">
        <w:t xml:space="preserve">Si procede all’istituzione del “Tavolo regionale del Lazio per il monitoraggio dell’applicazione dell’intervento di affidamento familiare e delle “Linee di indirizzo nazionali per l'intervento con bambini e famiglie in situazione di vulnerabilità – promozione della genitorialità positiva" indicando i seguenti componenti: </w:t>
      </w:r>
    </w:p>
    <w:p w:rsidR="001900F5" w:rsidRPr="001900F5" w:rsidRDefault="001900F5" w:rsidP="001900F5">
      <w:pPr>
        <w:spacing w:after="0" w:line="20" w:lineRule="atLeast"/>
        <w:jc w:val="both"/>
      </w:pPr>
      <w:r w:rsidRPr="001900F5">
        <w:sym w:font="Symbol" w:char="F02D"/>
      </w:r>
      <w:r w:rsidRPr="001900F5">
        <w:t xml:space="preserve"> Il Direttore della Direzione competente per materia o un suo delegato; </w:t>
      </w:r>
    </w:p>
    <w:p w:rsidR="001900F5" w:rsidRPr="001900F5" w:rsidRDefault="001900F5" w:rsidP="001900F5">
      <w:pPr>
        <w:spacing w:after="0" w:line="20" w:lineRule="atLeast"/>
        <w:jc w:val="both"/>
      </w:pPr>
      <w:r w:rsidRPr="001900F5">
        <w:sym w:font="Symbol" w:char="F02D"/>
      </w:r>
      <w:r w:rsidRPr="001900F5">
        <w:t xml:space="preserve"> Il Garante dell’infanzia della Regione Lazio o un suo delegato; </w:t>
      </w:r>
    </w:p>
    <w:p w:rsidR="001900F5" w:rsidRPr="001900F5" w:rsidRDefault="001900F5" w:rsidP="001900F5">
      <w:pPr>
        <w:spacing w:after="0" w:line="20" w:lineRule="atLeast"/>
        <w:jc w:val="both"/>
      </w:pPr>
      <w:r w:rsidRPr="001900F5">
        <w:sym w:font="Symbol" w:char="F02D"/>
      </w:r>
      <w:r w:rsidRPr="001900F5">
        <w:t xml:space="preserve"> Il Presidente del Tribunale per i minorenni di Roma o un suo delegato; </w:t>
      </w:r>
    </w:p>
    <w:p w:rsidR="001900F5" w:rsidRPr="001900F5" w:rsidRDefault="001900F5" w:rsidP="001900F5">
      <w:pPr>
        <w:spacing w:after="0" w:line="20" w:lineRule="atLeast"/>
        <w:jc w:val="both"/>
      </w:pPr>
      <w:r w:rsidRPr="001900F5">
        <w:sym w:font="Symbol" w:char="F02D"/>
      </w:r>
      <w:r w:rsidRPr="001900F5">
        <w:t xml:space="preserve"> </w:t>
      </w:r>
      <w:proofErr w:type="gramStart"/>
      <w:r w:rsidRPr="001900F5">
        <w:t>due</w:t>
      </w:r>
      <w:proofErr w:type="gramEnd"/>
      <w:r w:rsidRPr="001900F5">
        <w:t xml:space="preserve"> rappresentanti di Associazioni o di coordinamenti di associazioni di famiglie affidatarie; </w:t>
      </w:r>
    </w:p>
    <w:p w:rsidR="001900F5" w:rsidRPr="001900F5" w:rsidRDefault="001900F5" w:rsidP="001900F5">
      <w:pPr>
        <w:spacing w:after="0" w:line="20" w:lineRule="atLeast"/>
        <w:jc w:val="both"/>
      </w:pPr>
      <w:r w:rsidRPr="001900F5">
        <w:sym w:font="Symbol" w:char="F02D"/>
      </w:r>
      <w:r w:rsidRPr="001900F5">
        <w:t xml:space="preserve"> </w:t>
      </w:r>
      <w:proofErr w:type="gramStart"/>
      <w:r w:rsidRPr="001900F5">
        <w:t>due</w:t>
      </w:r>
      <w:proofErr w:type="gramEnd"/>
      <w:r w:rsidRPr="001900F5">
        <w:t xml:space="preserve"> rappresentanti di reti di strutture di accoglienza per persone di minore età;</w:t>
      </w:r>
    </w:p>
    <w:p w:rsidR="001900F5" w:rsidRPr="001900F5" w:rsidRDefault="001900F5" w:rsidP="001900F5">
      <w:pPr>
        <w:spacing w:after="0" w:line="20" w:lineRule="atLeast"/>
        <w:jc w:val="both"/>
      </w:pPr>
      <w:r w:rsidRPr="001900F5">
        <w:t xml:space="preserve"> </w:t>
      </w:r>
      <w:r w:rsidRPr="001900F5">
        <w:sym w:font="Symbol" w:char="F02D"/>
      </w:r>
      <w:r w:rsidRPr="001900F5">
        <w:t xml:space="preserve"> </w:t>
      </w:r>
      <w:proofErr w:type="gramStart"/>
      <w:r w:rsidRPr="001900F5">
        <w:t>un</w:t>
      </w:r>
      <w:proofErr w:type="gramEnd"/>
      <w:r w:rsidRPr="001900F5">
        <w:t xml:space="preserve"> rappresentante di Associazioni che si occupano del binomio mamma/bambino; </w:t>
      </w:r>
    </w:p>
    <w:p w:rsidR="001900F5" w:rsidRPr="001900F5" w:rsidRDefault="001900F5" w:rsidP="001900F5">
      <w:pPr>
        <w:spacing w:after="0" w:line="20" w:lineRule="atLeast"/>
        <w:jc w:val="both"/>
      </w:pPr>
      <w:r w:rsidRPr="001900F5">
        <w:sym w:font="Symbol" w:char="F02D"/>
      </w:r>
      <w:r w:rsidRPr="001900F5">
        <w:t xml:space="preserve"> </w:t>
      </w:r>
      <w:proofErr w:type="gramStart"/>
      <w:r w:rsidRPr="001900F5">
        <w:t>il</w:t>
      </w:r>
      <w:proofErr w:type="gramEnd"/>
      <w:r w:rsidRPr="001900F5">
        <w:t xml:space="preserve"> Dirigente del Dipartimento del Comune di Roma Capitale competente per materia o un suo delegato;</w:t>
      </w:r>
    </w:p>
    <w:p w:rsidR="001900F5" w:rsidRPr="001900F5" w:rsidRDefault="001900F5" w:rsidP="001900F5">
      <w:pPr>
        <w:spacing w:after="0" w:line="20" w:lineRule="atLeast"/>
        <w:jc w:val="both"/>
      </w:pPr>
      <w:r w:rsidRPr="001900F5">
        <w:t xml:space="preserve"> </w:t>
      </w:r>
      <w:r w:rsidRPr="001900F5">
        <w:sym w:font="Symbol" w:char="F02D"/>
      </w:r>
      <w:r w:rsidRPr="001900F5">
        <w:t xml:space="preserve"> </w:t>
      </w:r>
      <w:proofErr w:type="gramStart"/>
      <w:r w:rsidRPr="001900F5">
        <w:t>cinque</w:t>
      </w:r>
      <w:proofErr w:type="gramEnd"/>
      <w:r w:rsidRPr="001900F5">
        <w:t xml:space="preserve"> rappresentanti per i Distretti socio sanitari (uno per l’Area metropolitana di Roma ed uno per ogni provincia laziale) individuati sulla base di specifiche competenze in materia di affido;</w:t>
      </w:r>
    </w:p>
    <w:p w:rsidR="001900F5" w:rsidRPr="001900F5" w:rsidRDefault="001900F5" w:rsidP="001900F5">
      <w:pPr>
        <w:spacing w:after="0" w:line="20" w:lineRule="atLeast"/>
        <w:jc w:val="both"/>
      </w:pPr>
      <w:r w:rsidRPr="001900F5">
        <w:t xml:space="preserve"> </w:t>
      </w:r>
      <w:r w:rsidRPr="001900F5">
        <w:sym w:font="Symbol" w:char="F02D"/>
      </w:r>
      <w:r w:rsidRPr="001900F5">
        <w:t xml:space="preserve"> </w:t>
      </w:r>
      <w:proofErr w:type="gramStart"/>
      <w:r w:rsidRPr="001900F5">
        <w:t>cinque</w:t>
      </w:r>
      <w:proofErr w:type="gramEnd"/>
      <w:r w:rsidRPr="001900F5">
        <w:t xml:space="preserve"> rappresentanti per le Aziende Sanitarie Locali –ASL uno per l’Area metropolitana di Roma ed uno per ogni provincia laziale) individuati sulla base di specifiche competenze in materia di affido </w:t>
      </w:r>
    </w:p>
    <w:p w:rsidR="001900F5" w:rsidRPr="001900F5" w:rsidRDefault="001900F5" w:rsidP="001900F5">
      <w:pPr>
        <w:spacing w:after="0" w:line="20" w:lineRule="atLeast"/>
        <w:jc w:val="both"/>
        <w:rPr>
          <w:u w:val="single"/>
        </w:rPr>
      </w:pPr>
      <w:r w:rsidRPr="001900F5">
        <w:rPr>
          <w:u w:val="single"/>
        </w:rPr>
        <w:t>La partecipazione alle attività del suddetto Tavolo regionale è a titolo gratuito.</w:t>
      </w:r>
    </w:p>
    <w:p w:rsidR="001900F5" w:rsidRDefault="001900F5" w:rsidP="00CC548D">
      <w:pPr>
        <w:spacing w:after="0" w:line="20" w:lineRule="atLeast"/>
        <w:jc w:val="both"/>
        <w:rPr>
          <w:rFonts w:cstheme="minorHAnsi"/>
        </w:rPr>
      </w:pPr>
    </w:p>
    <w:p w:rsidR="00EC02FB" w:rsidRPr="00EC02FB" w:rsidRDefault="00EC02FB" w:rsidP="00EC02FB">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EC02FB">
        <w:rPr>
          <w:rFonts w:cstheme="minorHAnsi"/>
          <w:b/>
        </w:rPr>
        <w:t>NON AUTOSUFFICIENTI</w:t>
      </w:r>
    </w:p>
    <w:p w:rsidR="00CC548D" w:rsidRDefault="00CC548D" w:rsidP="00CC548D">
      <w:pPr>
        <w:spacing w:after="0" w:line="20" w:lineRule="atLeast"/>
        <w:jc w:val="both"/>
        <w:rPr>
          <w:rFonts w:cstheme="minorHAnsi"/>
        </w:rPr>
      </w:pPr>
    </w:p>
    <w:p w:rsidR="00EC02FB" w:rsidRPr="00EC02FB" w:rsidRDefault="00EC02FB" w:rsidP="00EC02FB">
      <w:pPr>
        <w:autoSpaceDE w:val="0"/>
        <w:autoSpaceDN w:val="0"/>
        <w:adjustRightInd w:val="0"/>
        <w:spacing w:after="0" w:line="20" w:lineRule="atLeast"/>
        <w:jc w:val="both"/>
      </w:pPr>
      <w:r w:rsidRPr="00EC02FB">
        <w:rPr>
          <w:b/>
        </w:rPr>
        <w:t>Determinazione 29 luglio 2019, n. G</w:t>
      </w:r>
      <w:proofErr w:type="gramStart"/>
      <w:r w:rsidRPr="00EC02FB">
        <w:rPr>
          <w:b/>
        </w:rPr>
        <w:t>10287</w:t>
      </w:r>
      <w:r w:rsidRPr="00EC02FB">
        <w:t>,  Attuazione</w:t>
      </w:r>
      <w:proofErr w:type="gramEnd"/>
      <w:r w:rsidRPr="00EC02FB">
        <w:t xml:space="preserve"> D.G.R. 117/2019. Approvazione dello schema di Convenzione tra la Regione Lazio e la Fondazione Policlinico A. Gemelli per la realizzazione dell'azione di rilevante interesse regionale "Supporto al paziente SLA e accompagnamento alla sua famiglia". Assegnazione complessiva di euro 1.150.000,00. Impegno di spesa sul capitolo H41151 (Programma 02 – Missione 12) di euro 690.000,00, a gravare sull'esercizio finanziario 2019, ed euro 460.000,00, a gravare sull'esercizio finanziario 2020. </w:t>
      </w:r>
      <w:r w:rsidR="00E460E7">
        <w:t>(</w:t>
      </w:r>
      <w:r w:rsidRPr="00EC02FB">
        <w:t>BUR n. 66 del 16.8.19)</w:t>
      </w:r>
    </w:p>
    <w:p w:rsidR="00EC02FB" w:rsidRPr="00EC02FB" w:rsidRDefault="00EC02FB" w:rsidP="00EC02FB">
      <w:pPr>
        <w:autoSpaceDE w:val="0"/>
        <w:autoSpaceDN w:val="0"/>
        <w:adjustRightInd w:val="0"/>
        <w:spacing w:after="0" w:line="20" w:lineRule="atLeast"/>
        <w:jc w:val="both"/>
        <w:rPr>
          <w:b/>
        </w:rPr>
      </w:pPr>
      <w:r>
        <w:rPr>
          <w:b/>
        </w:rPr>
        <w:t xml:space="preserve">PREMESSA </w:t>
      </w:r>
    </w:p>
    <w:p w:rsidR="00EC02FB" w:rsidRPr="00EC02FB" w:rsidRDefault="00EC02FB" w:rsidP="00EC02FB">
      <w:pPr>
        <w:autoSpaceDE w:val="0"/>
        <w:autoSpaceDN w:val="0"/>
        <w:adjustRightInd w:val="0"/>
        <w:spacing w:after="0" w:line="20" w:lineRule="atLeast"/>
        <w:jc w:val="both"/>
      </w:pPr>
      <w:r w:rsidRPr="00EC02FB">
        <w:t xml:space="preserve">Alla Regione Lazio è stato attribuito un finanziamento complessivo pari ad euro 9.080.000,00, e con deliberazione della Giunta regionale del 25 maggio 2012, n. 233 è stata disposta </w:t>
      </w:r>
      <w:proofErr w:type="gramStart"/>
      <w:r w:rsidRPr="00EC02FB">
        <w:t>l’ “</w:t>
      </w:r>
      <w:proofErr w:type="gramEnd"/>
      <w:r w:rsidRPr="00EC02FB">
        <w:t>Approvazione del Programma attuativo degli interventi a favore di persone affette da sclerosi laterale amiotrofica (SLA), ai sensi del decreto interministeriale 11 novembre 2011, concernente il riparto del Fondo per le non Autosufficienze per l'anno 2011”</w:t>
      </w:r>
    </w:p>
    <w:p w:rsidR="00EC02FB" w:rsidRPr="00EC02FB" w:rsidRDefault="00EC02FB" w:rsidP="00EC02FB">
      <w:pPr>
        <w:autoSpaceDE w:val="0"/>
        <w:autoSpaceDN w:val="0"/>
        <w:adjustRightInd w:val="0"/>
        <w:spacing w:after="0" w:line="20" w:lineRule="atLeast"/>
        <w:jc w:val="both"/>
      </w:pPr>
      <w:r w:rsidRPr="00EC02FB">
        <w:t>La spesa complessivamente assunta per l</w:t>
      </w:r>
      <w:r>
        <w:t>’</w:t>
      </w:r>
      <w:r w:rsidRPr="00EC02FB">
        <w:t>attuazione del suddetto Programma regionale è stata pari ad euro 7.880.695,80, con una disponibilità residua, rispetto all</w:t>
      </w:r>
      <w:r>
        <w:t>’</w:t>
      </w:r>
      <w:r w:rsidRPr="00EC02FB">
        <w:t>assegnazione del Fondo Nazionale per le non Autosufficienze annualità 2011, di euro 1.199.304,2.</w:t>
      </w:r>
    </w:p>
    <w:p w:rsidR="00EC02FB" w:rsidRDefault="00EC02FB" w:rsidP="00EC02FB">
      <w:pPr>
        <w:autoSpaceDE w:val="0"/>
        <w:autoSpaceDN w:val="0"/>
        <w:adjustRightInd w:val="0"/>
        <w:spacing w:after="0" w:line="20" w:lineRule="atLeast"/>
        <w:jc w:val="both"/>
      </w:pPr>
      <w:r>
        <w:t>L</w:t>
      </w:r>
      <w:r w:rsidRPr="00EC02FB">
        <w:t>a Regione Lazio ha ritenuto opportuno definire una nuova specifica progettualità di servizio, alternativa ed integrativa dell</w:t>
      </w:r>
      <w:r w:rsidR="00044E7C">
        <w:t>’o</w:t>
      </w:r>
      <w:r w:rsidRPr="00EC02FB">
        <w:t>fferta prestazionale sanitaria, collegata in rete con i servizi sociali territoriali, dedicata al “Supporto al paziente SLA e accompagnamento alla sua famiglia” nella gestione domiciliare del bisogno assistenziale complesso</w:t>
      </w:r>
      <w:r>
        <w:t>.</w:t>
      </w:r>
      <w:r w:rsidRPr="00EC02FB">
        <w:t xml:space="preserve"> </w:t>
      </w:r>
    </w:p>
    <w:p w:rsidR="00EC02FB" w:rsidRPr="00EC02FB" w:rsidRDefault="00EC02FB" w:rsidP="00EC02FB">
      <w:pPr>
        <w:autoSpaceDE w:val="0"/>
        <w:autoSpaceDN w:val="0"/>
        <w:adjustRightInd w:val="0"/>
        <w:spacing w:after="0" w:line="20" w:lineRule="atLeast"/>
        <w:jc w:val="both"/>
        <w:rPr>
          <w:b/>
        </w:rPr>
      </w:pPr>
      <w:r w:rsidRPr="00EC02FB">
        <w:rPr>
          <w:b/>
        </w:rPr>
        <w:t xml:space="preserve">LA FINALITÀ DEGLI INTERVENTI </w:t>
      </w:r>
    </w:p>
    <w:p w:rsidR="00EC02FB" w:rsidRPr="00EC02FB" w:rsidRDefault="00EC02FB" w:rsidP="00EC02FB">
      <w:pPr>
        <w:autoSpaceDE w:val="0"/>
        <w:autoSpaceDN w:val="0"/>
        <w:adjustRightInd w:val="0"/>
        <w:spacing w:after="0" w:line="20" w:lineRule="atLeast"/>
        <w:jc w:val="both"/>
      </w:pPr>
      <w:r w:rsidRPr="00EC02FB">
        <w:t>Gli interventi sono volti alla sostenibilità della nuova azione regionale denominata “Supporto al paziente SLA e accompagnamento alla sua famiglia” l</w:t>
      </w:r>
      <w:r w:rsidR="00044E7C">
        <w:t>’</w:t>
      </w:r>
      <w:r w:rsidRPr="00EC02FB">
        <w:t>importo complessivo di euro 1.150.000,00, in relazione a:</w:t>
      </w:r>
    </w:p>
    <w:p w:rsidR="00EC02FB" w:rsidRPr="00EC02FB" w:rsidRDefault="00EC02FB" w:rsidP="00EC02FB">
      <w:pPr>
        <w:autoSpaceDE w:val="0"/>
        <w:autoSpaceDN w:val="0"/>
        <w:adjustRightInd w:val="0"/>
        <w:spacing w:after="0" w:line="20" w:lineRule="atLeast"/>
        <w:jc w:val="both"/>
      </w:pPr>
      <w:r w:rsidRPr="00EC02FB">
        <w:t xml:space="preserve"> a) le previsioni di spesa per i vari interventi/servizi di rilevanza sociale: </w:t>
      </w:r>
    </w:p>
    <w:p w:rsidR="00EC02FB" w:rsidRPr="00EC02FB" w:rsidRDefault="00EC02FB" w:rsidP="00EC02FB">
      <w:pPr>
        <w:autoSpaceDE w:val="0"/>
        <w:autoSpaceDN w:val="0"/>
        <w:adjustRightInd w:val="0"/>
        <w:spacing w:after="0" w:line="20" w:lineRule="atLeast"/>
        <w:jc w:val="both"/>
      </w:pPr>
      <w:r w:rsidRPr="00EC02FB">
        <w:t>- interventi di formazione e supporto alla famiglia finalizzati all</w:t>
      </w:r>
      <w:r w:rsidR="00044E7C">
        <w:t>’</w:t>
      </w:r>
      <w:r w:rsidRPr="00EC02FB">
        <w:t xml:space="preserve">abilitazione del caregiver nella gestione delle problematiche assistenziali quotidiane; </w:t>
      </w:r>
    </w:p>
    <w:p w:rsidR="00EC02FB" w:rsidRPr="00EC02FB" w:rsidRDefault="00EC02FB" w:rsidP="00EC02FB">
      <w:pPr>
        <w:autoSpaceDE w:val="0"/>
        <w:autoSpaceDN w:val="0"/>
        <w:adjustRightInd w:val="0"/>
        <w:spacing w:after="0" w:line="20" w:lineRule="atLeast"/>
        <w:jc w:val="both"/>
      </w:pPr>
      <w:r w:rsidRPr="00EC02FB">
        <w:t>- servizi di supporto e di consulenza multidisciplinare al paziente e alle famiglie nei momenti critici;</w:t>
      </w:r>
    </w:p>
    <w:p w:rsidR="00EC02FB" w:rsidRPr="00EC02FB" w:rsidRDefault="00EC02FB" w:rsidP="00EC02FB">
      <w:pPr>
        <w:autoSpaceDE w:val="0"/>
        <w:autoSpaceDN w:val="0"/>
        <w:adjustRightInd w:val="0"/>
        <w:spacing w:after="0" w:line="20" w:lineRule="atLeast"/>
        <w:jc w:val="both"/>
      </w:pPr>
      <w:r w:rsidRPr="00EC02FB">
        <w:lastRenderedPageBreak/>
        <w:t xml:space="preserve"> - punto di contatto, garantito da varie professionalità di natura sanitaria e sociale, con l</w:t>
      </w:r>
      <w:r w:rsidR="00044E7C">
        <w:t>’</w:t>
      </w:r>
      <w:r w:rsidRPr="00EC02FB">
        <w:t>équipe di prossimità a disposizione del caregiver, dei servizi territoriali, dei distretti socio-sanitari regionali, delle associazioni dei pazienti;</w:t>
      </w:r>
    </w:p>
    <w:p w:rsidR="00EC02FB" w:rsidRPr="00EC02FB" w:rsidRDefault="00EC02FB" w:rsidP="00EC02FB">
      <w:pPr>
        <w:autoSpaceDE w:val="0"/>
        <w:autoSpaceDN w:val="0"/>
        <w:adjustRightInd w:val="0"/>
        <w:spacing w:after="0" w:line="20" w:lineRule="atLeast"/>
        <w:jc w:val="both"/>
      </w:pPr>
      <w:r w:rsidRPr="00EC02FB">
        <w:t>- attività di monitoraggio e sviluppo dell</w:t>
      </w:r>
      <w:r w:rsidR="00044E7C">
        <w:t>’</w:t>
      </w:r>
      <w:r w:rsidRPr="00EC02FB">
        <w:t xml:space="preserve">appropriatezza programmatoria delle azioni di collegamento, formazione ed informazione in relazione sia al bisogno che alla qualità percepita dal paziente e dalla famiglia; servizio di pronta disponibilità per emergenze sociali, in caso di impossibilità del caregiver ad assicurare la propria funzione di cura; </w:t>
      </w:r>
    </w:p>
    <w:p w:rsidR="00EC02FB" w:rsidRPr="00EC02FB" w:rsidRDefault="00EC02FB" w:rsidP="00EC02FB">
      <w:pPr>
        <w:autoSpaceDE w:val="0"/>
        <w:autoSpaceDN w:val="0"/>
        <w:adjustRightInd w:val="0"/>
        <w:spacing w:after="0" w:line="20" w:lineRule="atLeast"/>
        <w:jc w:val="both"/>
      </w:pPr>
      <w:r w:rsidRPr="00EC02FB">
        <w:t xml:space="preserve">b) l’arco temporale di mesi 18, ritenuto funzionale per la valutazione, in termini di efficacia e rispondenza agli obiettivi di servizio, della stessa azione programmata; </w:t>
      </w:r>
    </w:p>
    <w:p w:rsidR="00EC02FB" w:rsidRPr="00EC02FB" w:rsidRDefault="00EC02FB" w:rsidP="00EC02FB">
      <w:pPr>
        <w:autoSpaceDE w:val="0"/>
        <w:autoSpaceDN w:val="0"/>
        <w:adjustRightInd w:val="0"/>
        <w:spacing w:after="0" w:line="20" w:lineRule="atLeast"/>
        <w:jc w:val="both"/>
      </w:pPr>
      <w:r w:rsidRPr="00EC02FB">
        <w:t>c) il target di riferimento di 400 utenti affetti da SLA e malattie neuromuscolari con analoghe problematiche assistenziali e impatto sul contesto familiare</w:t>
      </w:r>
    </w:p>
    <w:p w:rsidR="00EC02FB" w:rsidRPr="00EC02FB" w:rsidRDefault="00EC02FB" w:rsidP="00EC02FB">
      <w:pPr>
        <w:autoSpaceDE w:val="0"/>
        <w:autoSpaceDN w:val="0"/>
        <w:adjustRightInd w:val="0"/>
        <w:spacing w:after="0" w:line="20" w:lineRule="atLeast"/>
        <w:jc w:val="both"/>
        <w:rPr>
          <w:b/>
        </w:rPr>
      </w:pPr>
      <w:r w:rsidRPr="00EC02FB">
        <w:rPr>
          <w:b/>
        </w:rPr>
        <w:t xml:space="preserve">LA DISPOSIZIONE  </w:t>
      </w:r>
    </w:p>
    <w:p w:rsidR="00511BE7" w:rsidRDefault="00EC02FB" w:rsidP="00EC02FB">
      <w:pPr>
        <w:autoSpaceDE w:val="0"/>
        <w:autoSpaceDN w:val="0"/>
        <w:adjustRightInd w:val="0"/>
        <w:spacing w:after="0" w:line="20" w:lineRule="atLeast"/>
        <w:jc w:val="both"/>
      </w:pPr>
      <w:r w:rsidRPr="00EC02FB">
        <w:t xml:space="preserve">Viene </w:t>
      </w:r>
      <w:proofErr w:type="gramStart"/>
      <w:r w:rsidRPr="00EC02FB">
        <w:t>approvato  lo</w:t>
      </w:r>
      <w:proofErr w:type="gramEnd"/>
      <w:r w:rsidRPr="00EC02FB">
        <w:t xml:space="preserve"> schema di Convenzione tra la Regione Lazio e il Policlinico A. Gemelli, allegato al presente atto e che costituisce parte integrante e sostanziale dello stesso, concernente la collaborazione per la realizzazione della nuova azione di rilevanza regionale di “Supporto al malato SLA e accompagnamento alla sua famiglia”, programmata con la D.G.R. 117/2019; 2) di impegnare, in favore del Policlinico A. Gemelli, l</w:t>
      </w:r>
      <w:r w:rsidR="00511BE7">
        <w:t>’</w:t>
      </w:r>
      <w:r w:rsidRPr="00EC02FB">
        <w:t>importo per una spesa complessiva di euro 1.150.000,00.</w:t>
      </w:r>
    </w:p>
    <w:p w:rsidR="00511BE7" w:rsidRPr="00976866" w:rsidRDefault="00511BE7" w:rsidP="00511BE7">
      <w:pPr>
        <w:autoSpaceDE w:val="0"/>
        <w:autoSpaceDN w:val="0"/>
        <w:adjustRightInd w:val="0"/>
        <w:spacing w:after="0" w:line="20" w:lineRule="atLeast"/>
        <w:jc w:val="both"/>
        <w:rPr>
          <w:color w:val="FF0000"/>
        </w:rPr>
      </w:pPr>
    </w:p>
    <w:p w:rsidR="00E460E7" w:rsidRPr="00EC02FB" w:rsidRDefault="00511BE7" w:rsidP="00E460E7">
      <w:pPr>
        <w:autoSpaceDE w:val="0"/>
        <w:autoSpaceDN w:val="0"/>
        <w:adjustRightInd w:val="0"/>
        <w:spacing w:after="0" w:line="20" w:lineRule="atLeast"/>
        <w:jc w:val="both"/>
      </w:pPr>
      <w:r w:rsidRPr="00FE5696">
        <w:rPr>
          <w:b/>
        </w:rPr>
        <w:t>Determinazione 29 luglio 2019, n. G10293</w:t>
      </w:r>
      <w:r w:rsidRPr="00FE5696">
        <w:t>, D.G.R.304/2019. Riparto ed assegnazione ai distretti socio sanitari delle risorse di cui all'articolo 4, comma 12, della L.R. 13/2018 per interventi socio assistenziali in favore di soggetti affetti da sclerosi laterale amiotrofica (SLA). Impegno di spesa di euro 1.000.000,00 sul cap. H41903 (Missione 12 – Programma 02), esercizio finanziario 2019.</w:t>
      </w:r>
      <w:r w:rsidR="00E460E7">
        <w:t xml:space="preserve"> (</w:t>
      </w:r>
      <w:r w:rsidR="00E460E7" w:rsidRPr="00EC02FB">
        <w:t>BUR n. 66 del 16.8.19)</w:t>
      </w:r>
    </w:p>
    <w:p w:rsidR="00511BE7" w:rsidRPr="00FE5696" w:rsidRDefault="00511BE7" w:rsidP="00511BE7">
      <w:pPr>
        <w:autoSpaceDE w:val="0"/>
        <w:autoSpaceDN w:val="0"/>
        <w:adjustRightInd w:val="0"/>
        <w:spacing w:after="0" w:line="20" w:lineRule="atLeast"/>
        <w:jc w:val="both"/>
        <w:rPr>
          <w:b/>
        </w:rPr>
      </w:pPr>
      <w:r w:rsidRPr="00FE5696">
        <w:rPr>
          <w:b/>
        </w:rPr>
        <w:t>Note</w:t>
      </w:r>
    </w:p>
    <w:p w:rsidR="00511BE7" w:rsidRDefault="00511BE7" w:rsidP="00511BE7">
      <w:pPr>
        <w:autoSpaceDE w:val="0"/>
        <w:autoSpaceDN w:val="0"/>
        <w:adjustRightInd w:val="0"/>
        <w:spacing w:after="0" w:line="20" w:lineRule="atLeast"/>
        <w:jc w:val="both"/>
      </w:pPr>
      <w:proofErr w:type="gramStart"/>
      <w:r w:rsidRPr="00FE5696">
        <w:t>Viene  ripartita</w:t>
      </w:r>
      <w:proofErr w:type="gramEnd"/>
      <w:r w:rsidRPr="00FE5696">
        <w:t xml:space="preserve"> ed impegnata  in favore dei distretti socio sanitari l’importo a fianco di ciascuno indicato nella Tabella a seguire, quantificato in base al numero aggiornato di utenti affetti da SLA, per una spesa complessiva di euro 1.000.000,00 </w:t>
      </w:r>
    </w:p>
    <w:p w:rsidR="00511BE7" w:rsidRPr="00AB772F" w:rsidRDefault="00511BE7" w:rsidP="00511BE7">
      <w:pPr>
        <w:autoSpaceDE w:val="0"/>
        <w:autoSpaceDN w:val="0"/>
        <w:adjustRightInd w:val="0"/>
        <w:spacing w:after="0" w:line="20" w:lineRule="atLeast"/>
        <w:jc w:val="both"/>
      </w:pPr>
      <w:proofErr w:type="gramStart"/>
      <w:r w:rsidRPr="00AB772F">
        <w:t>I  distretti</w:t>
      </w:r>
      <w:proofErr w:type="gramEnd"/>
      <w:r w:rsidRPr="00AB772F">
        <w:t xml:space="preserve"> socio sanitari  sono tenuti ad attenersi alle seguenti prescrizioni, di cui alla deliberazione di Giunta regionale del 23 maggio 2019, n. 304, in merito alle finalità e modalità di utilizzazione delle risorse suindicate e destinate al supporto della domiciliarit</w:t>
      </w:r>
      <w:r w:rsidR="00B6593A">
        <w:t xml:space="preserve">à </w:t>
      </w:r>
      <w:r w:rsidRPr="00AB772F">
        <w:t>assistenziale in favore dei pazienti affetti da SLA:</w:t>
      </w:r>
    </w:p>
    <w:p w:rsidR="00511BE7" w:rsidRPr="00AB772F" w:rsidRDefault="00511BE7" w:rsidP="00511BE7">
      <w:pPr>
        <w:autoSpaceDE w:val="0"/>
        <w:autoSpaceDN w:val="0"/>
        <w:adjustRightInd w:val="0"/>
        <w:spacing w:after="0" w:line="20" w:lineRule="atLeast"/>
        <w:jc w:val="both"/>
      </w:pPr>
      <w:r w:rsidRPr="00AB772F">
        <w:t xml:space="preserve"> - lo stanziamento di legge di euro 1.000.000,00, per l’annualità 2019, è destinato al supporto della domiciliarità, integrando i servizi già attivati in favore del paziente SLA per favorire un’adeguata copertura assistenziale ed un</w:t>
      </w:r>
      <w:r w:rsidR="00AB772F">
        <w:t>’</w:t>
      </w:r>
      <w:r w:rsidRPr="00AB772F">
        <w:t>organizzazione più efficace del sistema di caregiving;</w:t>
      </w:r>
    </w:p>
    <w:p w:rsidR="00511BE7" w:rsidRPr="00AB772F" w:rsidRDefault="00511BE7" w:rsidP="00511BE7">
      <w:pPr>
        <w:autoSpaceDE w:val="0"/>
        <w:autoSpaceDN w:val="0"/>
        <w:adjustRightInd w:val="0"/>
        <w:spacing w:after="0" w:line="20" w:lineRule="atLeast"/>
        <w:jc w:val="both"/>
      </w:pPr>
      <w:r w:rsidRPr="00AB772F">
        <w:t xml:space="preserve"> - il budget assegnato, nel caso di utenti affetti da SLA in condizione di disabilità gravissima ai sensi del D.M. 26 settembre 2016, deve essere utilizzato per: </w:t>
      </w:r>
    </w:p>
    <w:p w:rsidR="00511BE7" w:rsidRPr="00AB772F" w:rsidRDefault="00511BE7" w:rsidP="00511BE7">
      <w:pPr>
        <w:autoSpaceDE w:val="0"/>
        <w:autoSpaceDN w:val="0"/>
        <w:adjustRightInd w:val="0"/>
        <w:spacing w:after="0" w:line="20" w:lineRule="atLeast"/>
        <w:jc w:val="both"/>
      </w:pPr>
      <w:r w:rsidRPr="00AB772F">
        <w:t xml:space="preserve">a) implementare, per un importo ulteriore massimo di euro 300,00, la spesa già sostenuta dal distretto socio sanitario per l’erogazione del servizio diretto di assistenza domiciliare, secondo le modalità di cui al punto B.1 dell’Allegato alla D.G.R. 223/2016, e, comunque, fino a concorrenza del contributo regionale massimo ad utente previsto di euro 1.500,00 mensili; </w:t>
      </w:r>
    </w:p>
    <w:p w:rsidR="00511BE7" w:rsidRPr="00AB772F" w:rsidRDefault="00511BE7" w:rsidP="00511BE7">
      <w:pPr>
        <w:autoSpaceDE w:val="0"/>
        <w:autoSpaceDN w:val="0"/>
        <w:adjustRightInd w:val="0"/>
        <w:spacing w:after="0" w:line="20" w:lineRule="atLeast"/>
        <w:jc w:val="both"/>
      </w:pPr>
      <w:r w:rsidRPr="00AB772F">
        <w:t>b) implementare, per un importo ulteriore massimo di euro 300,00, l‘entità dell’assegno di cura, riconosciuto all’utente, ai sensi della D.G.R. 104/2017, per l’acquisizione di prestazioni assistenziali, mediante regolare contratto di lavoro, rese da un operatore in possesso dei requisiti professionali indicati dalla D.G.R. 223/2016 – punto C.2 dell</w:t>
      </w:r>
      <w:r w:rsidR="00AB772F">
        <w:t>’</w:t>
      </w:r>
      <w:r w:rsidRPr="00AB772F">
        <w:t xml:space="preserve">Allegato. L’implementazione è, comunque, possibile fino a concorrenza dell’importo massimo di contributo regionale riconosciuto ad utente di euro 1.500,00; </w:t>
      </w:r>
    </w:p>
    <w:p w:rsidR="00511BE7" w:rsidRDefault="00511BE7" w:rsidP="00511BE7">
      <w:pPr>
        <w:autoSpaceDE w:val="0"/>
        <w:autoSpaceDN w:val="0"/>
        <w:adjustRightInd w:val="0"/>
        <w:spacing w:after="0" w:line="20" w:lineRule="atLeast"/>
        <w:jc w:val="both"/>
      </w:pPr>
      <w:r w:rsidRPr="00AB772F">
        <w:t xml:space="preserve">c) implementare, per un importo ulteriore massimo di euro 300,00, l’entità del contributo di cura riconosciuto all’utente, ai sensi della D.G.R. 104/2017, in caso di assistenza prestata dal familiare caregiver e, comunque, fino a concorrenza dell'importo massimo di contributo regionale riconosciuto ad utente di euro 1.000,00. </w:t>
      </w:r>
    </w:p>
    <w:p w:rsidR="00FC4DD5" w:rsidRDefault="00FC4DD5" w:rsidP="00511BE7">
      <w:pPr>
        <w:autoSpaceDE w:val="0"/>
        <w:autoSpaceDN w:val="0"/>
        <w:adjustRightInd w:val="0"/>
        <w:spacing w:after="0" w:line="20" w:lineRule="atLeast"/>
        <w:jc w:val="both"/>
      </w:pPr>
    </w:p>
    <w:p w:rsidR="00FC4DD5" w:rsidRPr="00FC4DD5" w:rsidRDefault="00FC4DD5" w:rsidP="00FC4DD5">
      <w:pPr>
        <w:autoSpaceDE w:val="0"/>
        <w:autoSpaceDN w:val="0"/>
        <w:adjustRightInd w:val="0"/>
        <w:spacing w:after="0" w:line="20" w:lineRule="atLeast"/>
        <w:jc w:val="both"/>
      </w:pPr>
      <w:r w:rsidRPr="00FC4DD5">
        <w:rPr>
          <w:b/>
        </w:rPr>
        <w:t>DGR 6 agosto 2019, n. 609</w:t>
      </w:r>
      <w:r w:rsidRPr="00FC4DD5">
        <w:t>, Legge regionale n.7/2014 "Misure finalizzate al miglioramento della funzionalità della Regione: Disposizioni di razionalizzazione e di semplificazione dell'ordinamento regionale nonch</w:t>
      </w:r>
      <w:r w:rsidR="00F23649">
        <w:t>é</w:t>
      </w:r>
      <w:r w:rsidRPr="00FC4DD5">
        <w:t xml:space="preserve"> interventi per lo sviluppo e la competitività dei territori e a sostegno delle famiglie" articolo 2 commi 87, 88, 88 bis e 89. Concorso regionale agli oneri a carico dei comuni per la spesa sociale per utenti in </w:t>
      </w:r>
      <w:r w:rsidR="00B953F8" w:rsidRPr="00FC4DD5">
        <w:t>RSA</w:t>
      </w:r>
      <w:r w:rsidRPr="00FC4DD5">
        <w:t xml:space="preserve">, centri di </w:t>
      </w:r>
      <w:r w:rsidRPr="00FC4DD5">
        <w:lastRenderedPageBreak/>
        <w:t>riabilitazione e strutture residenziali psichiatriche socio-riabilitative. Finalizzazione di €. 5.481.872,56 sul capitolo H41940.</w:t>
      </w:r>
    </w:p>
    <w:p w:rsidR="00FC4DD5" w:rsidRPr="00FC4DD5" w:rsidRDefault="00FC4DD5" w:rsidP="00FC4DD5">
      <w:pPr>
        <w:autoSpaceDE w:val="0"/>
        <w:autoSpaceDN w:val="0"/>
        <w:adjustRightInd w:val="0"/>
        <w:spacing w:after="0" w:line="20" w:lineRule="atLeast"/>
        <w:jc w:val="both"/>
        <w:rPr>
          <w:b/>
        </w:rPr>
      </w:pPr>
      <w:r w:rsidRPr="00FC4DD5">
        <w:rPr>
          <w:b/>
        </w:rPr>
        <w:t>Note</w:t>
      </w:r>
    </w:p>
    <w:p w:rsidR="00FC4DD5" w:rsidRPr="00FC4DD5" w:rsidRDefault="00FC4DD5" w:rsidP="00FC4DD5">
      <w:pPr>
        <w:autoSpaceDE w:val="0"/>
        <w:autoSpaceDN w:val="0"/>
        <w:adjustRightInd w:val="0"/>
        <w:spacing w:after="0" w:line="20" w:lineRule="atLeast"/>
        <w:jc w:val="both"/>
      </w:pPr>
      <w:r w:rsidRPr="00FC4DD5">
        <w:t xml:space="preserve">Viene </w:t>
      </w:r>
      <w:proofErr w:type="gramStart"/>
      <w:r w:rsidRPr="00FC4DD5">
        <w:t>destinata  la</w:t>
      </w:r>
      <w:proofErr w:type="gramEnd"/>
      <w:r w:rsidRPr="00FC4DD5">
        <w:t xml:space="preserve"> somma di € 5.481.872,56  quale concorso regionale agli oneri sostenuti dai Comuni per la compartecipazione al pagamento della quota sociale a carico degli utenti per i ricoveri nelle rsa, nei centri di riabilitazione e nelle strutture residenziali psichiatriche socio-riabilitative.</w:t>
      </w:r>
    </w:p>
    <w:p w:rsidR="00FC4DD5" w:rsidRPr="00FC4DD5" w:rsidRDefault="00FC4DD5" w:rsidP="00FC4DD5">
      <w:pPr>
        <w:autoSpaceDE w:val="0"/>
        <w:autoSpaceDN w:val="0"/>
        <w:adjustRightInd w:val="0"/>
        <w:spacing w:after="0" w:line="20" w:lineRule="atLeast"/>
        <w:jc w:val="both"/>
        <w:rPr>
          <w:rFonts w:cstheme="minorHAnsi"/>
          <w:b/>
        </w:rPr>
      </w:pPr>
      <w:r w:rsidRPr="00FC4DD5">
        <w:t xml:space="preserve">La Direzione regionale per l’Inclusione Sociale provvederà all’adozione dei provvedimenti attuativi per la finalizzazione delle risorse regionali come indicate nella presente deliberazione. </w:t>
      </w:r>
    </w:p>
    <w:p w:rsidR="00FC4DD5" w:rsidRPr="00AB772F" w:rsidRDefault="00FC4DD5" w:rsidP="00511BE7">
      <w:pPr>
        <w:autoSpaceDE w:val="0"/>
        <w:autoSpaceDN w:val="0"/>
        <w:adjustRightInd w:val="0"/>
        <w:spacing w:after="0" w:line="20" w:lineRule="atLeast"/>
        <w:jc w:val="both"/>
      </w:pPr>
    </w:p>
    <w:p w:rsidR="00CD6496" w:rsidRPr="00A43D1E" w:rsidRDefault="00CD6496" w:rsidP="00CD6496">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A43D1E">
        <w:rPr>
          <w:rFonts w:cstheme="minorHAnsi"/>
          <w:b/>
        </w:rPr>
        <w:t>PERSONE CON DISABILITÀ</w:t>
      </w:r>
    </w:p>
    <w:p w:rsidR="00CD6496" w:rsidRDefault="00CD6496" w:rsidP="00CD6496">
      <w:pPr>
        <w:spacing w:after="0" w:line="20" w:lineRule="atLeast"/>
        <w:jc w:val="both"/>
        <w:rPr>
          <w:rFonts w:cstheme="minorHAnsi"/>
        </w:rPr>
      </w:pPr>
    </w:p>
    <w:p w:rsidR="00CD6496" w:rsidRPr="006B0B81" w:rsidRDefault="00CD6496" w:rsidP="00CD6496">
      <w:pPr>
        <w:spacing w:after="0" w:line="20" w:lineRule="atLeast"/>
        <w:jc w:val="both"/>
        <w:rPr>
          <w:rFonts w:cstheme="minorHAnsi"/>
        </w:rPr>
      </w:pPr>
      <w:r w:rsidRPr="006B0B81">
        <w:rPr>
          <w:rFonts w:cstheme="minorHAnsi"/>
          <w:b/>
        </w:rPr>
        <w:t xml:space="preserve">DGR 30 luglio 2019, n. </w:t>
      </w:r>
      <w:proofErr w:type="gramStart"/>
      <w:r w:rsidRPr="006B0B81">
        <w:rPr>
          <w:rFonts w:cstheme="minorHAnsi"/>
          <w:b/>
        </w:rPr>
        <w:t xml:space="preserve">564, </w:t>
      </w:r>
      <w:r w:rsidRPr="006B0B81">
        <w:rPr>
          <w:rFonts w:cstheme="minorHAnsi"/>
        </w:rPr>
        <w:t xml:space="preserve"> L.R.</w:t>
      </w:r>
      <w:proofErr w:type="gramEnd"/>
      <w:r w:rsidRPr="006B0B81">
        <w:rPr>
          <w:rFonts w:cstheme="minorHAnsi"/>
        </w:rPr>
        <w:t xml:space="preserve"> 8/2019. Criteri e modalit</w:t>
      </w:r>
      <w:r w:rsidR="006D2FD0">
        <w:rPr>
          <w:rFonts w:cstheme="minorHAnsi"/>
        </w:rPr>
        <w:t>à</w:t>
      </w:r>
      <w:r w:rsidRPr="006B0B81">
        <w:rPr>
          <w:rFonts w:cstheme="minorHAnsi"/>
        </w:rPr>
        <w:t xml:space="preserve"> di concessione ai comuni costieri e lacuali dei contributi regionali per l'acquisto di apposite carrozzine o sedie mare per lo spostamento in spiaggia ed in acqua di persone con disabilit</w:t>
      </w:r>
      <w:r w:rsidR="006D2FD0">
        <w:rPr>
          <w:rFonts w:cstheme="minorHAnsi"/>
        </w:rPr>
        <w:t>à</w:t>
      </w:r>
      <w:r w:rsidRPr="006B0B81">
        <w:rPr>
          <w:rFonts w:cstheme="minorHAnsi"/>
        </w:rPr>
        <w:t>. Destinazione di euro 200.000,00 sul capitolo H42530, esercizio finanziario 2019. BUR n. 62 del 1.8.19)</w:t>
      </w:r>
    </w:p>
    <w:p w:rsidR="00CD6496" w:rsidRDefault="006D04AE" w:rsidP="00CC548D">
      <w:pPr>
        <w:spacing w:after="0" w:line="20" w:lineRule="atLeast"/>
        <w:jc w:val="both"/>
        <w:rPr>
          <w:rFonts w:cstheme="minorHAnsi"/>
          <w:b/>
        </w:rPr>
      </w:pPr>
      <w:r w:rsidRPr="006D04AE">
        <w:rPr>
          <w:rFonts w:cstheme="minorHAnsi"/>
          <w:b/>
        </w:rPr>
        <w:t>Note</w:t>
      </w:r>
    </w:p>
    <w:p w:rsidR="006D04AE" w:rsidRPr="006B0B81" w:rsidRDefault="006D04AE" w:rsidP="006D04AE">
      <w:pPr>
        <w:spacing w:after="0" w:line="20" w:lineRule="atLeast"/>
        <w:jc w:val="both"/>
        <w:rPr>
          <w:rFonts w:cstheme="minorHAnsi"/>
        </w:rPr>
      </w:pPr>
      <w:r w:rsidRPr="006B0B81">
        <w:rPr>
          <w:rFonts w:cstheme="minorHAnsi"/>
        </w:rPr>
        <w:t xml:space="preserve">Viene stabilito, ai sensi dell’art. 22 della L.R. 8/2019, per una destinazione delle risorse maggiormente rispondente al bisogno, quanto segue: </w:t>
      </w:r>
    </w:p>
    <w:p w:rsidR="006D04AE" w:rsidRPr="006B0B81" w:rsidRDefault="006D04AE" w:rsidP="006D04AE">
      <w:pPr>
        <w:spacing w:after="0" w:line="20" w:lineRule="atLeast"/>
        <w:jc w:val="both"/>
        <w:rPr>
          <w:rFonts w:cstheme="minorHAnsi"/>
        </w:rPr>
      </w:pPr>
      <w:r w:rsidRPr="006B0B81">
        <w:rPr>
          <w:rFonts w:cstheme="minorHAnsi"/>
        </w:rPr>
        <w:t xml:space="preserve">a) la assegnazione dei contributi, di cui al comma 21 della suindicata legge, avverrà su istanza da parte dei comuni costieri e lacuali interessati; </w:t>
      </w:r>
    </w:p>
    <w:p w:rsidR="006D04AE" w:rsidRPr="006B0B81" w:rsidRDefault="006D04AE" w:rsidP="006D04AE">
      <w:pPr>
        <w:spacing w:after="0" w:line="20" w:lineRule="atLeast"/>
        <w:jc w:val="both"/>
        <w:rPr>
          <w:rFonts w:cstheme="minorHAnsi"/>
        </w:rPr>
      </w:pPr>
      <w:r w:rsidRPr="006B0B81">
        <w:rPr>
          <w:rFonts w:cstheme="minorHAnsi"/>
        </w:rPr>
        <w:t>b) la domanda di contributo dovrà essere sottoscritta dal legale rappresentante del comune;</w:t>
      </w:r>
    </w:p>
    <w:p w:rsidR="006D04AE" w:rsidRPr="006B0B81" w:rsidRDefault="006D04AE" w:rsidP="006D04AE">
      <w:pPr>
        <w:spacing w:after="0" w:line="20" w:lineRule="atLeast"/>
        <w:jc w:val="both"/>
        <w:rPr>
          <w:rFonts w:cstheme="minorHAnsi"/>
        </w:rPr>
      </w:pPr>
      <w:r w:rsidRPr="006B0B81">
        <w:rPr>
          <w:rFonts w:cstheme="minorHAnsi"/>
        </w:rPr>
        <w:t>c) nella domanda dovrà essere indicata l’estensione della superficie demaniale con finalità turistico ricreative dedicata alla balneazione, nonch</w:t>
      </w:r>
      <w:r w:rsidR="00CB0B15">
        <w:rPr>
          <w:rFonts w:cstheme="minorHAnsi"/>
        </w:rPr>
        <w:t>é</w:t>
      </w:r>
      <w:r w:rsidRPr="006B0B81">
        <w:rPr>
          <w:rFonts w:cstheme="minorHAnsi"/>
        </w:rPr>
        <w:t xml:space="preserve"> il relativo numero di ausili ritenuto congruo per garantire la accessibilità alle spiagge, la vivibilità e la stessa balneazione attiva ai potenziali fruitori; </w:t>
      </w:r>
    </w:p>
    <w:p w:rsidR="006D04AE" w:rsidRPr="006B0B81" w:rsidRDefault="006D04AE" w:rsidP="006D04AE">
      <w:pPr>
        <w:spacing w:after="0" w:line="20" w:lineRule="atLeast"/>
        <w:jc w:val="both"/>
        <w:rPr>
          <w:rFonts w:cstheme="minorHAnsi"/>
        </w:rPr>
      </w:pPr>
      <w:r w:rsidRPr="006B0B81">
        <w:rPr>
          <w:rFonts w:cstheme="minorHAnsi"/>
        </w:rPr>
        <w:t xml:space="preserve">d) la domanda dovrà contenere, in caso di spiagge marittime e lacuali in concessione, anche l’espressa dichiarazione di conformità a tutte le prescrizioni, anche di carattere informativo/pubblicazione dati, previste dalle vigenti normative in materia, nonché riportare il numero delle concessioni e gli estremi formali dell’atto di adozione del PUA; </w:t>
      </w:r>
    </w:p>
    <w:p w:rsidR="006D04AE" w:rsidRPr="006B0B81" w:rsidRDefault="006D04AE" w:rsidP="006D04AE">
      <w:pPr>
        <w:spacing w:after="0" w:line="20" w:lineRule="atLeast"/>
        <w:jc w:val="both"/>
        <w:rPr>
          <w:rFonts w:cstheme="minorHAnsi"/>
        </w:rPr>
      </w:pPr>
      <w:r w:rsidRPr="006B0B81">
        <w:rPr>
          <w:rFonts w:cstheme="minorHAnsi"/>
        </w:rPr>
        <w:t xml:space="preserve">e) il termine per l’acquisizione delle domande formali di contributo dei comuni interessati è di 10 giorni dalla pubblicazione del presente atto sul Bollettino Ufficiale della Regione Lazio. Il termine ristretto è motivato dalla volontà di dare possibile attuazione all’intervento proprio nel periodo estivo in corso; </w:t>
      </w:r>
    </w:p>
    <w:p w:rsidR="006D04AE" w:rsidRDefault="006D04AE" w:rsidP="006D04AE">
      <w:pPr>
        <w:spacing w:after="0" w:line="20" w:lineRule="atLeast"/>
        <w:jc w:val="both"/>
        <w:rPr>
          <w:rFonts w:cstheme="minorHAnsi"/>
        </w:rPr>
      </w:pPr>
      <w:r w:rsidRPr="006B0B81">
        <w:rPr>
          <w:rFonts w:cstheme="minorHAnsi"/>
        </w:rPr>
        <w:t xml:space="preserve">f) la domanda di contributo dovrà essere rimessa nei termini alla Direzione regionale per l’Inclusione sociale, esclusivamente a mezzo PEC, al seguente indirizzo: </w:t>
      </w:r>
      <w:hyperlink r:id="rId10" w:history="1">
        <w:r w:rsidRPr="006B0B81">
          <w:rPr>
            <w:rStyle w:val="Collegamentoipertestuale"/>
            <w:rFonts w:cstheme="minorHAnsi"/>
          </w:rPr>
          <w:t>inclusionesociale@regione.lazio.legalmail.it</w:t>
        </w:r>
      </w:hyperlink>
      <w:r w:rsidRPr="006B0B81">
        <w:rPr>
          <w:rFonts w:cstheme="minorHAnsi"/>
        </w:rPr>
        <w:t>.</w:t>
      </w:r>
    </w:p>
    <w:p w:rsidR="00EA324F" w:rsidRDefault="00EA324F" w:rsidP="006D04AE">
      <w:pPr>
        <w:spacing w:after="0" w:line="20" w:lineRule="atLeast"/>
        <w:jc w:val="both"/>
        <w:rPr>
          <w:rFonts w:cstheme="minorHAnsi"/>
        </w:rPr>
      </w:pPr>
    </w:p>
    <w:p w:rsidR="00EA324F" w:rsidRPr="006B0B81" w:rsidRDefault="00EA324F" w:rsidP="00EA324F">
      <w:pPr>
        <w:spacing w:after="0" w:line="20" w:lineRule="atLeast"/>
        <w:jc w:val="both"/>
        <w:rPr>
          <w:rFonts w:cstheme="minorHAnsi"/>
        </w:rPr>
      </w:pPr>
      <w:r w:rsidRPr="006B0B81">
        <w:rPr>
          <w:rFonts w:cstheme="minorHAnsi"/>
          <w:b/>
        </w:rPr>
        <w:t>Determinazione 28 giugno 2019, n. G08823</w:t>
      </w:r>
      <w:r w:rsidRPr="006B0B81">
        <w:rPr>
          <w:rFonts w:cstheme="minorHAnsi"/>
        </w:rPr>
        <w:t xml:space="preserve"> Legge 112/2016 "Disposizioni in materia di assistenza in favore delle persone con disabilità grave prive del sostegno familiare". Attività finalizzate a supportare la realizzazione di innovative soluzioni alloggiative di cui all'articolo 5, comma 4, del Decreto Ministeriale - Ministero del lavoro e delle politiche sociali - 23 novembre 2016 sul territorio di Roma Capitale. Revoca del finanziamento liquidato in favore del Comune di Roma Capitale per l'importo di Euro 1.000.110,24 impegnato sul capitolo H41170 (provvedimento di liquidazione n. 29390/2018). Accertamento in entrata per Euro 1.000.110,24 sul capitolo di entrata 331525 - P.d.C. 3.05.02.03.002 esercizio finanziario 2019. (BUR n. 61 del 1.8.19)</w:t>
      </w:r>
    </w:p>
    <w:p w:rsidR="00EA324F" w:rsidRPr="006B0B81" w:rsidRDefault="00EA324F" w:rsidP="00EA324F">
      <w:pPr>
        <w:spacing w:after="0" w:line="20" w:lineRule="atLeast"/>
        <w:jc w:val="both"/>
        <w:rPr>
          <w:rFonts w:cstheme="minorHAnsi"/>
          <w:b/>
        </w:rPr>
      </w:pPr>
      <w:r w:rsidRPr="006B0B81">
        <w:rPr>
          <w:rFonts w:cstheme="minorHAnsi"/>
          <w:b/>
        </w:rPr>
        <w:t>L’ANTEFATTO</w:t>
      </w:r>
    </w:p>
    <w:p w:rsidR="00EA324F" w:rsidRPr="006B0B81" w:rsidRDefault="00EA324F" w:rsidP="00EA324F">
      <w:pPr>
        <w:spacing w:after="0" w:line="20" w:lineRule="atLeast"/>
        <w:jc w:val="both"/>
        <w:rPr>
          <w:rFonts w:cstheme="minorHAnsi"/>
        </w:rPr>
      </w:pPr>
      <w:r w:rsidRPr="006B0B81">
        <w:rPr>
          <w:rFonts w:cstheme="minorHAnsi"/>
        </w:rPr>
        <w:t xml:space="preserve">Con DGR 25 luglio 2017, n. 454 “Linee guida operative regionali per le finalità della legge n. 112 del 22 giugno 2016 „Disposizioni in materia di assistenza in favore delle persone con disabilità grave prive del sostegno familiare‟ e del D.M. del 23 novembre 2016 di </w:t>
      </w:r>
      <w:proofErr w:type="gramStart"/>
      <w:r w:rsidRPr="006B0B81">
        <w:rPr>
          <w:rFonts w:cstheme="minorHAnsi"/>
        </w:rPr>
        <w:t>attuazione”  è</w:t>
      </w:r>
      <w:proofErr w:type="gramEnd"/>
      <w:r w:rsidRPr="006B0B81">
        <w:rPr>
          <w:rFonts w:cstheme="minorHAnsi"/>
        </w:rPr>
        <w:t xml:space="preserve"> stato disposto che: </w:t>
      </w:r>
    </w:p>
    <w:p w:rsidR="00EA324F" w:rsidRPr="006B0B81" w:rsidRDefault="00EA324F" w:rsidP="00EA324F">
      <w:pPr>
        <w:spacing w:after="0" w:line="20" w:lineRule="atLeast"/>
        <w:jc w:val="both"/>
        <w:rPr>
          <w:rFonts w:cstheme="minorHAnsi"/>
        </w:rPr>
      </w:pPr>
      <w:r w:rsidRPr="006B0B81">
        <w:rPr>
          <w:rFonts w:cstheme="minorHAnsi"/>
        </w:rPr>
        <w:t xml:space="preserve"> a) approva la suddivisione del territorio in Ambiti sovradistrettuali per la gestione del fondo per l ‘assistenza alle persone con disabilità grave prive del sostegno familiare, di seguito denominato fondo per il Dopo di noi, tra i quali viene individuato il Comune di Roma Capitale per la gestione degli interventi ricadenti nel suo territorio; </w:t>
      </w:r>
    </w:p>
    <w:p w:rsidR="00EA324F" w:rsidRPr="006B0B81" w:rsidRDefault="00EA324F" w:rsidP="00EA324F">
      <w:pPr>
        <w:spacing w:after="0" w:line="20" w:lineRule="atLeast"/>
        <w:jc w:val="both"/>
        <w:rPr>
          <w:rFonts w:cstheme="minorHAnsi"/>
        </w:rPr>
      </w:pPr>
      <w:r w:rsidRPr="006B0B81">
        <w:rPr>
          <w:rFonts w:cstheme="minorHAnsi"/>
        </w:rPr>
        <w:t xml:space="preserve">b) </w:t>
      </w:r>
      <w:proofErr w:type="gramStart"/>
      <w:r w:rsidRPr="006B0B81">
        <w:rPr>
          <w:rFonts w:cstheme="minorHAnsi"/>
        </w:rPr>
        <w:t>finalizza  l</w:t>
      </w:r>
      <w:proofErr w:type="gramEnd"/>
      <w:r w:rsidRPr="006B0B81">
        <w:rPr>
          <w:rFonts w:cstheme="minorHAnsi"/>
        </w:rPr>
        <w:t xml:space="preserve">‘ importo complessivo di euro 1.454.400 per gli interventi di realizzazione di soluzioni alloggiative di cui all’articolo 5, comma 4, lettera d) del D.M. 23 novembre 2016; </w:t>
      </w:r>
    </w:p>
    <w:p w:rsidR="00EA324F" w:rsidRPr="006B0B81" w:rsidRDefault="00EA324F" w:rsidP="00EA324F">
      <w:pPr>
        <w:spacing w:after="0" w:line="20" w:lineRule="atLeast"/>
        <w:jc w:val="both"/>
        <w:rPr>
          <w:rFonts w:cstheme="minorHAnsi"/>
        </w:rPr>
      </w:pPr>
      <w:r w:rsidRPr="006B0B81">
        <w:rPr>
          <w:rFonts w:cstheme="minorHAnsi"/>
        </w:rPr>
        <w:lastRenderedPageBreak/>
        <w:t>c) stabilisce di ripartire, con successivi atti dirigenziali, le risorse del fondo per il Dopo di noi relative all’annualità 2017, assegnate alla Regione Lazio, con gli stessi criteri utilizzati per l’annualità 2016;</w:t>
      </w:r>
    </w:p>
    <w:p w:rsidR="00EA324F" w:rsidRPr="006B0B81" w:rsidRDefault="00EA324F" w:rsidP="00EA324F">
      <w:pPr>
        <w:spacing w:after="0" w:line="20" w:lineRule="atLeast"/>
        <w:jc w:val="both"/>
        <w:rPr>
          <w:rFonts w:cstheme="minorHAnsi"/>
        </w:rPr>
      </w:pPr>
      <w:r w:rsidRPr="006B0B81">
        <w:rPr>
          <w:rFonts w:cstheme="minorHAnsi"/>
        </w:rPr>
        <w:t xml:space="preserve"> d) delega il Direttore della Direzione competente a predisporre gli atti conseguenti </w:t>
      </w:r>
      <w:proofErr w:type="gramStart"/>
      <w:r w:rsidRPr="006B0B81">
        <w:rPr>
          <w:rFonts w:cstheme="minorHAnsi"/>
        </w:rPr>
        <w:t>per  l</w:t>
      </w:r>
      <w:proofErr w:type="gramEnd"/>
      <w:r w:rsidRPr="006B0B81">
        <w:rPr>
          <w:rFonts w:cstheme="minorHAnsi"/>
        </w:rPr>
        <w:t xml:space="preserve">‘attuazione della deliberazione; </w:t>
      </w:r>
    </w:p>
    <w:p w:rsidR="00EA324F" w:rsidRPr="006B0B81" w:rsidRDefault="00EA324F" w:rsidP="00EA324F">
      <w:pPr>
        <w:spacing w:after="0" w:line="20" w:lineRule="atLeast"/>
        <w:jc w:val="both"/>
        <w:rPr>
          <w:rFonts w:cstheme="minorHAnsi"/>
        </w:rPr>
      </w:pPr>
      <w:r w:rsidRPr="006B0B81">
        <w:rPr>
          <w:rFonts w:cstheme="minorHAnsi"/>
        </w:rPr>
        <w:t xml:space="preserve">  - la determinazione dirigenziale G18395 del 22 dicembre 2017 con la quale la Regione Lazio ha ripartito le risorse statali del fondo per il Dopo di noi per il 2017, destinando alla realizzazione degli interventi di cui all’articolo 5, comma 4, lettera d) del D.M. 23 novembre 2016, di seguito denominati interventi per soluzioni alloggiative, la somma ulteriore di Euro 618.928,00; </w:t>
      </w:r>
    </w:p>
    <w:p w:rsidR="00EA324F" w:rsidRPr="006B0B81" w:rsidRDefault="00EA324F" w:rsidP="00EA324F">
      <w:pPr>
        <w:spacing w:after="0" w:line="20" w:lineRule="atLeast"/>
        <w:jc w:val="both"/>
        <w:rPr>
          <w:rFonts w:cstheme="minorHAnsi"/>
        </w:rPr>
      </w:pPr>
      <w:r w:rsidRPr="006B0B81">
        <w:rPr>
          <w:rFonts w:cstheme="minorHAnsi"/>
        </w:rPr>
        <w:t xml:space="preserve"> - la determinazione dirigenziale G15288 del 27 novembre 2018 con la quale la Regione Lazio ha trasferito le risorse statali del fondo per il Dopo di noi assegnate agli Ambiti sovradistrettuali e al Comune di Roma Capitale per le annualità 2016-17, relative “interventi di realizzazione di innovative soluzioni alloggiative mediante il possibile pagamento degli oneri di acquisto, di locazione, di ristrutturazione e di messa in opera degli impianti e delle attrezzature necessari per il funzionamento degli alloggi medesimi” di cui all’articolo 5, comma 4, lettera d) del D.M. 23 novembre 2016.</w:t>
      </w:r>
    </w:p>
    <w:p w:rsidR="00EA324F" w:rsidRPr="006B0B81" w:rsidRDefault="00EA324F" w:rsidP="00EA324F">
      <w:pPr>
        <w:spacing w:after="0" w:line="20" w:lineRule="atLeast"/>
        <w:jc w:val="both"/>
        <w:rPr>
          <w:rFonts w:cstheme="minorHAnsi"/>
          <w:b/>
        </w:rPr>
      </w:pPr>
      <w:r w:rsidRPr="006B0B81">
        <w:rPr>
          <w:rFonts w:cstheme="minorHAnsi"/>
        </w:rPr>
        <w:t xml:space="preserve"> </w:t>
      </w:r>
      <w:r w:rsidRPr="006B0B81">
        <w:rPr>
          <w:rFonts w:cstheme="minorHAnsi"/>
          <w:b/>
        </w:rPr>
        <w:t>LA SITUAZIONE DI ROMA CAPITALE</w:t>
      </w:r>
    </w:p>
    <w:p w:rsidR="00EA324F" w:rsidRPr="006B0B81" w:rsidRDefault="00EA324F" w:rsidP="00EA324F">
      <w:pPr>
        <w:spacing w:after="0" w:line="20" w:lineRule="atLeast"/>
        <w:jc w:val="both"/>
        <w:rPr>
          <w:rFonts w:cstheme="minorHAnsi"/>
        </w:rPr>
      </w:pPr>
      <w:r w:rsidRPr="006B0B81">
        <w:rPr>
          <w:rFonts w:cstheme="minorHAnsi"/>
        </w:rPr>
        <w:t xml:space="preserve">Con la citata determinazione G15288/2018 la Regione Lazio ha erogato a favore di Roma Capitale l’importo complessivo di euro 1.000.110,24 da utilizzare per la realizzazione degli interventi di </w:t>
      </w:r>
      <w:proofErr w:type="gramStart"/>
      <w:r w:rsidRPr="006B0B81">
        <w:rPr>
          <w:rFonts w:cstheme="minorHAnsi"/>
        </w:rPr>
        <w:t>cui  all</w:t>
      </w:r>
      <w:proofErr w:type="gramEnd"/>
      <w:r w:rsidRPr="006B0B81">
        <w:rPr>
          <w:rFonts w:cstheme="minorHAnsi"/>
        </w:rPr>
        <w:t>‘articolo 5, comma 4, lettera d) del D.M. 23 novembre 2016.</w:t>
      </w:r>
    </w:p>
    <w:p w:rsidR="00EA324F" w:rsidRPr="006B0B81" w:rsidRDefault="00EA324F" w:rsidP="00EA324F">
      <w:pPr>
        <w:spacing w:after="0" w:line="20" w:lineRule="atLeast"/>
        <w:jc w:val="both"/>
        <w:rPr>
          <w:rFonts w:cstheme="minorHAnsi"/>
        </w:rPr>
      </w:pPr>
      <w:r w:rsidRPr="006B0B81">
        <w:rPr>
          <w:rFonts w:cstheme="minorHAnsi"/>
        </w:rPr>
        <w:t xml:space="preserve">Con nota prot. QE20180099859 del 20/12/2018 il Direttore del Dipartimento Politiche Sociali di Roma Capitale ha chiesto che la Regione Lazio riprendesse in carico le azioni di realizzazione degli interventi per le soluzioni alloggiative relative all’ambito territoriale di Roma Capitale “data la complessità delle competenze amministrative, tecniche e contabili sugli interventi di ristrutturazione degli immobili, previsti all‟art. 5, comma 4, lettera d) del D.M. del 23 novembre 2016” e in considerazione del’‟allungamento dei tempi che le procedure necessarie all’attivazione di questi interventi comporterebbero. </w:t>
      </w:r>
    </w:p>
    <w:p w:rsidR="00EA324F" w:rsidRPr="006B0B81" w:rsidRDefault="00EA324F" w:rsidP="00EA324F">
      <w:pPr>
        <w:spacing w:after="0" w:line="20" w:lineRule="atLeast"/>
        <w:jc w:val="both"/>
        <w:rPr>
          <w:rFonts w:cstheme="minorHAnsi"/>
          <w:b/>
        </w:rPr>
      </w:pPr>
      <w:r w:rsidRPr="006B0B81">
        <w:rPr>
          <w:rFonts w:cstheme="minorHAnsi"/>
          <w:b/>
        </w:rPr>
        <w:t>LE CONSEGUENZE</w:t>
      </w:r>
    </w:p>
    <w:p w:rsidR="00EA324F" w:rsidRPr="006B0B81" w:rsidRDefault="00EA324F" w:rsidP="00EA324F">
      <w:pPr>
        <w:spacing w:after="0" w:line="20" w:lineRule="atLeast"/>
        <w:jc w:val="both"/>
        <w:rPr>
          <w:rFonts w:cstheme="minorHAnsi"/>
        </w:rPr>
      </w:pPr>
      <w:proofErr w:type="gramStart"/>
      <w:r w:rsidRPr="006B0B81">
        <w:rPr>
          <w:rFonts w:cstheme="minorHAnsi"/>
        </w:rPr>
        <w:t>Si  provvede</w:t>
      </w:r>
      <w:proofErr w:type="gramEnd"/>
      <w:r w:rsidRPr="006B0B81">
        <w:rPr>
          <w:rFonts w:cstheme="minorHAnsi"/>
        </w:rPr>
        <w:t xml:space="preserve"> alla revoca del finanziamento assegnato al Comune di Roma Capitale con determinazione dirigenziale G15288/2019 G/2017 per la realizzazione delle attività di cui per l’importo di Euro 1.000.110,24 </w:t>
      </w:r>
    </w:p>
    <w:p w:rsidR="00EA324F" w:rsidRPr="006B0B81" w:rsidRDefault="00EA324F" w:rsidP="00EA324F">
      <w:pPr>
        <w:spacing w:after="0" w:line="20" w:lineRule="atLeast"/>
        <w:jc w:val="both"/>
        <w:rPr>
          <w:rFonts w:cstheme="minorHAnsi"/>
        </w:rPr>
      </w:pPr>
      <w:proofErr w:type="gramStart"/>
      <w:r w:rsidRPr="006B0B81">
        <w:rPr>
          <w:rFonts w:cstheme="minorHAnsi"/>
        </w:rPr>
        <w:t>Viene  stabilito</w:t>
      </w:r>
      <w:proofErr w:type="gramEnd"/>
      <w:r w:rsidRPr="006B0B81">
        <w:rPr>
          <w:rFonts w:cstheme="minorHAnsi"/>
        </w:rPr>
        <w:t xml:space="preserve"> in 60 (sessanta) giorni dalla notifica del presente atto il termine ultimo per la restituzione dell’importo di Euro 1.000.110,24 da parte del Comune di Roma Capitale.</w:t>
      </w:r>
    </w:p>
    <w:p w:rsidR="00EA324F" w:rsidRPr="006B0B81" w:rsidRDefault="00EA324F" w:rsidP="00EA324F">
      <w:pPr>
        <w:spacing w:after="0" w:line="20" w:lineRule="atLeast"/>
        <w:jc w:val="both"/>
        <w:rPr>
          <w:rFonts w:cstheme="minorHAnsi"/>
        </w:rPr>
      </w:pPr>
      <w:r w:rsidRPr="006B0B81">
        <w:rPr>
          <w:rFonts w:cstheme="minorHAnsi"/>
        </w:rPr>
        <w:t>Decorso inutilmente detto termine, qualora Comune di Roma Capitale non abbia provveduto alla restituzione della citata somma, si procederà, nei modi e nei termini di legge, in attuazione della DGR n. 274/2017, al recupero mediante l’istituto della compensazione o alla riscossione coattiva dell’importo, mediante iscrizione a ruolo, ai sensi della normativa vigente.</w:t>
      </w:r>
    </w:p>
    <w:p w:rsidR="00EA324F" w:rsidRDefault="00EA324F" w:rsidP="006D04AE">
      <w:pPr>
        <w:spacing w:after="0" w:line="20" w:lineRule="atLeast"/>
        <w:jc w:val="both"/>
        <w:rPr>
          <w:rFonts w:cstheme="minorHAnsi"/>
          <w:b/>
        </w:rPr>
      </w:pPr>
    </w:p>
    <w:p w:rsidR="008276FE" w:rsidRPr="006B0B81" w:rsidRDefault="008276FE" w:rsidP="008276FE">
      <w:pPr>
        <w:spacing w:after="0" w:line="20" w:lineRule="atLeast"/>
        <w:jc w:val="both"/>
        <w:rPr>
          <w:rFonts w:cstheme="minorHAnsi"/>
        </w:rPr>
      </w:pPr>
      <w:r w:rsidRPr="006B0B81">
        <w:rPr>
          <w:rFonts w:cstheme="minorHAnsi"/>
          <w:b/>
        </w:rPr>
        <w:t>Determinazione 9 luglio 2019, n. G09359</w:t>
      </w:r>
      <w:r w:rsidRPr="006B0B81">
        <w:rPr>
          <w:rFonts w:cstheme="minorHAnsi"/>
        </w:rPr>
        <w:t xml:space="preserve"> Decreto direttoriale n. 134/2013. Bando ministeriale per la sperimentazione del modello di intervento in materia di vita indipendente ed inclusione nella società delle persone con disabilità. Finanziamento statale complessivo di euro 320.000,00. Impegno di spesa di euro 103.945,00, saldo del finanziamento concesso, sul cap. H41131 (Missione 12 – Programma 02), esercizio finanziario 2019. (BUR n. 63 del 6.8.19)</w:t>
      </w:r>
    </w:p>
    <w:p w:rsidR="008276FE" w:rsidRPr="006B0B81" w:rsidRDefault="008276FE" w:rsidP="008276FE">
      <w:pPr>
        <w:spacing w:after="0" w:line="20" w:lineRule="atLeast"/>
        <w:jc w:val="both"/>
        <w:rPr>
          <w:rFonts w:cstheme="minorHAnsi"/>
          <w:b/>
        </w:rPr>
      </w:pPr>
      <w:r w:rsidRPr="006B0B81">
        <w:rPr>
          <w:rFonts w:cstheme="minorHAnsi"/>
          <w:b/>
        </w:rPr>
        <w:t xml:space="preserve">RIFERIMENTI NORMATIVI ED AMMINISTRATIVI </w:t>
      </w:r>
    </w:p>
    <w:p w:rsidR="008276FE" w:rsidRPr="006B0B81" w:rsidRDefault="008276FE" w:rsidP="008276FE">
      <w:pPr>
        <w:spacing w:after="0" w:line="20" w:lineRule="atLeast"/>
        <w:jc w:val="both"/>
        <w:rPr>
          <w:rFonts w:cstheme="minorHAnsi"/>
        </w:rPr>
      </w:pPr>
      <w:r w:rsidRPr="006B0B81">
        <w:rPr>
          <w:rFonts w:cstheme="minorHAnsi"/>
        </w:rPr>
        <w:t xml:space="preserve">Legge  5 febbraio 1992, n. 104 “Legge-quadro per l’assistenza, l’integrazione sociale e i diritti delle persone handicappate”, così come modificata dalla legge 21 maggio 1998, n. 162, recante “Modifiche alla legge 5 febbraio 1992, n. 104, concernenti misure di sostegno in favore di persone con handicap grave”; - in particolare, l’art. 39, comma 2, della richiamata legge 104 /1992 che prevede che le regioni possono provvedere, sentite le rappresentanze degli enti locali e le principali organizzazioni del privato sociale presenti sul territorio, nei limiti delle proprie disponibilità di bilancio (…) a disciplinare, allo scopo di garantire il diritto ad una vita indipendente alle persone con disabilità permanente e grave limitazione dell’autonomia personale nello svolgimento di una o più funzioni essenziali della vita, non superabili mediante ausili tecnici, le modalità di realizzazione di programmi di aiuto alla persona, gestiti in forma indiretta, anche mediante piani personalizzati per soggetti che ne facciano richiesta, con verifica delle prestazioni erogate e della loro efficacia (lett l-ter); - la legge 3 marzo 2009, n. 18 che recepisce la Convenzione delle Nazioni Unite sui diritti delle persone con disabilità, approvata dall’Assemblea Generale nel 2009; </w:t>
      </w:r>
    </w:p>
    <w:p w:rsidR="008276FE" w:rsidRPr="006B0B81" w:rsidRDefault="008276FE" w:rsidP="008276FE">
      <w:pPr>
        <w:spacing w:after="0" w:line="20" w:lineRule="atLeast"/>
        <w:jc w:val="both"/>
        <w:rPr>
          <w:rFonts w:cstheme="minorHAnsi"/>
        </w:rPr>
      </w:pPr>
      <w:r w:rsidRPr="006B0B81">
        <w:rPr>
          <w:rFonts w:cstheme="minorHAnsi"/>
        </w:rPr>
        <w:lastRenderedPageBreak/>
        <w:t>Decreto del Presidente della Repubblica 4 ottobre 2013, registrato presso la Corte dei Conti in data 21 novembre 2013, reg.14, fog.260, che adotta il Programma di azione biennale per la promozione dei diritti e l’integrazione delle persone con disabilità in attuazione della legislazione nazionale ed internazionale, ai sensi dell’art. 5, comma 3, della legge del 3 marzo 2009, n 18; - in particolare, la linea di azione numero 3 “Politiche, servizi e modelli organizzativi per la vita indipendente e l’inclusione nella società”, del richiamato Programma di azione;</w:t>
      </w:r>
    </w:p>
    <w:p w:rsidR="008276FE" w:rsidRPr="006B0B81" w:rsidRDefault="008276FE" w:rsidP="008276FE">
      <w:pPr>
        <w:spacing w:after="0" w:line="20" w:lineRule="atLeast"/>
        <w:jc w:val="both"/>
        <w:rPr>
          <w:rFonts w:cstheme="minorHAnsi"/>
        </w:rPr>
      </w:pPr>
      <w:r w:rsidRPr="006B0B81">
        <w:rPr>
          <w:rFonts w:cstheme="minorHAnsi"/>
        </w:rPr>
        <w:t xml:space="preserve">Decreto direttoriale della Direzione Generale per l'Inclusione e le Politiche Sociali del Ministero del lavoro e delle politiche sociali del 31 ottobre 2013, n. 134, con il quale sono state adottate le Linee Guida per la presentazione, da parte delle regioni, di </w:t>
      </w:r>
      <w:proofErr w:type="gramStart"/>
      <w:r w:rsidRPr="006B0B81">
        <w:rPr>
          <w:rFonts w:cstheme="minorHAnsi"/>
        </w:rPr>
        <w:t>progetti  sperimentali</w:t>
      </w:r>
      <w:proofErr w:type="gramEnd"/>
      <w:r w:rsidRPr="006B0B81">
        <w:rPr>
          <w:rFonts w:cstheme="minorHAnsi"/>
        </w:rPr>
        <w:t xml:space="preserve"> in materia di vita indipendente ed inclusione nella società delle persone con disabilità, finanziati con risorse del bilancio statale 2013; </w:t>
      </w:r>
    </w:p>
    <w:p w:rsidR="008276FE" w:rsidRPr="006B0B81" w:rsidRDefault="008276FE" w:rsidP="008276FE">
      <w:pPr>
        <w:spacing w:after="0" w:line="20" w:lineRule="atLeast"/>
        <w:jc w:val="both"/>
        <w:rPr>
          <w:rFonts w:cstheme="minorHAnsi"/>
        </w:rPr>
      </w:pPr>
      <w:r w:rsidRPr="006B0B81">
        <w:rPr>
          <w:rFonts w:cstheme="minorHAnsi"/>
        </w:rPr>
        <w:t>Decreto direttoriale della suindicata Direzione del 10 dicembre 2013, n. 206, con cui si approva l’elenco degli ambiti territoriali regionali ammessi a finanziamento statale, che, nello specifico, per la Regione Lazio sono quattro, con il riconoscimento per le relative progettualità di un importo statale complessivo di euro 320.000,00</w:t>
      </w:r>
    </w:p>
    <w:p w:rsidR="008276FE" w:rsidRPr="006B0B81" w:rsidRDefault="008276FE" w:rsidP="008276FE">
      <w:pPr>
        <w:spacing w:after="0" w:line="20" w:lineRule="atLeast"/>
        <w:jc w:val="both"/>
        <w:rPr>
          <w:rFonts w:cstheme="minorHAnsi"/>
          <w:b/>
        </w:rPr>
      </w:pPr>
      <w:r w:rsidRPr="006B0B81">
        <w:rPr>
          <w:rFonts w:cstheme="minorHAnsi"/>
          <w:b/>
        </w:rPr>
        <w:t>I DISTRETTI INDIVIDUATI</w:t>
      </w:r>
    </w:p>
    <w:p w:rsidR="008276FE" w:rsidRPr="006B0B81" w:rsidRDefault="008276FE" w:rsidP="008276FE">
      <w:pPr>
        <w:spacing w:after="0" w:line="20" w:lineRule="atLeast"/>
        <w:jc w:val="both"/>
        <w:rPr>
          <w:rFonts w:cstheme="minorHAnsi"/>
        </w:rPr>
      </w:pPr>
      <w:r w:rsidRPr="006B0B81">
        <w:rPr>
          <w:rFonts w:cstheme="minorHAnsi"/>
        </w:rPr>
        <w:t xml:space="preserve">I quattro distretti socio sanitari ammessi a finanziamento statale con decreto n. 206/2013 sono: </w:t>
      </w:r>
    </w:p>
    <w:p w:rsidR="008276FE" w:rsidRPr="006B0B81" w:rsidRDefault="008276FE" w:rsidP="008276FE">
      <w:pPr>
        <w:spacing w:after="0" w:line="20" w:lineRule="atLeast"/>
        <w:jc w:val="both"/>
        <w:rPr>
          <w:rFonts w:cstheme="minorHAnsi"/>
        </w:rPr>
      </w:pPr>
      <w:r w:rsidRPr="006B0B81">
        <w:rPr>
          <w:rFonts w:cstheme="minorHAnsi"/>
        </w:rPr>
        <w:t xml:space="preserve">1) Roma Capitale, progettualità Municipio V, </w:t>
      </w:r>
    </w:p>
    <w:p w:rsidR="008276FE" w:rsidRPr="006B0B81" w:rsidRDefault="008276FE" w:rsidP="008276FE">
      <w:pPr>
        <w:spacing w:after="0" w:line="20" w:lineRule="atLeast"/>
        <w:jc w:val="both"/>
        <w:rPr>
          <w:rFonts w:cstheme="minorHAnsi"/>
        </w:rPr>
      </w:pPr>
      <w:r w:rsidRPr="006B0B81">
        <w:rPr>
          <w:rFonts w:cstheme="minorHAnsi"/>
        </w:rPr>
        <w:t xml:space="preserve">2) Roma Capitale, progettualità Municipio VI, </w:t>
      </w:r>
    </w:p>
    <w:p w:rsidR="008276FE" w:rsidRPr="006B0B81" w:rsidRDefault="008276FE" w:rsidP="008276FE">
      <w:pPr>
        <w:spacing w:after="0" w:line="20" w:lineRule="atLeast"/>
        <w:jc w:val="both"/>
        <w:rPr>
          <w:rFonts w:cstheme="minorHAnsi"/>
        </w:rPr>
      </w:pPr>
      <w:r w:rsidRPr="006B0B81">
        <w:rPr>
          <w:rFonts w:cstheme="minorHAnsi"/>
        </w:rPr>
        <w:t xml:space="preserve">3) RM 6.1 - Comune Capofila Monte Porzio Catone, </w:t>
      </w:r>
    </w:p>
    <w:p w:rsidR="008276FE" w:rsidRPr="006B0B81" w:rsidRDefault="008276FE" w:rsidP="008276FE">
      <w:pPr>
        <w:spacing w:after="0" w:line="20" w:lineRule="atLeast"/>
        <w:jc w:val="both"/>
        <w:rPr>
          <w:rFonts w:cstheme="minorHAnsi"/>
        </w:rPr>
      </w:pPr>
      <w:r w:rsidRPr="006B0B81">
        <w:rPr>
          <w:rFonts w:cstheme="minorHAnsi"/>
        </w:rPr>
        <w:t>4) VT 5 - Comune Capofila Nepi.</w:t>
      </w:r>
    </w:p>
    <w:p w:rsidR="008276FE" w:rsidRPr="006B0B81" w:rsidRDefault="008276FE" w:rsidP="008276FE">
      <w:pPr>
        <w:spacing w:after="0" w:line="20" w:lineRule="atLeast"/>
        <w:jc w:val="both"/>
        <w:rPr>
          <w:rFonts w:cstheme="minorHAnsi"/>
          <w:b/>
        </w:rPr>
      </w:pPr>
      <w:r w:rsidRPr="006B0B81">
        <w:rPr>
          <w:rFonts w:cstheme="minorHAnsi"/>
          <w:b/>
        </w:rPr>
        <w:t xml:space="preserve">LA DISPOSIZIONE </w:t>
      </w:r>
    </w:p>
    <w:p w:rsidR="008276FE" w:rsidRPr="006B0B81" w:rsidRDefault="008276FE" w:rsidP="008276FE">
      <w:pPr>
        <w:spacing w:after="0" w:line="20" w:lineRule="atLeast"/>
        <w:jc w:val="both"/>
        <w:rPr>
          <w:rFonts w:cstheme="minorHAnsi"/>
        </w:rPr>
      </w:pPr>
      <w:r w:rsidRPr="006B0B81">
        <w:rPr>
          <w:rFonts w:cstheme="minorHAnsi"/>
        </w:rPr>
        <w:t xml:space="preserve">Viene impegnata in favore dei seguenti distretti socio sanitari, quale saldo del finanziamento statale per la progettualità territoriale - Vita Indipendente 2013 l’importo indicato per ciascuno, per una spesa complessiva di euro 103.945,00. </w:t>
      </w:r>
    </w:p>
    <w:p w:rsidR="008276FE" w:rsidRDefault="008276FE" w:rsidP="006D04AE">
      <w:pPr>
        <w:spacing w:after="0" w:line="20" w:lineRule="atLeast"/>
        <w:jc w:val="both"/>
        <w:rPr>
          <w:rFonts w:cstheme="minorHAnsi"/>
          <w:b/>
        </w:rPr>
      </w:pPr>
    </w:p>
    <w:p w:rsidR="00FD1C5E" w:rsidRDefault="00FD1C5E" w:rsidP="00FD1C5E">
      <w:pPr>
        <w:spacing w:after="0" w:line="20" w:lineRule="atLeast"/>
        <w:jc w:val="both"/>
        <w:rPr>
          <w:rFonts w:cstheme="minorHAnsi"/>
        </w:rPr>
      </w:pPr>
      <w:r w:rsidRPr="006B0B81">
        <w:rPr>
          <w:rFonts w:cstheme="minorHAnsi"/>
          <w:b/>
        </w:rPr>
        <w:t>Determinazione 9 luglio 2019, n. G09360</w:t>
      </w:r>
      <w:r w:rsidRPr="006B0B81">
        <w:rPr>
          <w:rFonts w:cstheme="minorHAnsi"/>
        </w:rPr>
        <w:t xml:space="preserve"> Decreto direttoriale n. 276/2016. Bando ministeriale per la sperimentazione del modello di intervento in materia di vita indipendente ed inclusione nella società delle persone con disabilità. Finanziamento statale, impegno di spesa di euro 880.000,00, sul cap. H41131 (Missione 12 – Programma 02), esercizio finanziario 2019</w:t>
      </w:r>
      <w:r>
        <w:rPr>
          <w:rFonts w:cstheme="minorHAnsi"/>
        </w:rPr>
        <w:t xml:space="preserve">. </w:t>
      </w:r>
      <w:r w:rsidRPr="006B0B81">
        <w:rPr>
          <w:rFonts w:cstheme="minorHAnsi"/>
        </w:rPr>
        <w:t>(BUR n. 63 del 6.8.19)</w:t>
      </w:r>
    </w:p>
    <w:p w:rsidR="00FD1C5E" w:rsidRPr="006B0B81" w:rsidRDefault="00FD1C5E" w:rsidP="00FD1C5E">
      <w:pPr>
        <w:spacing w:after="0" w:line="20" w:lineRule="atLeast"/>
        <w:jc w:val="both"/>
        <w:rPr>
          <w:rFonts w:cstheme="minorHAnsi"/>
          <w:b/>
        </w:rPr>
      </w:pPr>
      <w:r w:rsidRPr="006B0B81">
        <w:rPr>
          <w:rFonts w:cstheme="minorHAnsi"/>
          <w:b/>
        </w:rPr>
        <w:t xml:space="preserve">RIFERIMENTI NORMATIVI ED AMMINISTRATIVI </w:t>
      </w:r>
    </w:p>
    <w:p w:rsidR="00FD1C5E" w:rsidRPr="006B0B81" w:rsidRDefault="00FD1C5E" w:rsidP="00FD1C5E">
      <w:pPr>
        <w:spacing w:after="0" w:line="20" w:lineRule="atLeast"/>
        <w:jc w:val="both"/>
        <w:rPr>
          <w:rFonts w:cstheme="minorHAnsi"/>
        </w:rPr>
      </w:pPr>
      <w:r w:rsidRPr="006B0B81">
        <w:rPr>
          <w:rFonts w:cstheme="minorHAnsi"/>
        </w:rPr>
        <w:t>Legge 5 febbraio 1992, n. 104 “Legge-quadro per l’assistenza, l’integrazione sociale e i diritti delle persone handicappate”, così come modificata dalla legge 21 maggio 1998, n. 162, recante “Modifiche alla legge 5 febbraio 1992, n. 104, concernenti misure di sostegno in favore di persone con handicap grave”; - in particolare, l’art. 39, comma 2, della richiamata legge 104 /1992 che prevede che le regioni possono provvedere, sentite le rappresentanze degli enti locali e le principali organizzazioni del privato sociale presenti sul territorio, nei limiti delle proprie disponibilità di bilancio (…) a disciplinare, allo scopo di garantire il diritto ad una vita indipendente alle persone con disabilità permanente e grave limitazione dell’autonomia personale nello svolgimento di una o più funzioni essenziali della vita, non superabili mediante ausili tecnici, le modalità di realizzazione di programmi di aiuto alla persona, gestiti in forma indiretta, anche mediante piani personalizzati per soggetti che ne facciano richiesta, con verifica delle prestazioni erogate e della loro efficacia (lett l-ter);</w:t>
      </w:r>
    </w:p>
    <w:p w:rsidR="00FD1C5E" w:rsidRPr="006B0B81" w:rsidRDefault="00FD1C5E" w:rsidP="00FD1C5E">
      <w:pPr>
        <w:spacing w:after="0" w:line="20" w:lineRule="atLeast"/>
        <w:jc w:val="both"/>
        <w:rPr>
          <w:rFonts w:cstheme="minorHAnsi"/>
        </w:rPr>
      </w:pPr>
      <w:r w:rsidRPr="006B0B81">
        <w:rPr>
          <w:rFonts w:cstheme="minorHAnsi"/>
        </w:rPr>
        <w:t xml:space="preserve">Legge 3 marzo 2009, n. 18 che recepisce la Convenzione delle Nazioni Unite sui diritti delle persone con disabilità, approvata dall’Assemblea Generale nel 2009; - il decreto del Presidente della Repubblica 4 ottobre 2013, registrato presso la Corte dei Conti in data 21 novembre 2013, reg.14, fog.260, che adotta il Programma di azione biennale per la promozione dei diritti e l’integrazione delle persone con disabilità in attuazione della legislazione nazionale ed internazionale, ai sensi dell’art. 5, comma 3, della legge del 3 marzo 2009, n 18; - in particolare, la linea di azione numero 3 “Politiche, servizi e modelli organizzativi per la vita indipendente e l’inclusione nella società”, del richiamato Programma di azione; </w:t>
      </w:r>
    </w:p>
    <w:p w:rsidR="00FD1C5E" w:rsidRPr="006B0B81" w:rsidRDefault="00FD1C5E" w:rsidP="00FD1C5E">
      <w:pPr>
        <w:spacing w:after="0" w:line="20" w:lineRule="atLeast"/>
        <w:jc w:val="both"/>
        <w:rPr>
          <w:rFonts w:cstheme="minorHAnsi"/>
        </w:rPr>
      </w:pPr>
      <w:r w:rsidRPr="006B0B81">
        <w:rPr>
          <w:rFonts w:cstheme="minorHAnsi"/>
        </w:rPr>
        <w:t>Decreto interministeriale del Ministero del lavoro e delle politiche sociali, di concerto con il Ministero dell’economia e delle finanze e con il Ministero della salute del 26 settembre 2016, di riparto delle risorse per l’anno 2016 del Fondo per le non Autosufficienze, a seguito di intesa in Conferenza Unificata in data 11 febbraio 2016, registrato dalla Corte dei Conti in data 8 novembre 2016 al foglio n. 4055 e, pubblicato in Gazzetta Ufficiale n. 280, in data 30 novembre 2016;</w:t>
      </w:r>
    </w:p>
    <w:p w:rsidR="00FD1C5E" w:rsidRPr="006B0B81" w:rsidRDefault="00FD1C5E" w:rsidP="00FD1C5E">
      <w:pPr>
        <w:spacing w:after="0" w:line="20" w:lineRule="atLeast"/>
        <w:jc w:val="both"/>
        <w:rPr>
          <w:rFonts w:cstheme="minorHAnsi"/>
        </w:rPr>
      </w:pPr>
      <w:r w:rsidRPr="006B0B81">
        <w:rPr>
          <w:rFonts w:cstheme="minorHAnsi"/>
        </w:rPr>
        <w:lastRenderedPageBreak/>
        <w:t xml:space="preserve">Decreto direttoriale della Direzione Generale per l'Inclusione e le Politiche Sociali del Ministero del lavoro e delle politiche sociali n. 276 del 21 ottobre 2016, con il quale sono state adottate le Linee Guida per la presentazione, da parte delle regioni, di progetti sperimentali in materia di vita indipendente ed inclusione nella società delle persone con disabilità, finanziati con risorse del bilancio statale 2016; </w:t>
      </w:r>
    </w:p>
    <w:p w:rsidR="00FD1C5E" w:rsidRPr="006B0B81" w:rsidRDefault="00FD1C5E" w:rsidP="00FD1C5E">
      <w:pPr>
        <w:spacing w:after="0" w:line="20" w:lineRule="atLeast"/>
        <w:jc w:val="both"/>
        <w:rPr>
          <w:rFonts w:cstheme="minorHAnsi"/>
        </w:rPr>
      </w:pPr>
      <w:r w:rsidRPr="006B0B81">
        <w:rPr>
          <w:rFonts w:cstheme="minorHAnsi"/>
        </w:rPr>
        <w:t>Decreto direttoriale del 15 dicembre 2016 n. 429, della Direzione Generale per l’Inclusione e le Politiche Sociali del suindicato Ministero, che approva l’elenco degli ambiti territoriali regionali ammessi a finanziamento statale.</w:t>
      </w:r>
    </w:p>
    <w:p w:rsidR="00FD1C5E" w:rsidRPr="006B0B81" w:rsidRDefault="00FD1C5E" w:rsidP="00FD1C5E">
      <w:pPr>
        <w:spacing w:after="0" w:line="20" w:lineRule="atLeast"/>
        <w:jc w:val="both"/>
        <w:rPr>
          <w:rFonts w:cstheme="minorHAnsi"/>
          <w:b/>
        </w:rPr>
      </w:pPr>
      <w:r w:rsidRPr="006B0B81">
        <w:rPr>
          <w:rFonts w:cstheme="minorHAnsi"/>
          <w:b/>
        </w:rPr>
        <w:t xml:space="preserve">LA RICADUTA SULLA REGIONE </w:t>
      </w:r>
    </w:p>
    <w:p w:rsidR="00FD1C5E" w:rsidRPr="006B0B81" w:rsidRDefault="00FD1C5E" w:rsidP="00FD1C5E">
      <w:pPr>
        <w:spacing w:after="0" w:line="20" w:lineRule="atLeast"/>
        <w:jc w:val="both"/>
        <w:rPr>
          <w:rFonts w:cstheme="minorHAnsi"/>
        </w:rPr>
      </w:pPr>
      <w:r w:rsidRPr="006B0B81">
        <w:rPr>
          <w:rFonts w:cstheme="minorHAnsi"/>
        </w:rPr>
        <w:t xml:space="preserve">Nello specifico, per la Regione Lazio sono stati approvate </w:t>
      </w:r>
      <w:proofErr w:type="gramStart"/>
      <w:r w:rsidRPr="006B0B81">
        <w:rPr>
          <w:rFonts w:cstheme="minorHAnsi"/>
        </w:rPr>
        <w:t>ventitré  progettualità</w:t>
      </w:r>
      <w:proofErr w:type="gramEnd"/>
      <w:r w:rsidRPr="006B0B81">
        <w:rPr>
          <w:rFonts w:cstheme="minorHAnsi"/>
        </w:rPr>
        <w:t xml:space="preserve"> per un importo complessivo di risorse statali di euro 1.840.000,00</w:t>
      </w:r>
    </w:p>
    <w:p w:rsidR="00FD1C5E" w:rsidRPr="006B0B81" w:rsidRDefault="00FD1C5E" w:rsidP="00FD1C5E">
      <w:pPr>
        <w:spacing w:after="0" w:line="20" w:lineRule="atLeast"/>
        <w:jc w:val="both"/>
        <w:rPr>
          <w:rFonts w:cstheme="minorHAnsi"/>
        </w:rPr>
      </w:pPr>
    </w:p>
    <w:p w:rsidR="001C6FC1" w:rsidRPr="006B0B81" w:rsidRDefault="001C6FC1" w:rsidP="001C6FC1">
      <w:pPr>
        <w:spacing w:after="0" w:line="20" w:lineRule="atLeast"/>
        <w:jc w:val="both"/>
        <w:rPr>
          <w:rFonts w:cstheme="minorHAnsi"/>
        </w:rPr>
      </w:pPr>
      <w:r w:rsidRPr="006B0B81">
        <w:rPr>
          <w:rFonts w:cstheme="minorHAnsi"/>
          <w:b/>
        </w:rPr>
        <w:t>Determinazione 9 luglio 2019, n. G09362</w:t>
      </w:r>
      <w:r w:rsidRPr="006B0B81">
        <w:rPr>
          <w:rFonts w:cstheme="minorHAnsi"/>
        </w:rPr>
        <w:t xml:space="preserve"> Legge regionale 29 dicembre 2014, n.13 art. 5. Contributo del 20% per l'adattamento di veicoli destinati al trasporto delle persone con disabilità permanente, affette da grave limitazione della capacità di deambulazione. Assegnazione alle Aziende Sanitarie Locali. Annualità 2019 - Impegno di 19.826,22 euro sul capitolo H41955 (Perimetro Sanitario, Missione 12, Programma 2), esercizio finanziario 2019. (BUR n. 63 del 6.8.19)</w:t>
      </w:r>
    </w:p>
    <w:p w:rsidR="001C6FC1" w:rsidRPr="006B0B81" w:rsidRDefault="001C6FC1" w:rsidP="001C6FC1">
      <w:pPr>
        <w:spacing w:after="0" w:line="20" w:lineRule="atLeast"/>
        <w:jc w:val="both"/>
        <w:rPr>
          <w:rFonts w:cstheme="minorHAnsi"/>
          <w:b/>
        </w:rPr>
      </w:pPr>
      <w:r w:rsidRPr="006B0B81">
        <w:rPr>
          <w:rFonts w:cstheme="minorHAnsi"/>
          <w:b/>
        </w:rPr>
        <w:t>Note</w:t>
      </w:r>
    </w:p>
    <w:p w:rsidR="00FD1C5E" w:rsidRDefault="001C6FC1" w:rsidP="001C6FC1">
      <w:pPr>
        <w:spacing w:after="0" w:line="20" w:lineRule="atLeast"/>
        <w:jc w:val="both"/>
        <w:rPr>
          <w:rFonts w:cstheme="minorHAnsi"/>
        </w:rPr>
      </w:pPr>
      <w:r w:rsidRPr="006B0B81">
        <w:rPr>
          <w:rFonts w:cstheme="minorHAnsi"/>
        </w:rPr>
        <w:t>Viene preso atto delle richieste di rimborso, contributo del 20% della spesa sostenuta per la modifica degli strumenti di guida da parte di titolari di patente speciale A, B o C, con incapacità motorie permanenti, ai sensi dell’art. 27, della legge 104/1992, trasmesse dalle Aziende Sanitarie Locali territorialmente competenti ed acquisite dalla struttura regionale alla data del 31 maggio 2019  ed  approvato l’elenco analitico dei richiedenti aventi diritto al contributo, formulato sulla base dei dati trasmessi dalle Aziende Sanitarie Locali; per un importo complessivo di 20.034,13 euro</w:t>
      </w:r>
      <w:r>
        <w:rPr>
          <w:rFonts w:cstheme="minorHAnsi"/>
        </w:rPr>
        <w:t>.</w:t>
      </w:r>
    </w:p>
    <w:p w:rsidR="00EB2C87" w:rsidRDefault="00EB2C87" w:rsidP="001C6FC1">
      <w:pPr>
        <w:spacing w:after="0" w:line="20" w:lineRule="atLeast"/>
        <w:jc w:val="both"/>
        <w:rPr>
          <w:rFonts w:cstheme="minorHAnsi"/>
        </w:rPr>
      </w:pPr>
    </w:p>
    <w:p w:rsidR="005E2973" w:rsidRPr="006B0B81" w:rsidRDefault="00EB2C87" w:rsidP="005E2973">
      <w:pPr>
        <w:spacing w:after="0" w:line="20" w:lineRule="atLeast"/>
        <w:jc w:val="both"/>
        <w:rPr>
          <w:rFonts w:cstheme="minorHAnsi"/>
        </w:rPr>
      </w:pPr>
      <w:r w:rsidRPr="006B0B81">
        <w:rPr>
          <w:rFonts w:cstheme="minorHAnsi"/>
          <w:b/>
        </w:rPr>
        <w:t>Determinazione 10 luglio 2019, n. G</w:t>
      </w:r>
      <w:proofErr w:type="gramStart"/>
      <w:r w:rsidRPr="006B0B81">
        <w:rPr>
          <w:rFonts w:cstheme="minorHAnsi"/>
          <w:b/>
        </w:rPr>
        <w:t>09391</w:t>
      </w:r>
      <w:r w:rsidRPr="006B0B81">
        <w:rPr>
          <w:rFonts w:cstheme="minorHAnsi"/>
        </w:rPr>
        <w:t>,  D.G.R.</w:t>
      </w:r>
      <w:proofErr w:type="gramEnd"/>
      <w:r w:rsidRPr="006B0B81">
        <w:rPr>
          <w:rFonts w:cstheme="minorHAnsi"/>
        </w:rPr>
        <w:t xml:space="preserve"> 692/2018. Accordo di Programma per l'erogazione dei Servizi Educativi in favore dei disabili visivi e pluridisabili. Conferma dell'impegno n. 30470/2019, a saldo, di euro 375.000,00 sul cap. H41924 (Missione 12 – Programma 07), es. fin. 2019, in favore dell'I.P.A.B. "Centro regionale S. Alessio Margherita di Savoia per i Ciechi</w:t>
      </w:r>
      <w:r>
        <w:rPr>
          <w:rFonts w:cstheme="minorHAnsi"/>
        </w:rPr>
        <w:t>.</w:t>
      </w:r>
      <w:r w:rsidR="005E2973">
        <w:rPr>
          <w:rFonts w:cstheme="minorHAnsi"/>
        </w:rPr>
        <w:t xml:space="preserve"> </w:t>
      </w:r>
      <w:r w:rsidR="005E2973" w:rsidRPr="006B0B81">
        <w:rPr>
          <w:rFonts w:cstheme="minorHAnsi"/>
        </w:rPr>
        <w:t>(BUR n. 63 del 6.8.19)</w:t>
      </w:r>
    </w:p>
    <w:p w:rsidR="00EB2C87" w:rsidRPr="007629EA" w:rsidRDefault="00EB2C87" w:rsidP="00EB2C87">
      <w:pPr>
        <w:spacing w:after="0" w:line="20" w:lineRule="atLeast"/>
        <w:jc w:val="both"/>
        <w:rPr>
          <w:rFonts w:cstheme="minorHAnsi"/>
          <w:b/>
        </w:rPr>
      </w:pPr>
      <w:r w:rsidRPr="007629EA">
        <w:rPr>
          <w:rFonts w:cstheme="minorHAnsi"/>
          <w:b/>
        </w:rPr>
        <w:t>Note</w:t>
      </w:r>
    </w:p>
    <w:p w:rsidR="00EB2C87" w:rsidRPr="006B0B81" w:rsidRDefault="00EB2C87" w:rsidP="00EB2C87">
      <w:pPr>
        <w:spacing w:after="0" w:line="20" w:lineRule="atLeast"/>
        <w:jc w:val="both"/>
        <w:rPr>
          <w:rFonts w:cstheme="minorHAnsi"/>
        </w:rPr>
      </w:pPr>
      <w:r w:rsidRPr="006B0B81">
        <w:rPr>
          <w:rFonts w:cstheme="minorHAnsi"/>
        </w:rPr>
        <w:t xml:space="preserve">In relazione al  positivo riscontro della verifica a campione, condotta dagli uffici regionali sulla documentazione contabile conservata agli atti dell’IPAB “Centro Regionale S. Alessio Margherita di Savoia per i Ciechi” ed al  verbale di verifica sottoscritto, in data 31 maggio 2019, dai rappresentanti della Regione Lazio e dell’IPAB “Centro regionale S. Alessio Margherita di Savoia per i Ciechi”, ai sensi di quanto previsto all’art. 5, dell’Accordo di Programma (D.G.R. 692/2018), in cui si dà atto: </w:t>
      </w:r>
    </w:p>
    <w:p w:rsidR="00EB2C87" w:rsidRPr="006B0B81" w:rsidRDefault="00EB2C87" w:rsidP="00EB2C87">
      <w:pPr>
        <w:spacing w:after="0" w:line="20" w:lineRule="atLeast"/>
        <w:jc w:val="both"/>
        <w:rPr>
          <w:rFonts w:cstheme="minorHAnsi"/>
        </w:rPr>
      </w:pPr>
      <w:r w:rsidRPr="006B0B81">
        <w:rPr>
          <w:rFonts w:cstheme="minorHAnsi"/>
        </w:rPr>
        <w:sym w:font="Symbol" w:char="F0FC"/>
      </w:r>
      <w:r w:rsidRPr="006B0B81">
        <w:rPr>
          <w:rFonts w:cstheme="minorHAnsi"/>
        </w:rPr>
        <w:t xml:space="preserve"> </w:t>
      </w:r>
      <w:proofErr w:type="gramStart"/>
      <w:r w:rsidRPr="006B0B81">
        <w:rPr>
          <w:rFonts w:cstheme="minorHAnsi"/>
        </w:rPr>
        <w:t>della</w:t>
      </w:r>
      <w:proofErr w:type="gramEnd"/>
      <w:r w:rsidRPr="006B0B81">
        <w:rPr>
          <w:rFonts w:cstheme="minorHAnsi"/>
        </w:rPr>
        <w:t xml:space="preserve"> completa e conforme attuazione dell’attività oggetto dell’Accordo, </w:t>
      </w:r>
    </w:p>
    <w:p w:rsidR="00EB2C87" w:rsidRPr="006B0B81" w:rsidRDefault="00EB2C87" w:rsidP="00EB2C87">
      <w:pPr>
        <w:spacing w:after="0" w:line="20" w:lineRule="atLeast"/>
        <w:jc w:val="both"/>
        <w:rPr>
          <w:rFonts w:cstheme="minorHAnsi"/>
        </w:rPr>
      </w:pPr>
      <w:r w:rsidRPr="006B0B81">
        <w:rPr>
          <w:rFonts w:cstheme="minorHAnsi"/>
        </w:rPr>
        <w:sym w:font="Symbol" w:char="F0FC"/>
      </w:r>
      <w:r w:rsidRPr="006B0B81">
        <w:rPr>
          <w:rFonts w:cstheme="minorHAnsi"/>
        </w:rPr>
        <w:t xml:space="preserve"> </w:t>
      </w:r>
      <w:proofErr w:type="gramStart"/>
      <w:r w:rsidRPr="006B0B81">
        <w:rPr>
          <w:rFonts w:cstheme="minorHAnsi"/>
        </w:rPr>
        <w:t>degli</w:t>
      </w:r>
      <w:proofErr w:type="gramEnd"/>
      <w:r w:rsidRPr="006B0B81">
        <w:rPr>
          <w:rFonts w:cstheme="minorHAnsi"/>
        </w:rPr>
        <w:t xml:space="preserve"> obiettivi di servizio raggiunti, </w:t>
      </w:r>
    </w:p>
    <w:p w:rsidR="00EB2C87" w:rsidRPr="006B0B81" w:rsidRDefault="00EB2C87" w:rsidP="00EB2C87">
      <w:pPr>
        <w:spacing w:after="0" w:line="20" w:lineRule="atLeast"/>
        <w:jc w:val="both"/>
        <w:rPr>
          <w:rFonts w:cstheme="minorHAnsi"/>
        </w:rPr>
      </w:pPr>
      <w:r w:rsidRPr="006B0B81">
        <w:rPr>
          <w:rFonts w:cstheme="minorHAnsi"/>
        </w:rPr>
        <w:sym w:font="Symbol" w:char="F0FC"/>
      </w:r>
      <w:r w:rsidRPr="006B0B81">
        <w:rPr>
          <w:rFonts w:cstheme="minorHAnsi"/>
        </w:rPr>
        <w:t xml:space="preserve"> </w:t>
      </w:r>
      <w:proofErr w:type="gramStart"/>
      <w:r w:rsidRPr="006B0B81">
        <w:rPr>
          <w:rFonts w:cstheme="minorHAnsi"/>
        </w:rPr>
        <w:t>dell’efficacia</w:t>
      </w:r>
      <w:proofErr w:type="gramEnd"/>
      <w:r w:rsidRPr="006B0B81">
        <w:rPr>
          <w:rFonts w:cstheme="minorHAnsi"/>
        </w:rPr>
        <w:t xml:space="preserve"> degli interventi in rapporto alle aspettative e al grado di soddisfacimento degli utenti stessi e dei familiari, </w:t>
      </w:r>
    </w:p>
    <w:p w:rsidR="00EB2C87" w:rsidRPr="006B0B81" w:rsidRDefault="00EB2C87" w:rsidP="00EB2C87">
      <w:pPr>
        <w:spacing w:after="0" w:line="20" w:lineRule="atLeast"/>
        <w:jc w:val="both"/>
        <w:rPr>
          <w:rFonts w:cstheme="minorHAnsi"/>
        </w:rPr>
      </w:pPr>
      <w:r w:rsidRPr="006B0B81">
        <w:rPr>
          <w:rFonts w:cstheme="minorHAnsi"/>
        </w:rPr>
        <w:sym w:font="Symbol" w:char="F0FC"/>
      </w:r>
      <w:r w:rsidRPr="006B0B81">
        <w:rPr>
          <w:rFonts w:cstheme="minorHAnsi"/>
        </w:rPr>
        <w:t xml:space="preserve"> </w:t>
      </w:r>
      <w:proofErr w:type="gramStart"/>
      <w:r w:rsidRPr="006B0B81">
        <w:rPr>
          <w:rFonts w:cstheme="minorHAnsi"/>
        </w:rPr>
        <w:t>della</w:t>
      </w:r>
      <w:proofErr w:type="gramEnd"/>
      <w:r w:rsidRPr="006B0B81">
        <w:rPr>
          <w:rFonts w:cstheme="minorHAnsi"/>
        </w:rPr>
        <w:t xml:space="preserve"> regolarità dei giustificativi di spesa; </w:t>
      </w:r>
    </w:p>
    <w:p w:rsidR="00EB2C87" w:rsidRPr="006B0B81" w:rsidRDefault="00EB2C87" w:rsidP="00EB2C87">
      <w:pPr>
        <w:spacing w:after="0" w:line="20" w:lineRule="atLeast"/>
        <w:jc w:val="both"/>
        <w:rPr>
          <w:rFonts w:cstheme="minorHAnsi"/>
        </w:rPr>
      </w:pPr>
      <w:proofErr w:type="gramStart"/>
      <w:r w:rsidRPr="006B0B81">
        <w:rPr>
          <w:rFonts w:cstheme="minorHAnsi"/>
        </w:rPr>
        <w:t>Si  procedere</w:t>
      </w:r>
      <w:proofErr w:type="gramEnd"/>
      <w:r w:rsidRPr="006B0B81">
        <w:rPr>
          <w:rFonts w:cstheme="minorHAnsi"/>
        </w:rPr>
        <w:t xml:space="preserve"> alla conferma dell’impegno di euro 375.000,00, in favore dell’IPAB “Centro Regionale S. Alessio Margherita di Savoia per i Ciechi”, a saldo, per l’ultimo trimestre di attività del Piano annuale contemplato nell’Accordo di Programma. </w:t>
      </w:r>
    </w:p>
    <w:p w:rsidR="00EB2C87" w:rsidRDefault="00EB2C87" w:rsidP="001C6FC1">
      <w:pPr>
        <w:spacing w:after="0" w:line="20" w:lineRule="atLeast"/>
        <w:jc w:val="both"/>
        <w:rPr>
          <w:rFonts w:cstheme="minorHAnsi"/>
          <w:b/>
        </w:rPr>
      </w:pPr>
    </w:p>
    <w:p w:rsidR="00967AAF" w:rsidRPr="006B0B81" w:rsidRDefault="00967AAF" w:rsidP="00967AAF">
      <w:pPr>
        <w:spacing w:after="0" w:line="20" w:lineRule="atLeast"/>
        <w:jc w:val="both"/>
        <w:rPr>
          <w:rFonts w:cstheme="minorHAnsi"/>
        </w:rPr>
      </w:pPr>
      <w:r w:rsidRPr="006B0B81">
        <w:rPr>
          <w:rFonts w:cstheme="minorHAnsi"/>
          <w:b/>
        </w:rPr>
        <w:t xml:space="preserve">DGR 16 luglio 2019, n. </w:t>
      </w:r>
      <w:proofErr w:type="gramStart"/>
      <w:r w:rsidRPr="006B0B81">
        <w:rPr>
          <w:rFonts w:cstheme="minorHAnsi"/>
          <w:b/>
        </w:rPr>
        <w:t>476</w:t>
      </w:r>
      <w:r w:rsidRPr="006B0B81">
        <w:rPr>
          <w:rFonts w:cstheme="minorHAnsi"/>
        </w:rPr>
        <w:t>,  Decreto</w:t>
      </w:r>
      <w:proofErr w:type="gramEnd"/>
      <w:r w:rsidRPr="006B0B81">
        <w:rPr>
          <w:rFonts w:cstheme="minorHAnsi"/>
        </w:rPr>
        <w:t xml:space="preserve"> Direttore Generale del Ministero del lavoro e delle politiche sociali del 28 dicembre 2018, n. 669. Adesione alla sperimentazione del modello di intervento in materia di vita indipendente ed inclusione nella società delle persone con disabilità, bando anno 2018. Finanziamento ministeriale di 1.440.000,00. Cofinanziamento regionale obbligatorio ai costi progettuali del 20%, euro 360.000,00 sul cap. C11103, esercizio finanziario 2019. (BUR n. 64 dell’8.8.19)</w:t>
      </w:r>
    </w:p>
    <w:p w:rsidR="00967AAF" w:rsidRPr="007629EA" w:rsidRDefault="00967AAF" w:rsidP="00967AAF">
      <w:pPr>
        <w:spacing w:after="0" w:line="20" w:lineRule="atLeast"/>
        <w:jc w:val="both"/>
        <w:rPr>
          <w:rFonts w:cstheme="minorHAnsi"/>
          <w:b/>
        </w:rPr>
      </w:pPr>
      <w:r w:rsidRPr="007629EA">
        <w:rPr>
          <w:rFonts w:cstheme="minorHAnsi"/>
          <w:b/>
        </w:rPr>
        <w:t>RIFERIMENTI NORMATIVI ED AMMINISTRATIVI</w:t>
      </w:r>
    </w:p>
    <w:p w:rsidR="00967AAF" w:rsidRPr="006B0B81" w:rsidRDefault="00967AAF" w:rsidP="00967AAF">
      <w:pPr>
        <w:spacing w:after="0" w:line="20" w:lineRule="atLeast"/>
        <w:jc w:val="both"/>
        <w:rPr>
          <w:rFonts w:cstheme="minorHAnsi"/>
        </w:rPr>
      </w:pPr>
      <w:r w:rsidRPr="006B0B81">
        <w:rPr>
          <w:rFonts w:cstheme="minorHAnsi"/>
        </w:rPr>
        <w:t>Decreto legislativo 31 marzo 1998, n. 112 “Conferimento di funzioni e compiti amministrativi dello Stato alle regioni ed agli enti locali, in attuazione del capo I della legge del 15 marzo 1997, n. 59”; -</w:t>
      </w:r>
    </w:p>
    <w:p w:rsidR="00967AAF" w:rsidRPr="006B0B81" w:rsidRDefault="00967AAF" w:rsidP="00967AAF">
      <w:pPr>
        <w:spacing w:after="0" w:line="20" w:lineRule="atLeast"/>
        <w:jc w:val="both"/>
        <w:rPr>
          <w:rFonts w:cstheme="minorHAnsi"/>
        </w:rPr>
      </w:pPr>
      <w:r w:rsidRPr="006B0B81">
        <w:rPr>
          <w:rFonts w:cstheme="minorHAnsi"/>
        </w:rPr>
        <w:t xml:space="preserve">Legge 8 novembre 2000, n. 328 “Legge quadro per la realizzazione del sistema integrato di interventi e servizi sociali”; </w:t>
      </w:r>
    </w:p>
    <w:p w:rsidR="00967AAF" w:rsidRPr="006B0B81" w:rsidRDefault="00967AAF" w:rsidP="00967AAF">
      <w:pPr>
        <w:spacing w:after="0" w:line="20" w:lineRule="atLeast"/>
        <w:jc w:val="both"/>
        <w:rPr>
          <w:rFonts w:cstheme="minorHAnsi"/>
        </w:rPr>
      </w:pPr>
      <w:r w:rsidRPr="006B0B81">
        <w:rPr>
          <w:rFonts w:cstheme="minorHAnsi"/>
        </w:rPr>
        <w:lastRenderedPageBreak/>
        <w:t xml:space="preserve">Legge regionale 10 agosto 2016, n. 11 “Sistema integrato degli interventi e dei servizi sociali della Regione Lazio”, in particolare, le disposizioni in merito alla promozione di interventi volti a sostenere la vita indipendente delle persone in condizione di non autosufficienza o con limitata autonomia, attraverso l’attivazione di servizi che favoriscano l’autonomia, il mantenimento a domicilio e il sostegno alle famiglie;- il Piano sociale regionale denominato “Prendersi cura, un bene comune”, approvato dal Consiglio regionale del Lazio in data 24 gennaio 2019, con deliberazione n. 1; </w:t>
      </w:r>
    </w:p>
    <w:p w:rsidR="00967AAF" w:rsidRPr="006B0B81" w:rsidRDefault="00967AAF" w:rsidP="00967AAF">
      <w:pPr>
        <w:spacing w:after="0" w:line="20" w:lineRule="atLeast"/>
        <w:jc w:val="both"/>
        <w:rPr>
          <w:rFonts w:cstheme="minorHAnsi"/>
        </w:rPr>
      </w:pPr>
      <w:r w:rsidRPr="006B0B81">
        <w:rPr>
          <w:rFonts w:cstheme="minorHAnsi"/>
        </w:rPr>
        <w:t>Legge 5 febbraio 1992, n. 104 “Legge-quadro per l’assistenza, l’integrazione sociale e i diritti delle persone handicappate”, così come modificata dalla legge 21 maggio 1998, n. 162, recante “Modifiche alla legge 5 febbraio 1992, n. 104, concernenti misure di sostegno in favore di persone con handicap grave”; - in particolare, l’articolo 39, comma 2, della richiamata legge 5 febbraio 1992, n. 104 che prevede che le regioni possono provvedere, sentite le rappresentanze degli enti locali e le principali organizzazioni del privato sociale presenti sul territorio, nei limiti delle proprie disponibilità di bilancio (…) a disciplinare, allo scopo di garantire il diritto ad una vita indipendente alle persone con disabilità permanente e grave limitazione dell’autonomia personale nello svolgimento di una o più funzioni essenziali della vita, non superabili mediante ausili tecnici, le modalità di realizzazione di programmi di aiuto alla persona, gestiti in forma indiretta, anche mediante piani personalizzati per soggetti che ne facciano richiesta, con verifica delle prestazioni erogate e della loro efficacia (lett. l-ter);</w:t>
      </w:r>
    </w:p>
    <w:p w:rsidR="00967AAF" w:rsidRPr="006B0B81" w:rsidRDefault="00967AAF" w:rsidP="00967AAF">
      <w:pPr>
        <w:spacing w:after="0" w:line="20" w:lineRule="atLeast"/>
        <w:jc w:val="both"/>
        <w:rPr>
          <w:rFonts w:cstheme="minorHAnsi"/>
        </w:rPr>
      </w:pPr>
      <w:r w:rsidRPr="006B0B81">
        <w:rPr>
          <w:rFonts w:cstheme="minorHAnsi"/>
        </w:rPr>
        <w:t xml:space="preserve">Convenzione delle Nazioni Unite sui diritti delle persone con disabilità adottata, per approvazione da parte dell’Assemblea Generale delle Nazioni Unite, a New York il 13 dicembre 2006 ed, in particolare, l’articolo 19 “Vita indipendente ed inclusione nella società” che prevede che “Gli Stati parti (…) riconoscono il diritto di tutte le persone con disabilità a vivere nella società, con la stessa libertà di scelta delle altre persone, e adottano misure efficaci ed adeguate al fine di facilitare il godimento da parte delle persone con disabilità di tale diritto e la loro piena integrazione e partecipazione nella società”; </w:t>
      </w:r>
    </w:p>
    <w:p w:rsidR="00967AAF" w:rsidRPr="006B0B81" w:rsidRDefault="00967AAF" w:rsidP="00967AAF">
      <w:pPr>
        <w:spacing w:after="0" w:line="20" w:lineRule="atLeast"/>
        <w:jc w:val="both"/>
        <w:rPr>
          <w:rFonts w:cstheme="minorHAnsi"/>
        </w:rPr>
      </w:pPr>
      <w:r w:rsidRPr="006B0B81">
        <w:rPr>
          <w:rFonts w:cstheme="minorHAnsi"/>
        </w:rPr>
        <w:t xml:space="preserve">Legge del 3 marzo 2009, n. 18 che recepisce la predetta Convenzione delle Nazioni Unite sui diritti delle persone con disabilità; </w:t>
      </w:r>
    </w:p>
    <w:p w:rsidR="00967AAF" w:rsidRPr="006B0B81" w:rsidRDefault="00967AAF" w:rsidP="00967AAF">
      <w:pPr>
        <w:spacing w:after="0" w:line="20" w:lineRule="atLeast"/>
        <w:jc w:val="both"/>
        <w:rPr>
          <w:rFonts w:cstheme="minorHAnsi"/>
        </w:rPr>
      </w:pPr>
      <w:r w:rsidRPr="006B0B81">
        <w:rPr>
          <w:rFonts w:cstheme="minorHAnsi"/>
        </w:rPr>
        <w:t>Decreto del Presidente della Repubblica 4 ottobre 2013, registrato dalla Corte dei Conti in data 21 novembre 2013, reg.14, fog.260, che adotta il Programma di azione biennale per la promozione dei diritti e l’integrazione delle persone con disabilità in attuazione della legislazione nazionale ed internazionale suindicata.</w:t>
      </w:r>
    </w:p>
    <w:p w:rsidR="00967AAF" w:rsidRPr="006B0B81" w:rsidRDefault="00967AAF" w:rsidP="00967AAF">
      <w:pPr>
        <w:spacing w:after="0" w:line="20" w:lineRule="atLeast"/>
        <w:jc w:val="both"/>
        <w:rPr>
          <w:rFonts w:cstheme="minorHAnsi"/>
        </w:rPr>
      </w:pPr>
      <w:r w:rsidRPr="006B0B81">
        <w:rPr>
          <w:rFonts w:cstheme="minorHAnsi"/>
        </w:rPr>
        <w:t>Nel quadro delle attività di promozione dell’attuazione della sopracitata Convenzione delle Nazioni Unite, è stato dato parere favorevole, ai sensi dell’articolo 5, comma 2, del decreto interministeriale 6 luglio 2010 n. 167, da parte della Conferenza Unificata in data 24 luglio 2013 ( Rep. Atti n. 72) sul richiamato Programma di azione ed è stata formulata dalla Conferenza delle Regioni e delle Province Autonome, una specifica raccomandazione al Governo finalizzata all’incremento del finanziamento per le sperimentazioni regionali per le politiche, i servizi e i modelli organizzativi per la vita indipendente.</w:t>
      </w:r>
    </w:p>
    <w:p w:rsidR="00967AAF" w:rsidRPr="006B0B81" w:rsidRDefault="00967AAF" w:rsidP="00967AAF">
      <w:pPr>
        <w:spacing w:after="0" w:line="20" w:lineRule="atLeast"/>
        <w:jc w:val="both"/>
        <w:rPr>
          <w:rFonts w:cstheme="minorHAnsi"/>
        </w:rPr>
      </w:pPr>
      <w:r w:rsidRPr="006B0B81">
        <w:rPr>
          <w:rFonts w:cstheme="minorHAnsi"/>
        </w:rPr>
        <w:t>Conseguentemente, il Ministero del lavoro e delle politiche sociali ha accolto l’opportunità di coinvolgere i territori regionali nella sperimentazione del modello di intervento in materia di vita indipendente ed inclusione nella società delle persone con disabilità dettando, con il D.D.134/2013, le prime Linee guida per l’avvio della sperimentazione e la presentazione dei relativi progetti di adesione.</w:t>
      </w:r>
    </w:p>
    <w:p w:rsidR="00967AAF" w:rsidRPr="006B0B81" w:rsidRDefault="00967AAF" w:rsidP="00967AAF">
      <w:pPr>
        <w:spacing w:after="0" w:line="20" w:lineRule="atLeast"/>
        <w:jc w:val="both"/>
        <w:rPr>
          <w:rFonts w:cstheme="minorHAnsi"/>
        </w:rPr>
      </w:pPr>
      <w:r w:rsidRPr="006B0B81">
        <w:rPr>
          <w:rFonts w:cstheme="minorHAnsi"/>
        </w:rPr>
        <w:t>Si è dato continuità alla sperimentazione del suddetto modello di intervento nelle successive annualità (2014, 2015, 2016 e 2017).</w:t>
      </w:r>
    </w:p>
    <w:p w:rsidR="00967AAF" w:rsidRPr="006B0B81" w:rsidRDefault="00967AAF" w:rsidP="00967AAF">
      <w:pPr>
        <w:spacing w:after="0" w:line="20" w:lineRule="atLeast"/>
        <w:jc w:val="both"/>
        <w:rPr>
          <w:rFonts w:cstheme="minorHAnsi"/>
        </w:rPr>
      </w:pPr>
      <w:r w:rsidRPr="006B0B81">
        <w:rPr>
          <w:rFonts w:cstheme="minorHAnsi"/>
        </w:rPr>
        <w:t>L’art. 1, comma 1264, della legge 27 dicembre 2006, n. 296 che istituisce il Fondo Nazionale per le non Autosufficienze al fine di garantire, su tutto il territorio nazionale, l’attuazione dei livelli essenziali delle prestazioni assistenziali con riguardo alle persone non autosufficienti;</w:t>
      </w:r>
    </w:p>
    <w:p w:rsidR="00967AAF" w:rsidRPr="006B0B81" w:rsidRDefault="00967AAF" w:rsidP="00967AAF">
      <w:pPr>
        <w:spacing w:after="0" w:line="20" w:lineRule="atLeast"/>
        <w:jc w:val="both"/>
        <w:rPr>
          <w:rFonts w:cstheme="minorHAnsi"/>
        </w:rPr>
      </w:pPr>
      <w:r w:rsidRPr="006B0B81">
        <w:rPr>
          <w:rFonts w:cstheme="minorHAnsi"/>
        </w:rPr>
        <w:t>Decreto del Presidente della Repubblica 12 ottobre 2017, registrato presso la Corte dei Conti, pubblicato sulla G.U. del 12 dicembre 2017 n. 289 che adotta il secondo Programma di Azione biennale per la promozione dei diritti e l’integrazione delle persone con disabilità in attuazione della legislazione nazionale e internazionale ai sensi dell’art. 5, co. 3, della citata legge 3 marzo 2009, n. 18; - in particolare, la linea di intervento n. 2 “Politiche, servizi e modelli organizzativi per la vita indipendente e l’inclusione nella società” del richiamato Programma di Azione;</w:t>
      </w:r>
    </w:p>
    <w:p w:rsidR="00967AAF" w:rsidRPr="006B0B81" w:rsidRDefault="00967AAF" w:rsidP="00967AAF">
      <w:pPr>
        <w:spacing w:after="0" w:line="20" w:lineRule="atLeast"/>
        <w:jc w:val="both"/>
        <w:rPr>
          <w:rFonts w:cstheme="minorHAnsi"/>
        </w:rPr>
      </w:pPr>
      <w:r w:rsidRPr="006B0B81">
        <w:rPr>
          <w:rFonts w:cstheme="minorHAnsi"/>
        </w:rPr>
        <w:t xml:space="preserve">Decreto del Presidente del Consiglio dei Ministri, su proposta del Ministro delegato per la famiglia e le disabilità e il Ministro del lavoro e delle politiche sociali, di concerto con il Ministero della salute e il Ministro dell’economia e delle finanze del 12 dicembre 2018, di riparto delle risorse per l’anno 2018 del Fondo </w:t>
      </w:r>
      <w:r w:rsidRPr="006B0B81">
        <w:rPr>
          <w:rFonts w:cstheme="minorHAnsi"/>
        </w:rPr>
        <w:lastRenderedPageBreak/>
        <w:t>Nazionale per le non Autosufficienze, registrato dalla Corte dei Conti in data 28 gennaio 2019, al foglio n.231, e pubblicato in Gazzetta Ufficiale n.35 dell’ 11 febbraio 2019; - in particolare, l’articolo 3, comma 1, del succitato decreto dispone che a valere sulla quota del Fondo Nazionale per le non Autosufficienze destinata al Ministero del lavoro e delle politiche sociali, per un ammontare di 15.000.000,00 di euro, sono finanziate azioni di natura sperimentale, volte all’attuazione del Programma di azione biennale per la promozione dei diritti e l’integrazione delle persone con disabilità, adottato con decreto del Presidente della Repubblica 12 ottobre 2017, relativamente alla linea di attività 3“Politiche, servizi e modelli organizzativi per la vita indipendente e l’inclusione nella società”;</w:t>
      </w:r>
    </w:p>
    <w:p w:rsidR="00967AAF" w:rsidRPr="006B0B81" w:rsidRDefault="00967AAF" w:rsidP="00967AAF">
      <w:pPr>
        <w:spacing w:after="0" w:line="20" w:lineRule="atLeast"/>
        <w:jc w:val="both"/>
        <w:rPr>
          <w:rFonts w:cstheme="minorHAnsi"/>
        </w:rPr>
      </w:pPr>
      <w:r w:rsidRPr="006B0B81">
        <w:rPr>
          <w:rFonts w:cstheme="minorHAnsi"/>
        </w:rPr>
        <w:t xml:space="preserve">Comunicazione della Commissione al Parlamento europeo, al Consiglio, al Comitato economico e sociale europeo e al Comitato delle regioni, concernente la Strategia europea sulla disabilità 2010-2020: un rinnovato impegno per un'Europa senza barriere (Bruxelles, 15.11.2010, COM (2010) 636), in cui, fra l’altro, si prevede di fornire a favore delle persone con disabilità servizi territoriali di qualità, compreso l'accesso a un'assistenza personalizzata; </w:t>
      </w:r>
    </w:p>
    <w:p w:rsidR="00967AAF" w:rsidRPr="006B0B81" w:rsidRDefault="00967AAF" w:rsidP="00967AAF">
      <w:pPr>
        <w:spacing w:after="0" w:line="20" w:lineRule="atLeast"/>
        <w:jc w:val="both"/>
        <w:rPr>
          <w:rFonts w:cstheme="minorHAnsi"/>
          <w:b/>
        </w:rPr>
      </w:pPr>
      <w:r w:rsidRPr="006B0B81">
        <w:rPr>
          <w:rFonts w:cstheme="minorHAnsi"/>
        </w:rPr>
        <w:t xml:space="preserve">D.D.G. del Ministero del lavoro e delle politiche sociali del 28 dicembre 2018, n. 669, registrato dalla Corte dei Conti in data 23 gennaio 2019 al n. 1 – 108, con il quale sono state adottate le Linee guida per la presentazione, da parte delle regioni, di proposte di adesione alla sperimentazione del modello di intervento in materia di vita indipendente ed inclusione nella società delle persone con disabilità per l’anno 2018; </w:t>
      </w:r>
      <w:r w:rsidRPr="006B0B81">
        <w:rPr>
          <w:rFonts w:cstheme="minorHAnsi"/>
          <w:b/>
        </w:rPr>
        <w:t>LA RICADUTA SULLA REGIONE</w:t>
      </w:r>
    </w:p>
    <w:p w:rsidR="00967AAF" w:rsidRPr="006B0B81" w:rsidRDefault="00967AAF" w:rsidP="00967AAF">
      <w:pPr>
        <w:spacing w:after="0" w:line="20" w:lineRule="atLeast"/>
        <w:jc w:val="both"/>
        <w:rPr>
          <w:rFonts w:cstheme="minorHAnsi"/>
        </w:rPr>
      </w:pPr>
      <w:r w:rsidRPr="006B0B81">
        <w:rPr>
          <w:rFonts w:cstheme="minorHAnsi"/>
        </w:rPr>
        <w:t xml:space="preserve">La Regione Lazio ha sempre aderito alla sperimentazione, nell’arco temporale sopra riportato, coinvolgendo nell’attivazione delle relative progettualità territoriali tutti i suoi distretti socio sanitari; </w:t>
      </w:r>
    </w:p>
    <w:p w:rsidR="00967AAF" w:rsidRPr="006B0B81" w:rsidRDefault="00967AAF" w:rsidP="00967AAF">
      <w:pPr>
        <w:spacing w:after="0" w:line="20" w:lineRule="atLeast"/>
        <w:jc w:val="both"/>
        <w:rPr>
          <w:rFonts w:cstheme="minorHAnsi"/>
        </w:rPr>
      </w:pPr>
      <w:r w:rsidRPr="006B0B81">
        <w:rPr>
          <w:rFonts w:cstheme="minorHAnsi"/>
        </w:rPr>
        <w:t>Il succitato decreto ha assegnato alla Regione Lazio, ai fini dell’implementazione del Programma di sperimentazione, sulla base del dato della popolazione residente nella fascia di età 18–64 anni all’1 gennaio 2018, riportato nella banca dati ISTAT, complessivamente numero 19 ambiti territoriali finanziabili.</w:t>
      </w:r>
    </w:p>
    <w:p w:rsidR="00967AAF" w:rsidRPr="007D66F5" w:rsidRDefault="007D66F5" w:rsidP="00967AAF">
      <w:pPr>
        <w:spacing w:after="0" w:line="20" w:lineRule="atLeast"/>
        <w:jc w:val="both"/>
        <w:rPr>
          <w:rFonts w:cstheme="minorHAnsi"/>
          <w:b/>
        </w:rPr>
      </w:pPr>
      <w:r w:rsidRPr="007D66F5">
        <w:rPr>
          <w:rFonts w:cstheme="minorHAnsi"/>
          <w:b/>
        </w:rPr>
        <w:t>LA DISPOSIZIONE</w:t>
      </w:r>
    </w:p>
    <w:p w:rsidR="00967AAF" w:rsidRPr="006B0B81" w:rsidRDefault="00967AAF" w:rsidP="00967AAF">
      <w:pPr>
        <w:spacing w:after="0" w:line="20" w:lineRule="atLeast"/>
        <w:jc w:val="both"/>
        <w:rPr>
          <w:rFonts w:cstheme="minorHAnsi"/>
        </w:rPr>
      </w:pPr>
      <w:proofErr w:type="gramStart"/>
      <w:r w:rsidRPr="006B0B81">
        <w:rPr>
          <w:rFonts w:cstheme="minorHAnsi"/>
        </w:rPr>
        <w:t>Si  aderisce</w:t>
      </w:r>
      <w:proofErr w:type="gramEnd"/>
      <w:r w:rsidRPr="006B0B81">
        <w:rPr>
          <w:rFonts w:cstheme="minorHAnsi"/>
        </w:rPr>
        <w:t xml:space="preserve">  formalmente alla sperimentazione del modello di intervento in materia di vita indipendente ed inclusione nella società delle persone con disabilità anno 2018, secondo le modalità stabilite nelle Linee Guida del Ministero del lavoro e delle politiche sociali emanate con decreto del 28 dicembre 2018 n. 669</w:t>
      </w:r>
    </w:p>
    <w:p w:rsidR="00967AAF" w:rsidRPr="006B0B81" w:rsidRDefault="00967AAF" w:rsidP="00967AAF">
      <w:pPr>
        <w:spacing w:after="0" w:line="20" w:lineRule="atLeast"/>
        <w:jc w:val="both"/>
        <w:rPr>
          <w:rFonts w:cstheme="minorHAnsi"/>
        </w:rPr>
      </w:pPr>
      <w:r w:rsidRPr="006B0B81">
        <w:rPr>
          <w:rFonts w:cstheme="minorHAnsi"/>
        </w:rPr>
        <w:t xml:space="preserve">La spesa complessiva </w:t>
      </w:r>
      <w:proofErr w:type="gramStart"/>
      <w:r w:rsidRPr="006B0B81">
        <w:rPr>
          <w:rFonts w:cstheme="minorHAnsi"/>
        </w:rPr>
        <w:t>è  di</w:t>
      </w:r>
      <w:proofErr w:type="gramEnd"/>
      <w:r w:rsidRPr="006B0B81">
        <w:rPr>
          <w:rFonts w:cstheme="minorHAnsi"/>
        </w:rPr>
        <w:t xml:space="preserve"> euro 1.800.000,00, di cui euro 1.440.000,00 coperti da finanziamento statale ed euro 360.000,00 a carico della regione, a titolo di cofinanziamento obbligatorio del 20%, per l’attuazione delle progettualità sperimentali, con quote uguali da ripartire tra i 18 ambiti/sovrambiti territoriali ammessi.</w:t>
      </w:r>
    </w:p>
    <w:p w:rsidR="00967AAF" w:rsidRPr="006B0B81" w:rsidRDefault="00967AAF" w:rsidP="00967AAF">
      <w:pPr>
        <w:spacing w:after="0" w:line="20" w:lineRule="atLeast"/>
        <w:jc w:val="both"/>
        <w:rPr>
          <w:rFonts w:cstheme="minorHAnsi"/>
        </w:rPr>
      </w:pPr>
    </w:p>
    <w:p w:rsidR="00967AAF" w:rsidRPr="006B0B81" w:rsidRDefault="00967AAF" w:rsidP="00967AAF">
      <w:pPr>
        <w:spacing w:after="0" w:line="20" w:lineRule="atLeast"/>
        <w:jc w:val="both"/>
        <w:rPr>
          <w:rFonts w:cstheme="minorHAnsi"/>
        </w:rPr>
      </w:pPr>
      <w:r w:rsidRPr="006B0B81">
        <w:rPr>
          <w:rFonts w:cstheme="minorHAnsi"/>
        </w:rPr>
        <w:t xml:space="preserve">PROTOCOLLO D’INTESA FRA Il Ministero del lavoro e delle politiche sociali (di seguito denominato Ministero) con sede in Roma, via Fornovo n. 8 (C.F. 80237250586), rappresentato dal dott. Raffaele Tangorra, in qualità di Direttore Generale per la lotta alla povertà e per la programmazione sociale; E La Regione Lazio (di seguito denominata Regione) con sede in Roma Via Rosa Raimondi Garibaldi,7, cap 00145, (C.F.80143490581), rappresentata dal dott. Valentino Mantini in qualità di Direttore della Direzione Regionale per l’Inclusione Sociale; </w:t>
      </w:r>
    </w:p>
    <w:p w:rsidR="00967AAF" w:rsidRPr="006B0B81" w:rsidRDefault="00967AAF" w:rsidP="00967AAF">
      <w:pPr>
        <w:spacing w:after="0" w:line="20" w:lineRule="atLeast"/>
        <w:jc w:val="both"/>
        <w:rPr>
          <w:rFonts w:cstheme="minorHAnsi"/>
        </w:rPr>
      </w:pPr>
      <w:r w:rsidRPr="006B0B81">
        <w:rPr>
          <w:rFonts w:cstheme="minorHAnsi"/>
        </w:rPr>
        <w:t xml:space="preserve">VISTI: </w:t>
      </w:r>
    </w:p>
    <w:p w:rsidR="00967AAF" w:rsidRPr="006B0B81" w:rsidRDefault="00967AAF" w:rsidP="00967AAF">
      <w:pPr>
        <w:spacing w:after="0" w:line="20" w:lineRule="atLeast"/>
        <w:jc w:val="both"/>
        <w:rPr>
          <w:rFonts w:cstheme="minorHAnsi"/>
        </w:rPr>
      </w:pPr>
      <w:r w:rsidRPr="006B0B81">
        <w:rPr>
          <w:rFonts w:cstheme="minorHAnsi"/>
        </w:rPr>
        <w:t xml:space="preserve">- la legge 8 novembre 2000, n. 328 “Legge quadro per la realizzazione del sistema integrato di interventi e servizi sociali” che all’art. 14 detta disposizioni riguardanti progetti individuali per le persone con disabilità; </w:t>
      </w:r>
    </w:p>
    <w:p w:rsidR="00967AAF" w:rsidRPr="006B0B81" w:rsidRDefault="00967AAF" w:rsidP="00967AAF">
      <w:pPr>
        <w:spacing w:after="0" w:line="20" w:lineRule="atLeast"/>
        <w:jc w:val="both"/>
        <w:rPr>
          <w:rFonts w:cstheme="minorHAnsi"/>
        </w:rPr>
      </w:pPr>
      <w:r w:rsidRPr="006B0B81">
        <w:rPr>
          <w:rFonts w:cstheme="minorHAnsi"/>
        </w:rPr>
        <w:t xml:space="preserve">- la legge 5 febbraio 1992, n. 104, “Legge quadro per l’assistenza, l’integrazione sociale e i diritti delle persone handicappate” così come modificata dalla legge 162 del 21 maggio 1998, che detta i principi dell’ordinamento in materia di diritti, integrazione sociale e assistenza delle persone con disabilità; </w:t>
      </w:r>
    </w:p>
    <w:p w:rsidR="00967AAF" w:rsidRPr="006B0B81" w:rsidRDefault="00967AAF" w:rsidP="00967AAF">
      <w:pPr>
        <w:spacing w:after="0" w:line="20" w:lineRule="atLeast"/>
        <w:jc w:val="both"/>
        <w:rPr>
          <w:rFonts w:cstheme="minorHAnsi"/>
        </w:rPr>
      </w:pPr>
      <w:r w:rsidRPr="006B0B81">
        <w:rPr>
          <w:rFonts w:cstheme="minorHAnsi"/>
        </w:rPr>
        <w:t xml:space="preserve">- in particolare, l’art. 39, co. 2, della richiamata legge 104/92, che prevede che le Regioni possono provvedere, sentite le rappresentanze degli enti locali e le principali organizzazioni del privato sociale presenti sul territorio, nei limiti delle proprie disponibilità di bilancio […], a disciplinare, allo scopo di garantire il diritto alla vita indipendente alle persone con disabilità permanente e limitazione grave dell’autonomia personale nello svolgimento di una o più funzioni essenziali della vita, non superabili mediante ausili tecnici, le modalità di realizzazione di programmi di aiuto alla persona, gestiti in forma indiretta, anche mediante piani personalizzati per i soggetti che ne facciano richiesta, con verifica delle prestazioni erogate e della loro efficacia; - la Convenzione delle Nazioni Unite sui diritti delle persone con disabilità, con Protocollo opzionale, fatta a New York 13 dicembre 2006 e ratificata con la legge 3 marzo 2009, n. 18; - in particolare, l’articolo 19 della richiamata Convenzione (“Vita indipendente ed inclusione nella società”) che prevede che “Gli Stati </w:t>
      </w:r>
      <w:r w:rsidRPr="006B0B81">
        <w:rPr>
          <w:rFonts w:cstheme="minorHAnsi"/>
        </w:rPr>
        <w:lastRenderedPageBreak/>
        <w:t xml:space="preserve">Parti […] riconoscono il diritto di tutte le persone con disabilità a vivere nella società, con la stessa libertà di scelta delle altre persone, e adottano misure efficaci ed adeguate al fine di facilitare il godimento da parte delle persone con disabilità di tale diritto e la loro piena integrazione e partecipazione nella società; </w:t>
      </w:r>
    </w:p>
    <w:p w:rsidR="00967AAF" w:rsidRPr="006B0B81" w:rsidRDefault="00967AAF" w:rsidP="00967AAF">
      <w:pPr>
        <w:spacing w:after="0" w:line="20" w:lineRule="atLeast"/>
        <w:jc w:val="both"/>
        <w:rPr>
          <w:rFonts w:cstheme="minorHAnsi"/>
        </w:rPr>
      </w:pPr>
      <w:r w:rsidRPr="006B0B81">
        <w:rPr>
          <w:rFonts w:cstheme="minorHAnsi"/>
        </w:rPr>
        <w:t xml:space="preserve">- il decreto del Presidente della Repubblica 12 ottobre 2017, registrato presso la Corte dei Conti, pubblicato sulla G.U. del 12 dicembre 2017 n. 289 che adotta il secondo Programma di Azione biennale per la promozione dei diritti e l’integrazione delle persone con disabilità in attuazione della legislazione nazionale e internazionale ai sensi dell’art. 5, co. 3, della citata legge 3 marzo 2009, n. 18; </w:t>
      </w:r>
    </w:p>
    <w:p w:rsidR="00967AAF" w:rsidRPr="006B0B81" w:rsidRDefault="00967AAF" w:rsidP="00967AAF">
      <w:pPr>
        <w:spacing w:after="0" w:line="20" w:lineRule="atLeast"/>
        <w:jc w:val="both"/>
        <w:rPr>
          <w:rFonts w:cstheme="minorHAnsi"/>
        </w:rPr>
      </w:pPr>
      <w:r w:rsidRPr="006B0B81">
        <w:rPr>
          <w:rFonts w:cstheme="minorHAnsi"/>
        </w:rPr>
        <w:t xml:space="preserve">- in particolare, la linea di intervento n. 2 “Politiche, servizi e modelli organizzativi per la vita indipendente e l’inclusione nella società” del richiamato Programma di Azione; </w:t>
      </w:r>
    </w:p>
    <w:p w:rsidR="00967AAF" w:rsidRPr="006B0B81" w:rsidRDefault="00967AAF" w:rsidP="00967AAF">
      <w:pPr>
        <w:spacing w:after="0" w:line="20" w:lineRule="atLeast"/>
        <w:jc w:val="both"/>
        <w:rPr>
          <w:rFonts w:cstheme="minorHAnsi"/>
        </w:rPr>
      </w:pPr>
      <w:r w:rsidRPr="006B0B81">
        <w:rPr>
          <w:rFonts w:cstheme="minorHAnsi"/>
        </w:rPr>
        <w:t xml:space="preserve">CONSIDERATO </w:t>
      </w:r>
    </w:p>
    <w:p w:rsidR="00967AAF" w:rsidRPr="006B0B81" w:rsidRDefault="00967AAF" w:rsidP="00967AAF">
      <w:pPr>
        <w:spacing w:after="0" w:line="20" w:lineRule="atLeast"/>
        <w:jc w:val="both"/>
        <w:rPr>
          <w:rFonts w:cstheme="minorHAnsi"/>
        </w:rPr>
      </w:pPr>
      <w:r w:rsidRPr="006B0B81">
        <w:rPr>
          <w:rFonts w:cstheme="minorHAnsi"/>
        </w:rPr>
        <w:t>- che con DPCM 12 dicembre 2018, registrato dalla Corte dei Conti il 29 gennaio 2019 al n. 231, pubblicato sulla G.U. n. 35 dell’11 febbraio 2019, sono state ripartite le risorse del Fondo per le non autosufficienze per l’anno 2018;</w:t>
      </w:r>
    </w:p>
    <w:p w:rsidR="00967AAF" w:rsidRPr="006B0B81" w:rsidRDefault="00967AAF" w:rsidP="00967AAF">
      <w:pPr>
        <w:spacing w:after="0" w:line="20" w:lineRule="atLeast"/>
        <w:jc w:val="both"/>
        <w:rPr>
          <w:rFonts w:cstheme="minorHAnsi"/>
        </w:rPr>
      </w:pPr>
      <w:r w:rsidRPr="006B0B81">
        <w:rPr>
          <w:rFonts w:cstheme="minorHAnsi"/>
        </w:rPr>
        <w:t xml:space="preserve"> -che l’art. 3, comma 1, del suddetto DPCM dispone che a valere sulla quota del Fondo per le non autosufficienze destinata al Ministero del lavoro e delle politiche sociali, sono finanziate, per un ammontare di 15 milioni di euro, azioni di natura sperimentale volte all’attuazione del secondo Programma di azione biennale per la promozione dei diritti e l’integrazione delle persone con disabilità; </w:t>
      </w:r>
    </w:p>
    <w:p w:rsidR="00967AAF" w:rsidRPr="006B0B81" w:rsidRDefault="00967AAF" w:rsidP="00967AAF">
      <w:pPr>
        <w:spacing w:after="0" w:line="20" w:lineRule="atLeast"/>
        <w:jc w:val="both"/>
        <w:rPr>
          <w:rFonts w:cstheme="minorHAnsi"/>
        </w:rPr>
      </w:pPr>
      <w:r w:rsidRPr="006B0B81">
        <w:rPr>
          <w:rFonts w:cstheme="minorHAnsi"/>
        </w:rPr>
        <w:t>- che con decreto n. 669 in data 28 dicembre 2018, registrato alla Corte dei Conti il 23 gennaio 2019 al n. 1-108, sono state adottate le Linee Guida per la presentazione di progetti sperimentali in materia di vita indipendente ed inclusione nella società delle persone con disabilità per l’anno 2018</w:t>
      </w:r>
    </w:p>
    <w:p w:rsidR="00967AAF" w:rsidRPr="006B0B81" w:rsidRDefault="00967AAF" w:rsidP="00967AAF">
      <w:pPr>
        <w:spacing w:after="0" w:line="20" w:lineRule="atLeast"/>
        <w:jc w:val="both"/>
        <w:rPr>
          <w:rFonts w:cstheme="minorHAnsi"/>
        </w:rPr>
      </w:pPr>
      <w:r w:rsidRPr="006B0B81">
        <w:rPr>
          <w:rFonts w:cstheme="minorHAnsi"/>
        </w:rPr>
        <w:t xml:space="preserve">- che con decreto direttoriale del 4 aprile 2019 n. 138, registrato dalla Corte dei Conti in data 26 aprile 2019 al n. 1-868, è stato approvato l’elenco degli ambiti territoriali ammessi al finanziamento nazionale, nonché l’elenco dei progetti regionali unici ammessi al finanziamento nazionale, ai sensi del Decreto del Direttore Generale n. 669 del 28 dicembre 2018; - che con il decreto direttoriale del 5 aprile 2019 n. 139, registrato dalla Corte dei Conti in data 26 aprile 2019 al n. 1-869, è stato autorizzato il finanziamento, sulla base di quanto approvato dal D.D.G. 138/2019, per un importo complessivo di 15 milioni di euro (quindicimilioni/00); - la ripartizione ivi evidenziata, con riferimento a ciascuna regione interessata, a valere sulle risorse assegnate al capitolo 3538 dello stato di previsione del Ministero del lavoro e delle politiche sociali; </w:t>
      </w:r>
    </w:p>
    <w:p w:rsidR="00967AAF" w:rsidRPr="006B0B81" w:rsidRDefault="00967AAF" w:rsidP="00967AAF">
      <w:pPr>
        <w:spacing w:after="0" w:line="20" w:lineRule="atLeast"/>
        <w:jc w:val="both"/>
        <w:rPr>
          <w:rFonts w:cstheme="minorHAnsi"/>
        </w:rPr>
      </w:pPr>
      <w:r w:rsidRPr="006B0B81">
        <w:rPr>
          <w:rFonts w:cstheme="minorHAnsi"/>
        </w:rPr>
        <w:t xml:space="preserve">- che la proposta della Regione Lazio risulta tra i progetti ammessi al finanziamento ai sensi del citato D.D.G. n 138/2019 e che il finanziamento relativo da parte ministeriale a favore della Regione corrisponde complessivamente ad euro 1.440.000/00; </w:t>
      </w:r>
    </w:p>
    <w:p w:rsidR="00967AAF" w:rsidRPr="006B0B81" w:rsidRDefault="00967AAF" w:rsidP="00967AAF">
      <w:pPr>
        <w:spacing w:after="0" w:line="20" w:lineRule="atLeast"/>
        <w:jc w:val="both"/>
        <w:rPr>
          <w:rFonts w:cstheme="minorHAnsi"/>
        </w:rPr>
      </w:pPr>
      <w:r w:rsidRPr="006B0B81">
        <w:rPr>
          <w:rFonts w:cstheme="minorHAnsi"/>
        </w:rPr>
        <w:t xml:space="preserve">- che gli interventi dovranno essere realizzati nel rispetto della normativa nazionale e comunitaria di riferimento e in conformità alla progettazione approvata o come successivamente modificata a seguito di autorizzazione ministeriale, a pena di revoca o riduzione del finanziamento; </w:t>
      </w:r>
    </w:p>
    <w:p w:rsidR="00967AAF" w:rsidRPr="006B0B81" w:rsidRDefault="00967AAF" w:rsidP="00967AAF">
      <w:pPr>
        <w:spacing w:after="0" w:line="20" w:lineRule="atLeast"/>
        <w:jc w:val="both"/>
        <w:rPr>
          <w:rFonts w:cstheme="minorHAnsi"/>
        </w:rPr>
      </w:pPr>
      <w:r w:rsidRPr="006B0B81">
        <w:rPr>
          <w:rFonts w:cstheme="minorHAnsi"/>
        </w:rPr>
        <w:t xml:space="preserve">VISTI ANCHE </w:t>
      </w:r>
    </w:p>
    <w:p w:rsidR="00967AAF" w:rsidRPr="006B0B81" w:rsidRDefault="00967AAF" w:rsidP="00967AAF">
      <w:pPr>
        <w:spacing w:after="0" w:line="20" w:lineRule="atLeast"/>
        <w:jc w:val="both"/>
        <w:rPr>
          <w:rFonts w:cstheme="minorHAnsi"/>
        </w:rPr>
      </w:pPr>
      <w:r w:rsidRPr="006B0B81">
        <w:rPr>
          <w:rFonts w:cstheme="minorHAnsi"/>
        </w:rPr>
        <w:t xml:space="preserve">- la legge 31 dicembre 2009 n. 196 recante “Legge di contabilità e finanza pubblica” e successive modificazioni ed integrazioni; </w:t>
      </w:r>
    </w:p>
    <w:p w:rsidR="00967AAF" w:rsidRPr="006B0B81" w:rsidRDefault="00967AAF" w:rsidP="00967AAF">
      <w:pPr>
        <w:spacing w:after="0" w:line="20" w:lineRule="atLeast"/>
        <w:jc w:val="both"/>
        <w:rPr>
          <w:rFonts w:cstheme="minorHAnsi"/>
        </w:rPr>
      </w:pPr>
      <w:r w:rsidRPr="006B0B81">
        <w:rPr>
          <w:rFonts w:cstheme="minorHAnsi"/>
        </w:rPr>
        <w:t xml:space="preserve">- la legge 30 dicembre 2018, n. 145, recante “Bilancio di previsione dello Stato per l’anno finanziario 2019 e bilancio pluriennale per il triennio 2019-2021” (legge di stabilità 2019)”; </w:t>
      </w:r>
    </w:p>
    <w:p w:rsidR="00967AAF" w:rsidRPr="006B0B81" w:rsidRDefault="00967AAF" w:rsidP="00967AAF">
      <w:pPr>
        <w:spacing w:after="0" w:line="20" w:lineRule="atLeast"/>
        <w:jc w:val="both"/>
        <w:rPr>
          <w:rFonts w:cstheme="minorHAnsi"/>
        </w:rPr>
      </w:pPr>
      <w:r w:rsidRPr="006B0B81">
        <w:rPr>
          <w:rFonts w:cstheme="minorHAnsi"/>
        </w:rPr>
        <w:t>- il decreto del Ministro dell’economia e delle finanze del 31 dicembre 2018, concernente la ripartizione in capitoli delle unità di voto parlamentare relative al bilancio di previsione dello Stato per l’anno finanziario 2019 e per il triennio 2019-2021, in particolare la Tabella 4, riguardante il bilancio di previsione del Ministero del Lavoro e delle Politiche Sociali;</w:t>
      </w:r>
    </w:p>
    <w:p w:rsidR="00967AAF" w:rsidRPr="006B0B81" w:rsidRDefault="00967AAF" w:rsidP="00967AAF">
      <w:pPr>
        <w:spacing w:after="0" w:line="20" w:lineRule="atLeast"/>
        <w:jc w:val="both"/>
        <w:rPr>
          <w:rFonts w:cstheme="minorHAnsi"/>
        </w:rPr>
      </w:pPr>
      <w:r w:rsidRPr="006B0B81">
        <w:rPr>
          <w:rFonts w:cstheme="minorHAnsi"/>
        </w:rPr>
        <w:t xml:space="preserve"> - che, sulla base del D.M. di cui al punto precedente, alla Direzione Generale per la lotta alla povertà e per la programmazione sociale è stata assegnata la gestione del CDR 9 del quale fa parte il cap. 3538 PG 1;</w:t>
      </w:r>
    </w:p>
    <w:p w:rsidR="00967AAF" w:rsidRPr="006B0B81" w:rsidRDefault="00967AAF" w:rsidP="00967AAF">
      <w:pPr>
        <w:spacing w:after="0" w:line="20" w:lineRule="atLeast"/>
        <w:jc w:val="both"/>
        <w:rPr>
          <w:rFonts w:cstheme="minorHAnsi"/>
        </w:rPr>
      </w:pPr>
      <w:r w:rsidRPr="006B0B81">
        <w:rPr>
          <w:rFonts w:cstheme="minorHAnsi"/>
        </w:rPr>
        <w:t xml:space="preserve"> - che il Decreto del Ministro del Lavoro e delle Politiche Sociali n. 12 del 31/01/2019, registrato dall’U.C.B. in data del 08/02/2019 al n. 34, che assegna le risorse finanziarie per l’anno 2019, ai dirigenti degli Uffici Dirigenziali di livello generale appartenenti al Ministero del Lavoro e delle Politiche Sociali, attribuite ai capitoli delle unità previsionali di base della citata Tabella 4 di cui fa parte il CDR 9 – Direzione Generale per la lotta alla povertà e per la programmazione sociale; </w:t>
      </w:r>
    </w:p>
    <w:p w:rsidR="00967AAF" w:rsidRPr="006B0B81" w:rsidRDefault="00967AAF" w:rsidP="00967AAF">
      <w:pPr>
        <w:spacing w:after="0" w:line="20" w:lineRule="atLeast"/>
        <w:jc w:val="both"/>
        <w:rPr>
          <w:rFonts w:cstheme="minorHAnsi"/>
        </w:rPr>
      </w:pPr>
      <w:r w:rsidRPr="006B0B81">
        <w:rPr>
          <w:rFonts w:cstheme="minorHAnsi"/>
        </w:rPr>
        <w:t xml:space="preserve">- il decreto legislativo 15 settembre 2017 n.147, pubblicato nella Gazzetta Ufficiale n. 240 del 13 ottobre 2017, che ha determinato l’istituzione della Direzione Generale per la lotta alla povertà e per la </w:t>
      </w:r>
      <w:r w:rsidRPr="006B0B81">
        <w:rPr>
          <w:rFonts w:cstheme="minorHAnsi"/>
        </w:rPr>
        <w:lastRenderedPageBreak/>
        <w:t xml:space="preserve">programmazione sociale e la contestuale soppressione della Direzione generale per l’inclusione e le politiche sociali; </w:t>
      </w:r>
    </w:p>
    <w:p w:rsidR="00967AAF" w:rsidRPr="006B0B81" w:rsidRDefault="00967AAF" w:rsidP="00967AAF">
      <w:pPr>
        <w:spacing w:after="0" w:line="20" w:lineRule="atLeast"/>
        <w:jc w:val="both"/>
        <w:rPr>
          <w:rFonts w:cstheme="minorHAnsi"/>
        </w:rPr>
      </w:pPr>
      <w:r w:rsidRPr="006B0B81">
        <w:rPr>
          <w:rFonts w:cstheme="minorHAnsi"/>
        </w:rPr>
        <w:t>- il D.P.C.M. del 15 novembre 2017, registrato dalla corte dei conti in data 12 gennaio 2018 al n. 116, con il quale è stato conferito l’incarico di Direttore Generale della Direzione Generale per la lotta alla povertà e per la programmazione sociale al dott. Raffaele Michele Tangorra;</w:t>
      </w:r>
    </w:p>
    <w:p w:rsidR="00967AAF" w:rsidRPr="006B0B81" w:rsidRDefault="00967AAF" w:rsidP="00967AAF">
      <w:pPr>
        <w:spacing w:after="0" w:line="20" w:lineRule="atLeast"/>
        <w:jc w:val="both"/>
        <w:rPr>
          <w:rFonts w:cstheme="minorHAnsi"/>
        </w:rPr>
      </w:pPr>
      <w:r w:rsidRPr="006B0B81">
        <w:rPr>
          <w:rFonts w:cstheme="minorHAnsi"/>
        </w:rPr>
        <w:t xml:space="preserve"> - il Decreto del Ministro del lavoro e delle politiche sociali del 6 dicembre 2017, recante “individuazione delle unità organizzative di livello dirigenziale non generale nell’ambito del segretariato generale e delle direzioni generali”, registrato dalla Corte dei conti il 29/12/2017 al n. 2419 e pubblicato sulla G.U. n. 20 del 25/01/2018; </w:t>
      </w:r>
    </w:p>
    <w:p w:rsidR="00967AAF" w:rsidRPr="006B0B81" w:rsidRDefault="00967AAF" w:rsidP="00967AAF">
      <w:pPr>
        <w:spacing w:after="0" w:line="20" w:lineRule="atLeast"/>
        <w:jc w:val="both"/>
        <w:rPr>
          <w:rFonts w:cstheme="minorHAnsi"/>
        </w:rPr>
      </w:pPr>
      <w:r w:rsidRPr="006B0B81">
        <w:rPr>
          <w:rFonts w:cstheme="minorHAnsi"/>
        </w:rPr>
        <w:t xml:space="preserve">- infine, la legge 7 agosto 1990, n. 241 che prevede la possibilità di stipulare accordi tra pubbliche amministrazioni; </w:t>
      </w:r>
    </w:p>
    <w:p w:rsidR="00967AAF" w:rsidRPr="006B0B81" w:rsidRDefault="00967AAF" w:rsidP="00967AAF">
      <w:pPr>
        <w:spacing w:after="0" w:line="20" w:lineRule="atLeast"/>
        <w:jc w:val="both"/>
        <w:rPr>
          <w:rFonts w:cstheme="minorHAnsi"/>
        </w:rPr>
      </w:pPr>
      <w:r w:rsidRPr="006B0B81">
        <w:rPr>
          <w:rFonts w:cstheme="minorHAnsi"/>
        </w:rPr>
        <w:t xml:space="preserve">SI CONVIENE QUANTO SEGUE </w:t>
      </w:r>
    </w:p>
    <w:p w:rsidR="00967AAF" w:rsidRPr="006B0B81" w:rsidRDefault="00967AAF" w:rsidP="00967AAF">
      <w:pPr>
        <w:spacing w:after="0" w:line="20" w:lineRule="atLeast"/>
        <w:jc w:val="both"/>
        <w:rPr>
          <w:rFonts w:cstheme="minorHAnsi"/>
        </w:rPr>
      </w:pPr>
      <w:r w:rsidRPr="006B0B81">
        <w:rPr>
          <w:rFonts w:cstheme="minorHAnsi"/>
        </w:rPr>
        <w:t xml:space="preserve">Articolo 1 (Oggetto e durata del protocollo) </w:t>
      </w:r>
    </w:p>
    <w:p w:rsidR="00967AAF" w:rsidRPr="006B0B81" w:rsidRDefault="00967AAF" w:rsidP="00967AAF">
      <w:pPr>
        <w:spacing w:after="0" w:line="20" w:lineRule="atLeast"/>
        <w:jc w:val="both"/>
        <w:rPr>
          <w:rFonts w:cstheme="minorHAnsi"/>
        </w:rPr>
      </w:pPr>
      <w:r w:rsidRPr="006B0B81">
        <w:rPr>
          <w:rFonts w:cstheme="minorHAnsi"/>
        </w:rPr>
        <w:t xml:space="preserve">1.Il presente Protocollo è finalizzato all’attivazione ed implementazione della proposta progettuale della Regione Lazio in materia di vita indipendente ed inclusione nella società delle persone con disabilità, ammessa a finanziamento dall’articolo 1 del decreto direttoriale n. 138 del 4 aprile 2019 citato in premessa, come individuata nell’elenco di cui alla Tabella A del suddetto decreto. </w:t>
      </w:r>
    </w:p>
    <w:p w:rsidR="00967AAF" w:rsidRPr="006B0B81" w:rsidRDefault="00967AAF" w:rsidP="00967AAF">
      <w:pPr>
        <w:spacing w:after="0" w:line="20" w:lineRule="atLeast"/>
        <w:jc w:val="both"/>
        <w:rPr>
          <w:rFonts w:cstheme="minorHAnsi"/>
        </w:rPr>
      </w:pPr>
      <w:r w:rsidRPr="006B0B81">
        <w:rPr>
          <w:rFonts w:cstheme="minorHAnsi"/>
        </w:rPr>
        <w:t xml:space="preserve">2.La durata del presente Protocollo è fissata in mesi 12 a partire dalla comunicazione di inizio attività da parte della Regione di cui al successivo articolo 3, comma 1. </w:t>
      </w:r>
    </w:p>
    <w:p w:rsidR="00967AAF" w:rsidRPr="006B0B81" w:rsidRDefault="00967AAF" w:rsidP="00967AAF">
      <w:pPr>
        <w:spacing w:after="0" w:line="20" w:lineRule="atLeast"/>
        <w:jc w:val="both"/>
        <w:rPr>
          <w:rFonts w:cstheme="minorHAnsi"/>
        </w:rPr>
      </w:pPr>
      <w:r w:rsidRPr="006B0B81">
        <w:rPr>
          <w:rFonts w:cstheme="minorHAnsi"/>
        </w:rPr>
        <w:t xml:space="preserve">Articolo 2 (Impegni della Regione) </w:t>
      </w:r>
    </w:p>
    <w:p w:rsidR="00967AAF" w:rsidRPr="006B0B81" w:rsidRDefault="00967AAF" w:rsidP="00967AAF">
      <w:pPr>
        <w:spacing w:after="0" w:line="20" w:lineRule="atLeast"/>
        <w:jc w:val="both"/>
        <w:rPr>
          <w:rFonts w:cstheme="minorHAnsi"/>
        </w:rPr>
      </w:pPr>
      <w:r w:rsidRPr="006B0B81">
        <w:rPr>
          <w:rFonts w:cstheme="minorHAnsi"/>
        </w:rPr>
        <w:t xml:space="preserve">1. La Regione si impegna a svolgere le attività di cui all’art. 1 nel rispetto degli obiettivi e dei contenuti, nonché dei tempi, delle modalità organizzative e dei costi previsti nel progetto medesimo. </w:t>
      </w:r>
    </w:p>
    <w:p w:rsidR="00967AAF" w:rsidRPr="006B0B81" w:rsidRDefault="00967AAF" w:rsidP="00967AAF">
      <w:pPr>
        <w:spacing w:after="0" w:line="20" w:lineRule="atLeast"/>
        <w:jc w:val="both"/>
        <w:rPr>
          <w:rFonts w:cstheme="minorHAnsi"/>
        </w:rPr>
      </w:pPr>
      <w:r w:rsidRPr="006B0B81">
        <w:rPr>
          <w:rFonts w:cstheme="minorHAnsi"/>
        </w:rPr>
        <w:t xml:space="preserve">2. Per la copertura dei costi delle attività di cui al comma precedente, la Regione utilizza il contributo di cui all’articolo 5 del presente protocollo, nonché garantisce il cofinanziamento per la residua quota pari ad almeno il 20% dei costi totali. Non è ammesso il cofinanziamento attraverso la contribuzione in natura secondo quanto riportato al punto 38 delle richiamate Linee Guida del 28 dicembre 2018. </w:t>
      </w:r>
    </w:p>
    <w:p w:rsidR="00967AAF" w:rsidRPr="006B0B81" w:rsidRDefault="00967AAF" w:rsidP="00967AAF">
      <w:pPr>
        <w:spacing w:after="0" w:line="20" w:lineRule="atLeast"/>
        <w:jc w:val="both"/>
        <w:rPr>
          <w:rFonts w:cstheme="minorHAnsi"/>
        </w:rPr>
      </w:pPr>
      <w:r w:rsidRPr="006B0B81">
        <w:rPr>
          <w:rFonts w:cstheme="minorHAnsi"/>
        </w:rPr>
        <w:t xml:space="preserve">Articolo 3 (Modalità di realizzazione) </w:t>
      </w:r>
    </w:p>
    <w:p w:rsidR="00967AAF" w:rsidRPr="006B0B81" w:rsidRDefault="00967AAF" w:rsidP="00967AAF">
      <w:pPr>
        <w:spacing w:after="0" w:line="20" w:lineRule="atLeast"/>
        <w:jc w:val="both"/>
        <w:rPr>
          <w:rFonts w:cstheme="minorHAnsi"/>
        </w:rPr>
      </w:pPr>
      <w:r w:rsidRPr="006B0B81">
        <w:rPr>
          <w:rFonts w:cstheme="minorHAnsi"/>
        </w:rPr>
        <w:t xml:space="preserve">1. La Regione si impegna a dare comunicazione dell’effettivo avvio delle attività alla Direzione Generale per la lotta alla povertà e per la programmazione sociale del Ministero del Lavoro e delle Politiche Sociali all’indirizzo di posta elettronica certificata (PEC) dginclusione.divisione5@pec.lavoro.gov.it. Tale comunicazione è in ogni caso subordinata all’esito positivo della eventuale interlocuzione fra il Ministero e la Regione secondo quanto previsto al punto 48 delle richiamate Linee Guida e così come esplicitato nel comma successivo. L’avvio delle attività, in particolare, può precedere la chiusura della fase di interlocuzione, restando, tuttavia, a carico della Regione la responsabilità di spese non coerenti con la progettazione definitivamente approvata. </w:t>
      </w:r>
    </w:p>
    <w:p w:rsidR="00967AAF" w:rsidRPr="006B0B81" w:rsidRDefault="00967AAF" w:rsidP="00967AAF">
      <w:pPr>
        <w:spacing w:after="0" w:line="20" w:lineRule="atLeast"/>
        <w:jc w:val="both"/>
        <w:rPr>
          <w:rFonts w:cstheme="minorHAnsi"/>
        </w:rPr>
      </w:pPr>
      <w:r w:rsidRPr="006B0B81">
        <w:rPr>
          <w:rFonts w:cstheme="minorHAnsi"/>
        </w:rPr>
        <w:t xml:space="preserve">2. Per una migliore esecuzione del Protocollo d’intesa, il Ministero può richiedere o autorizzare, entro il limite massimo dell’importo di cui all’art. 5 del presente protocollo, la variazione delle attività previste nel piano progettuale purché non comportino maggiori oneri a valere sul contributo nazionale. In particolare, si richiama il punto 48 delle citate Linee Guida in cui si stabilisce che nei 60 giorni successivi alla stipula del protocollo di intesa, il Ministero ha la facoltà di richiedere agli ambiti ulteriori modifiche e/o integrazioni alle iniziative progettuali, coinvolgendo la Regione, ove si verifichi la necessità di meglio definire le modalità di realizzazione ed implementazione del progetto, anche alla luce di una analisi comparata tra gli ambiti ammessi a finanziamento. Eventuali modifiche devono comunque essere adottate d’intesa con la Regione. 3. La Regione si impegna, altresì, a presentare un rapporto intermedio sulle attività svolte decorsi sei mesi dall’inizio delle attività, previa verifica dell’effettivo utilizzo di almeno il 75% della somma erogata all’avvio delle attività, nonché una relazione conclusiva delle attività svolte entro tre mesi dalla data di scadenza del progetto, corredata della documentazione valida ai fini fiscali giustificativa delle spese sostenute per l’intero ammontare del finanziamento e per la quota di cofinanziamento. </w:t>
      </w:r>
    </w:p>
    <w:p w:rsidR="00967AAF" w:rsidRPr="006B0B81" w:rsidRDefault="00967AAF" w:rsidP="00967AAF">
      <w:pPr>
        <w:spacing w:after="0" w:line="20" w:lineRule="atLeast"/>
        <w:jc w:val="both"/>
        <w:rPr>
          <w:rFonts w:cstheme="minorHAnsi"/>
        </w:rPr>
      </w:pPr>
      <w:r w:rsidRPr="006B0B81">
        <w:rPr>
          <w:rFonts w:cstheme="minorHAnsi"/>
        </w:rPr>
        <w:t xml:space="preserve">Articolo 4 (Commissione di Verifica) </w:t>
      </w:r>
    </w:p>
    <w:p w:rsidR="00967AAF" w:rsidRPr="006B0B81" w:rsidRDefault="00967AAF" w:rsidP="00967AAF">
      <w:pPr>
        <w:spacing w:after="0" w:line="20" w:lineRule="atLeast"/>
        <w:jc w:val="both"/>
        <w:rPr>
          <w:rFonts w:cstheme="minorHAnsi"/>
        </w:rPr>
      </w:pPr>
      <w:r w:rsidRPr="006B0B81">
        <w:rPr>
          <w:rFonts w:cstheme="minorHAnsi"/>
        </w:rPr>
        <w:t xml:space="preserve">1. Con successivo decreto direttoriale, viene istituita una Commissione con compiti di verifica e monitoraggio ai fini della liquidazione del finanziamento secondo le modalità di cui al successivo art. 6. </w:t>
      </w:r>
    </w:p>
    <w:p w:rsidR="00967AAF" w:rsidRPr="006B0B81" w:rsidRDefault="00967AAF" w:rsidP="00967AAF">
      <w:pPr>
        <w:spacing w:after="0" w:line="20" w:lineRule="atLeast"/>
        <w:jc w:val="both"/>
        <w:rPr>
          <w:rFonts w:cstheme="minorHAnsi"/>
        </w:rPr>
      </w:pPr>
      <w:r w:rsidRPr="006B0B81">
        <w:rPr>
          <w:rFonts w:cstheme="minorHAnsi"/>
        </w:rPr>
        <w:lastRenderedPageBreak/>
        <w:t xml:space="preserve">2. Alla Commissione di cui al comma precedente spetta il compito di verificare: a) la conformità delle attività realizzate alle previsioni del presente Protocollo d’intesa; b) la congruità della documentazione giustificativa di spesa prodotta dalla Regione; c) la relazione sui risultati delle attività progettuali. </w:t>
      </w:r>
    </w:p>
    <w:p w:rsidR="00967AAF" w:rsidRPr="006B0B81" w:rsidRDefault="00967AAF" w:rsidP="00967AAF">
      <w:pPr>
        <w:spacing w:after="0" w:line="20" w:lineRule="atLeast"/>
        <w:jc w:val="both"/>
        <w:rPr>
          <w:rFonts w:cstheme="minorHAnsi"/>
        </w:rPr>
      </w:pPr>
      <w:r w:rsidRPr="006B0B81">
        <w:rPr>
          <w:rFonts w:cstheme="minorHAnsi"/>
        </w:rPr>
        <w:t xml:space="preserve">Articolo 5 (Importo ed esonero cauzionale) </w:t>
      </w:r>
    </w:p>
    <w:p w:rsidR="00967AAF" w:rsidRPr="006B0B81" w:rsidRDefault="00967AAF" w:rsidP="00967AAF">
      <w:pPr>
        <w:spacing w:after="0" w:line="20" w:lineRule="atLeast"/>
        <w:jc w:val="both"/>
        <w:rPr>
          <w:rFonts w:cstheme="minorHAnsi"/>
        </w:rPr>
      </w:pPr>
      <w:r w:rsidRPr="006B0B81">
        <w:rPr>
          <w:rFonts w:cstheme="minorHAnsi"/>
        </w:rPr>
        <w:t xml:space="preserve">1. Per lo svolgimento delle attività di cui al presente Protocollo d’intesa, viene pattuito un contributo complessivo pari a Euro 1.440.000, così come specificato nell’elenco di cui all’articolo 1 del decreto direttoriale n. 139 del 5 aprile 2019 citato in premessa. </w:t>
      </w:r>
    </w:p>
    <w:p w:rsidR="00967AAF" w:rsidRPr="006B0B81" w:rsidRDefault="00967AAF" w:rsidP="00967AAF">
      <w:pPr>
        <w:spacing w:after="0" w:line="20" w:lineRule="atLeast"/>
        <w:jc w:val="both"/>
        <w:rPr>
          <w:rFonts w:cstheme="minorHAnsi"/>
        </w:rPr>
      </w:pPr>
      <w:r w:rsidRPr="006B0B81">
        <w:rPr>
          <w:rFonts w:cstheme="minorHAnsi"/>
        </w:rPr>
        <w:t xml:space="preserve">2. La Regione viene esonerata dal prestare cauzione ai sensi dell’art. 54 del Regolamento per l’Amministrazione del patrimonio e la contabilità generale dello Stato. </w:t>
      </w:r>
    </w:p>
    <w:p w:rsidR="00967AAF" w:rsidRPr="006B0B81" w:rsidRDefault="00967AAF" w:rsidP="00967AAF">
      <w:pPr>
        <w:spacing w:after="0" w:line="20" w:lineRule="atLeast"/>
        <w:jc w:val="both"/>
        <w:rPr>
          <w:rFonts w:cstheme="minorHAnsi"/>
        </w:rPr>
      </w:pPr>
      <w:r w:rsidRPr="006B0B81">
        <w:rPr>
          <w:rFonts w:cstheme="minorHAnsi"/>
        </w:rPr>
        <w:t xml:space="preserve">3. L'onere a carico del Ministero graverà sul cap. 3538 “Fondo per le non autosufficienze”. </w:t>
      </w:r>
    </w:p>
    <w:p w:rsidR="00967AAF" w:rsidRPr="006B0B81" w:rsidRDefault="00967AAF" w:rsidP="00967AAF">
      <w:pPr>
        <w:spacing w:after="0" w:line="20" w:lineRule="atLeast"/>
        <w:jc w:val="both"/>
        <w:rPr>
          <w:rFonts w:cstheme="minorHAnsi"/>
        </w:rPr>
      </w:pPr>
      <w:r w:rsidRPr="006B0B81">
        <w:rPr>
          <w:rFonts w:cstheme="minorHAnsi"/>
        </w:rPr>
        <w:t xml:space="preserve">4. Ai fini della rendicontazione sull’utilizzo del contributo di cui al primo comma del presente articolo, verranno ritenute ammissibili unicamente le spese con le seguenti caratteristiche: x strettamente connesse alle azioni progettuali previste dal progetto; x sostenute nel periodo compreso tra la data di sottoscrizione del presente Protocollo e la data del termine del progetto; x individuate in un elenco analitico dei titoli di spesa sostenuti dagli ambiti e verificati dalla Regione, accompagnato dai pertinenti atti della Regione attestanti l’avvenuta erogazione dei fondi agli ambiti territoriali. Non sono in ogni caso ammissibili le seguenti spese: x contributi in natura quali personale, locali, beni durevoli, attrezzature di proprietà della Regione o dell’Ambito, etc.; x ammortamento di beni esistenti. </w:t>
      </w:r>
    </w:p>
    <w:p w:rsidR="00967AAF" w:rsidRPr="006B0B81" w:rsidRDefault="00967AAF" w:rsidP="00967AAF">
      <w:pPr>
        <w:spacing w:after="0" w:line="20" w:lineRule="atLeast"/>
        <w:jc w:val="both"/>
        <w:rPr>
          <w:rFonts w:cstheme="minorHAnsi"/>
        </w:rPr>
      </w:pPr>
      <w:r w:rsidRPr="006B0B81">
        <w:rPr>
          <w:rFonts w:cstheme="minorHAnsi"/>
        </w:rPr>
        <w:t xml:space="preserve">Articolo 6 (Modalità di liquidazione) </w:t>
      </w:r>
    </w:p>
    <w:p w:rsidR="00967AAF" w:rsidRPr="006B0B81" w:rsidRDefault="00967AAF" w:rsidP="00967AAF">
      <w:pPr>
        <w:spacing w:after="0" w:line="20" w:lineRule="atLeast"/>
        <w:jc w:val="both"/>
        <w:rPr>
          <w:rFonts w:cstheme="minorHAnsi"/>
        </w:rPr>
      </w:pPr>
      <w:r w:rsidRPr="006B0B81">
        <w:rPr>
          <w:rFonts w:cstheme="minorHAnsi"/>
        </w:rPr>
        <w:t xml:space="preserve">1. Il Ministero procederà alla liquidazione delle spese sostenute nel limite massimo della quota di partecipazione a proprio carico di cui all’articolo 5, comma 1, del presente protocollo. </w:t>
      </w:r>
    </w:p>
    <w:p w:rsidR="00967AAF" w:rsidRPr="006B0B81" w:rsidRDefault="00967AAF" w:rsidP="00967AAF">
      <w:pPr>
        <w:spacing w:after="0" w:line="20" w:lineRule="atLeast"/>
        <w:jc w:val="both"/>
        <w:rPr>
          <w:rFonts w:cstheme="minorHAnsi"/>
        </w:rPr>
      </w:pPr>
      <w:r w:rsidRPr="006B0B81">
        <w:rPr>
          <w:rFonts w:cstheme="minorHAnsi"/>
        </w:rPr>
        <w:t xml:space="preserve">2. Ai sensi del punto 50 delle Linee Guida 28 dicembre 2018, la somma di cui al precedente articolo 5, non soggetta ad IVA ai sensi degli artt. 1 e 3 del DPR n. 633/72 e successive modificazioni ed integrazioni, sarà corrisposta, previo accertamento della disponibilità di cassa, mediante accreditamento sul conto di contabilità speciale infruttifero n. conto tesoreria 0031183 intestato alla Regione Lazio aperto presso la Tesoreria Provinciale dello Stato ubicato nel capoluogo di Regione, recante CUP (Codice Unico di Progetto) I89E19000100005, secondo la seguente modalità: a) il 50% del finanziamento accordato a seguito di comunicazione della Regione indicante l’effettivo avvio delle attività. La Regione si impegna a trasmettere attestazione dell’avvenuta ricezione dei fondi; b) il 30% del finanziamento accordato, previa positiva determinazione della Commissione di cui all’art. 4, alla presentazione di un rapporto intermedio di cui al punto 50 delle citate Linee Guida e a seguito della verifica dell’effettivo utilizzo di almeno il 75% della somma erogata all’avvio delle attività. c) il 20%, o comunque il saldo, previa positiva determinazione della Commissione di cui all’art. 4 del presente protocollo, a consuntivo, su presentazione di apposita richiesta di liquidazione, nonché della relazione conclusiva delle attività svolte, corredata della documentazione valida ai fini fiscali giustificativa delle spese sostenute per l’intero ammontare del finanziamento e per la quota di cofinanziamento. D’intesa con la Regione e con un preavviso di almeno 15 giorni, la Direzione Generale per la lotta alla povertà e per la programmazione sociale potrà richiedere la rendicontazione intermedia sullo stato di avanzamento dei lavori. </w:t>
      </w:r>
    </w:p>
    <w:p w:rsidR="00967AAF" w:rsidRPr="006B0B81" w:rsidRDefault="00967AAF" w:rsidP="00967AAF">
      <w:pPr>
        <w:spacing w:after="0" w:line="20" w:lineRule="atLeast"/>
        <w:jc w:val="both"/>
        <w:rPr>
          <w:rFonts w:cstheme="minorHAnsi"/>
        </w:rPr>
      </w:pPr>
      <w:r w:rsidRPr="006B0B81">
        <w:rPr>
          <w:rFonts w:cstheme="minorHAnsi"/>
        </w:rPr>
        <w:t xml:space="preserve">3. Il Ministero non risponde di eventuali ritardi nella liquidazione dei pagamenti determinati da cause non imputabili allo stesso, ma cagionati da controlli di legge, amministrativo-contabili o dovuti ad imponibili di cassa. </w:t>
      </w:r>
    </w:p>
    <w:p w:rsidR="00967AAF" w:rsidRPr="006B0B81" w:rsidRDefault="00967AAF" w:rsidP="00967AAF">
      <w:pPr>
        <w:spacing w:after="0" w:line="20" w:lineRule="atLeast"/>
        <w:jc w:val="both"/>
        <w:rPr>
          <w:rFonts w:cstheme="minorHAnsi"/>
        </w:rPr>
      </w:pPr>
      <w:r w:rsidRPr="006B0B81">
        <w:rPr>
          <w:rFonts w:cstheme="minorHAnsi"/>
        </w:rPr>
        <w:t xml:space="preserve">Articolo 7 (Inadempimenti e penali) </w:t>
      </w:r>
    </w:p>
    <w:p w:rsidR="00967AAF" w:rsidRPr="006B0B81" w:rsidRDefault="00967AAF" w:rsidP="00967AAF">
      <w:pPr>
        <w:spacing w:after="0" w:line="20" w:lineRule="atLeast"/>
        <w:jc w:val="both"/>
        <w:rPr>
          <w:rFonts w:cstheme="minorHAnsi"/>
        </w:rPr>
      </w:pPr>
      <w:r w:rsidRPr="006B0B81">
        <w:rPr>
          <w:rFonts w:cstheme="minorHAnsi"/>
        </w:rPr>
        <w:t xml:space="preserve">1. In caso di grave inadempimento della Regione, il Ministero procederà al recupero del contributo concesso. 2. L'inadempimento è da ritenersi grave al verificarsi delle seguenti circostanze: a) mancanza di organizzazione tale da pregiudicare la regolare realizzazione del progetto; b) adozione di iniziative non concordate con il Ministero tali da arrecare pregiudizio all’andamento del progetto ed al Ministero stesso. </w:t>
      </w:r>
    </w:p>
    <w:p w:rsidR="00967AAF" w:rsidRPr="006B0B81" w:rsidRDefault="00967AAF" w:rsidP="00967AAF">
      <w:pPr>
        <w:spacing w:after="0" w:line="20" w:lineRule="atLeast"/>
        <w:jc w:val="both"/>
        <w:rPr>
          <w:rFonts w:cstheme="minorHAnsi"/>
        </w:rPr>
      </w:pPr>
      <w:r w:rsidRPr="006B0B81">
        <w:rPr>
          <w:rFonts w:cstheme="minorHAnsi"/>
        </w:rPr>
        <w:t>3. La Direzione Generale per la lotta alla povertà e per la programmazione sociale contesterà alla Regione l'inadempimento entro 40 giorni dalla conoscenza da parte del Ministero del verificarsi dello stesso, concedendo ulteriori 10 giorni per eventuali controdeduzioni, decorsi i quali la Direzione Generale per la lotta alla povertà e per la programmazione sociale deciderà con provvedimento motivato.</w:t>
      </w:r>
    </w:p>
    <w:p w:rsidR="00967AAF" w:rsidRPr="006B0B81" w:rsidRDefault="00967AAF" w:rsidP="00967AAF">
      <w:pPr>
        <w:spacing w:after="0" w:line="20" w:lineRule="atLeast"/>
        <w:jc w:val="both"/>
        <w:rPr>
          <w:rFonts w:cstheme="minorHAnsi"/>
        </w:rPr>
      </w:pPr>
      <w:r w:rsidRPr="006B0B81">
        <w:rPr>
          <w:rFonts w:cstheme="minorHAnsi"/>
        </w:rPr>
        <w:t xml:space="preserve"> Articolo 8</w:t>
      </w:r>
    </w:p>
    <w:p w:rsidR="00967AAF" w:rsidRPr="006B0B81" w:rsidRDefault="00967AAF" w:rsidP="00967AAF">
      <w:pPr>
        <w:spacing w:after="0" w:line="20" w:lineRule="atLeast"/>
        <w:jc w:val="both"/>
        <w:rPr>
          <w:rFonts w:cstheme="minorHAnsi"/>
        </w:rPr>
      </w:pPr>
      <w:r w:rsidRPr="006B0B81">
        <w:rPr>
          <w:rFonts w:cstheme="minorHAnsi"/>
        </w:rPr>
        <w:lastRenderedPageBreak/>
        <w:t xml:space="preserve">1. La Regione si impegna ad operare nel pieno rispetto delle leggi e dei regolamenti vigenti. Il Ministero non è responsabile per eventuali danni che possano derivare a terzi dalla gestione delle attività effettuate in modo non conforme agli articoli del presente Protocollo. </w:t>
      </w:r>
    </w:p>
    <w:p w:rsidR="00967AAF" w:rsidRPr="006B0B81" w:rsidRDefault="00967AAF" w:rsidP="00967AAF">
      <w:pPr>
        <w:spacing w:after="0" w:line="20" w:lineRule="atLeast"/>
        <w:jc w:val="both"/>
        <w:rPr>
          <w:rFonts w:cstheme="minorHAnsi"/>
        </w:rPr>
      </w:pPr>
      <w:r w:rsidRPr="006B0B81">
        <w:rPr>
          <w:rFonts w:cstheme="minorHAnsi"/>
        </w:rPr>
        <w:t xml:space="preserve">2. La Regione si impegna, in conseguenza, a sollevare il Ministero da qualsiasi danno, azione, spesa e costo che possano derivare da responsabilità dirette della Regione stessa. </w:t>
      </w:r>
    </w:p>
    <w:p w:rsidR="00967AAF" w:rsidRPr="006B0B81" w:rsidRDefault="00967AAF" w:rsidP="00967AAF">
      <w:pPr>
        <w:spacing w:after="0" w:line="20" w:lineRule="atLeast"/>
        <w:jc w:val="both"/>
        <w:rPr>
          <w:rFonts w:cstheme="minorHAnsi"/>
        </w:rPr>
      </w:pPr>
      <w:r w:rsidRPr="006B0B81">
        <w:rPr>
          <w:rFonts w:cstheme="minorHAnsi"/>
        </w:rPr>
        <w:t xml:space="preserve">Articolo 9 (Efficacia e modifiche) </w:t>
      </w:r>
    </w:p>
    <w:p w:rsidR="00967AAF" w:rsidRPr="006B0B81" w:rsidRDefault="00967AAF" w:rsidP="00967AAF">
      <w:pPr>
        <w:spacing w:after="0" w:line="20" w:lineRule="atLeast"/>
        <w:jc w:val="both"/>
        <w:rPr>
          <w:rFonts w:cstheme="minorHAnsi"/>
        </w:rPr>
      </w:pPr>
      <w:r w:rsidRPr="006B0B81">
        <w:rPr>
          <w:rFonts w:cstheme="minorHAnsi"/>
        </w:rPr>
        <w:t xml:space="preserve">1. Il presente Protocollo d’Intesa è efficace nei confronti della Regione, nonché del Ministero, solo dopo l'approvazione degli organi di controllo ed il conseguente impegno della spesa. Il Ministero darà immediata informazione di quanto innanzi per permettere alla Regione di assumere gli adempimenti così come previsto nell'art. 1 del presente atto. </w:t>
      </w:r>
    </w:p>
    <w:p w:rsidR="00967AAF" w:rsidRPr="006B0B81" w:rsidRDefault="00967AAF" w:rsidP="00967AAF">
      <w:pPr>
        <w:spacing w:after="0" w:line="20" w:lineRule="atLeast"/>
        <w:jc w:val="both"/>
        <w:rPr>
          <w:rFonts w:cstheme="minorHAnsi"/>
        </w:rPr>
      </w:pPr>
      <w:r w:rsidRPr="006B0B81">
        <w:rPr>
          <w:rFonts w:cstheme="minorHAnsi"/>
        </w:rPr>
        <w:t xml:space="preserve">2. Eventuali modifiche al presente Protocollo d’Intesa devono essere concordate tra le parti. Per ogni autorizzazione non prevista nel presente atto e da richiedersi preventivamente è delegata la dott.ssa Stefania Laudisio, dirigente della. Div. V della Direzione Generale per la lotta alla povertà e per la programmazione sociale del Ministero. </w:t>
      </w:r>
    </w:p>
    <w:p w:rsidR="00967AAF" w:rsidRPr="006B0B81" w:rsidRDefault="00967AAF" w:rsidP="00967AAF">
      <w:pPr>
        <w:spacing w:after="0" w:line="20" w:lineRule="atLeast"/>
        <w:jc w:val="both"/>
        <w:rPr>
          <w:rFonts w:cstheme="minorHAnsi"/>
        </w:rPr>
      </w:pPr>
      <w:r w:rsidRPr="006B0B81">
        <w:rPr>
          <w:rFonts w:cstheme="minorHAnsi"/>
        </w:rPr>
        <w:t xml:space="preserve">Articolo 10 (Clausola compromissoria) </w:t>
      </w:r>
    </w:p>
    <w:p w:rsidR="00967AAF" w:rsidRPr="006B0B81" w:rsidRDefault="00967AAF" w:rsidP="00967AAF">
      <w:pPr>
        <w:spacing w:after="0" w:line="20" w:lineRule="atLeast"/>
        <w:jc w:val="both"/>
        <w:rPr>
          <w:rFonts w:cstheme="minorHAnsi"/>
        </w:rPr>
      </w:pPr>
      <w:r w:rsidRPr="006B0B81">
        <w:rPr>
          <w:rFonts w:cstheme="minorHAnsi"/>
        </w:rPr>
        <w:t xml:space="preserve">1. Per ogni controversia che possa insorgere in ordine alla validità, interpretazione, esecuzione o risoluzione del presente Protocollo, dopo un preliminare tentativo di soluzione in via conciliativa, sarà competente in via esclusiva il Foro di Roma ai sensi dell’art. 15 della legge 7 agosto 1990 n. 241. Il presente atto, letto, confermato e firmato digitalmente, è stipulato nell’interesse pubblico e l’eventuale registrazione su pubblici registri, per il caso d’uso, sarà a carico della parte che la richiede. Il presente Protocollo di Intesa si compone di 10 articoli. </w:t>
      </w:r>
    </w:p>
    <w:p w:rsidR="00967AAF" w:rsidRPr="006B0B81" w:rsidRDefault="00967AAF" w:rsidP="00967AAF">
      <w:pPr>
        <w:spacing w:after="0" w:line="20" w:lineRule="atLeast"/>
        <w:jc w:val="both"/>
        <w:rPr>
          <w:rFonts w:cstheme="minorHAnsi"/>
        </w:rPr>
      </w:pPr>
      <w:r w:rsidRPr="006B0B81">
        <w:rPr>
          <w:rFonts w:cstheme="minorHAnsi"/>
        </w:rPr>
        <w:t xml:space="preserve">Roma, lì __________________ </w:t>
      </w:r>
    </w:p>
    <w:p w:rsidR="00967AAF" w:rsidRPr="006B0B81" w:rsidRDefault="00967AAF" w:rsidP="00967AAF">
      <w:pPr>
        <w:spacing w:after="0" w:line="20" w:lineRule="atLeast"/>
        <w:jc w:val="both"/>
        <w:rPr>
          <w:rFonts w:cstheme="minorHAnsi"/>
        </w:rPr>
      </w:pPr>
      <w:r w:rsidRPr="006B0B81">
        <w:rPr>
          <w:rFonts w:cstheme="minorHAnsi"/>
        </w:rPr>
        <w:t xml:space="preserve">Regione Lazio Direzione Regionale Politiche per l’Inclusione IL DIRETTORE Valentino Mantini </w:t>
      </w:r>
    </w:p>
    <w:p w:rsidR="00967AAF" w:rsidRDefault="00967AAF" w:rsidP="00967AAF">
      <w:pPr>
        <w:spacing w:after="0" w:line="20" w:lineRule="atLeast"/>
        <w:jc w:val="both"/>
        <w:rPr>
          <w:rFonts w:cstheme="minorHAnsi"/>
        </w:rPr>
      </w:pPr>
      <w:r w:rsidRPr="006B0B81">
        <w:rPr>
          <w:rFonts w:cstheme="minorHAnsi"/>
        </w:rPr>
        <w:t>IL DIRETTORE GENERALE Raffaele Tangorra Documento firmato digitalmente ai sensi degli articoli 20 e 21 del d.lgs. 7 marzo 2005, n. 82.</w:t>
      </w:r>
    </w:p>
    <w:p w:rsidR="006D2FD0" w:rsidRDefault="006D2FD0" w:rsidP="00967AAF">
      <w:pPr>
        <w:spacing w:after="0" w:line="20" w:lineRule="atLeast"/>
        <w:jc w:val="both"/>
        <w:rPr>
          <w:rFonts w:cstheme="minorHAnsi"/>
        </w:rPr>
      </w:pPr>
    </w:p>
    <w:p w:rsidR="007A5543" w:rsidRPr="00E46EF1" w:rsidRDefault="006D2FD0" w:rsidP="007A5543">
      <w:pPr>
        <w:spacing w:after="0" w:line="20" w:lineRule="atLeast"/>
        <w:jc w:val="both"/>
        <w:rPr>
          <w:rFonts w:cstheme="minorHAnsi"/>
        </w:rPr>
      </w:pPr>
      <w:r w:rsidRPr="00983BF8">
        <w:rPr>
          <w:rFonts w:cstheme="minorHAnsi"/>
          <w:b/>
        </w:rPr>
        <w:t xml:space="preserve">Determinazione 22 luglio 2019, n. G09926, </w:t>
      </w:r>
      <w:r w:rsidRPr="00983BF8">
        <w:rPr>
          <w:rFonts w:cstheme="minorHAnsi"/>
        </w:rPr>
        <w:t>Linee guida per lo svolgimento del servizio di trasporto scolastico degli alunni con disabilità residenti nella Regione Lazio e frequentanti le Istituzioni Scolastiche secondarie di II grado statali o paritarie o i Percorsi triennali di IeFP. Anno scolastico 2019/20. Impegno pluriennale di spesa di euro 1.700.000,00 in favore di creditori diversi a valere sul Capitolo F11900 di cui euro 850.000,00 per l'esercizio finanziario 2019 e euro 850.000,00 per l'esercizio finanziario 2020 attuazione della spesa</w:t>
      </w:r>
      <w:r w:rsidR="005E2973">
        <w:rPr>
          <w:rFonts w:cstheme="minorHAnsi"/>
        </w:rPr>
        <w:t>.</w:t>
      </w:r>
      <w:r w:rsidR="007A5543">
        <w:rPr>
          <w:rFonts w:cstheme="minorHAnsi"/>
        </w:rPr>
        <w:t xml:space="preserve"> (BUR n. 63 del 6.8.19)</w:t>
      </w:r>
    </w:p>
    <w:p w:rsidR="006D2FD0" w:rsidRPr="00983BF8" w:rsidRDefault="006D2FD0" w:rsidP="006D2FD0">
      <w:pPr>
        <w:autoSpaceDE w:val="0"/>
        <w:autoSpaceDN w:val="0"/>
        <w:adjustRightInd w:val="0"/>
        <w:spacing w:after="0" w:line="20" w:lineRule="atLeast"/>
        <w:jc w:val="both"/>
        <w:rPr>
          <w:rFonts w:cstheme="minorHAnsi"/>
          <w:b/>
        </w:rPr>
      </w:pPr>
      <w:r w:rsidRPr="00983BF8">
        <w:rPr>
          <w:rFonts w:cstheme="minorHAnsi"/>
          <w:b/>
        </w:rPr>
        <w:t>Note</w:t>
      </w:r>
    </w:p>
    <w:p w:rsidR="006D2FD0" w:rsidRPr="00983BF8" w:rsidRDefault="006D2FD0" w:rsidP="006D2FD0">
      <w:pPr>
        <w:autoSpaceDE w:val="0"/>
        <w:autoSpaceDN w:val="0"/>
        <w:adjustRightInd w:val="0"/>
        <w:spacing w:after="0" w:line="20" w:lineRule="atLeast"/>
        <w:jc w:val="both"/>
        <w:rPr>
          <w:rFonts w:cstheme="minorHAnsi"/>
        </w:rPr>
      </w:pPr>
      <w:proofErr w:type="gramStart"/>
      <w:r w:rsidRPr="00983BF8">
        <w:rPr>
          <w:rFonts w:cstheme="minorHAnsi"/>
        </w:rPr>
        <w:t>Vengono  approvate</w:t>
      </w:r>
      <w:proofErr w:type="gramEnd"/>
      <w:r w:rsidRPr="00983BF8">
        <w:rPr>
          <w:rFonts w:cstheme="minorHAnsi"/>
        </w:rPr>
        <w:t xml:space="preserve"> le “Linee guida per lo svolgimento del servizio di trasporto scolastico degli alunni con disabilità residenti nella Regione Lazio e frequentanti le Istituzioni Scolastiche secondarie di II grado statali o paritarie o i Percorsi triennali di IeFP. Anno scolastico 2019/20.” </w:t>
      </w:r>
    </w:p>
    <w:p w:rsidR="006D2FD0" w:rsidRPr="00983BF8" w:rsidRDefault="006D2FD0" w:rsidP="006D2FD0">
      <w:pPr>
        <w:autoSpaceDE w:val="0"/>
        <w:autoSpaceDN w:val="0"/>
        <w:adjustRightInd w:val="0"/>
        <w:spacing w:after="0" w:line="20" w:lineRule="atLeast"/>
        <w:jc w:val="both"/>
        <w:rPr>
          <w:rFonts w:cstheme="minorHAnsi"/>
          <w:b/>
          <w:bCs/>
        </w:rPr>
      </w:pPr>
      <w:r w:rsidRPr="00983BF8">
        <w:rPr>
          <w:rFonts w:cstheme="minorHAnsi"/>
          <w:b/>
          <w:bCs/>
        </w:rPr>
        <w:t>LINEE GUIDA PER LO SVOLGIMENTO DEL SERVIZIO DI TRASPORTO SCOLASTICO</w:t>
      </w:r>
    </w:p>
    <w:p w:rsidR="006D2FD0" w:rsidRPr="00983BF8" w:rsidRDefault="006D2FD0" w:rsidP="006D2FD0">
      <w:pPr>
        <w:autoSpaceDE w:val="0"/>
        <w:autoSpaceDN w:val="0"/>
        <w:adjustRightInd w:val="0"/>
        <w:spacing w:after="0" w:line="20" w:lineRule="atLeast"/>
        <w:jc w:val="both"/>
        <w:rPr>
          <w:rFonts w:cstheme="minorHAnsi"/>
          <w:b/>
          <w:bCs/>
        </w:rPr>
      </w:pPr>
      <w:r w:rsidRPr="00983BF8">
        <w:rPr>
          <w:rFonts w:cstheme="minorHAnsi"/>
          <w:b/>
          <w:bCs/>
        </w:rPr>
        <w:t>DEGLI ALUNNI CON DISABILITÀ RESIDENTI NELLA REGIONE LAZIO E FREQUENTANTI LE ISTITUZIONI SCOLASTICHE SECONDARIE DI II GRADO STATALI O PARITARIE O I PERCORSI TRIENNALI DI IeFP. ANNO SCOLASTICO 2019/20</w:t>
      </w:r>
    </w:p>
    <w:p w:rsidR="006D2FD0" w:rsidRPr="00983BF8" w:rsidRDefault="006D2FD0" w:rsidP="006D2FD0">
      <w:pPr>
        <w:autoSpaceDE w:val="0"/>
        <w:autoSpaceDN w:val="0"/>
        <w:adjustRightInd w:val="0"/>
        <w:spacing w:after="0" w:line="20" w:lineRule="atLeast"/>
        <w:jc w:val="both"/>
        <w:rPr>
          <w:rFonts w:cstheme="minorHAnsi"/>
          <w:b/>
          <w:bCs/>
        </w:rPr>
      </w:pPr>
      <w:r w:rsidRPr="00983BF8">
        <w:rPr>
          <w:rFonts w:cstheme="minorHAnsi"/>
          <w:b/>
          <w:bCs/>
        </w:rPr>
        <w:t>1. PREMESSA</w:t>
      </w:r>
    </w:p>
    <w:p w:rsidR="006D2FD0" w:rsidRPr="00983BF8" w:rsidRDefault="006D2FD0" w:rsidP="006D2FD0">
      <w:pPr>
        <w:autoSpaceDE w:val="0"/>
        <w:autoSpaceDN w:val="0"/>
        <w:adjustRightInd w:val="0"/>
        <w:spacing w:after="0" w:line="20" w:lineRule="atLeast"/>
        <w:jc w:val="both"/>
        <w:rPr>
          <w:rFonts w:cstheme="minorHAnsi"/>
        </w:rPr>
      </w:pPr>
      <w:r w:rsidRPr="00983BF8">
        <w:rPr>
          <w:rFonts w:cstheme="minorHAnsi"/>
        </w:rPr>
        <w:t>Legge Del Rio (legge 7 aprile 2014, n. 56 - Disposizioni sulle città metropolitane, sulle province, sulle unioni e fusioni di comuni), individua nelle Regioni e nei Comuni i due principali livelli territoriali di diretta rappresentanza delle rispettive comunità. Le Regioni e i Comuni, pertanto, insieme agli “enti territoriali di area vasta” denominati Città Metropolitane esercitano le funzioni amministrative preordinate alla tutela e al godimento dei diritti fondamentali.</w:t>
      </w:r>
    </w:p>
    <w:p w:rsidR="006D2FD0" w:rsidRPr="00983BF8" w:rsidRDefault="006D2FD0" w:rsidP="006D2FD0">
      <w:pPr>
        <w:autoSpaceDE w:val="0"/>
        <w:autoSpaceDN w:val="0"/>
        <w:adjustRightInd w:val="0"/>
        <w:spacing w:after="0" w:line="20" w:lineRule="atLeast"/>
        <w:jc w:val="both"/>
        <w:rPr>
          <w:rFonts w:cstheme="minorHAnsi"/>
        </w:rPr>
      </w:pPr>
      <w:r w:rsidRPr="00983BF8">
        <w:rPr>
          <w:rFonts w:cstheme="minorHAnsi"/>
        </w:rPr>
        <w:t>In questo contesto la Regione Lazio, nell’ottica del principio di leale collaborazione e con l’obiettivo di garantire il fondamentale diritto all’istruzione degli studenti con disabilità frequentanti le scuole secondarie di II grado, adotta le presenti linee guida indirizzate ai Comuni del territorio.</w:t>
      </w:r>
    </w:p>
    <w:p w:rsidR="006D2FD0" w:rsidRPr="00983BF8" w:rsidRDefault="006D2FD0" w:rsidP="006D2FD0">
      <w:pPr>
        <w:autoSpaceDE w:val="0"/>
        <w:autoSpaceDN w:val="0"/>
        <w:adjustRightInd w:val="0"/>
        <w:spacing w:after="0" w:line="20" w:lineRule="atLeast"/>
        <w:jc w:val="both"/>
        <w:rPr>
          <w:rFonts w:cstheme="minorHAnsi"/>
          <w:b/>
          <w:bCs/>
        </w:rPr>
      </w:pPr>
      <w:r w:rsidRPr="00983BF8">
        <w:rPr>
          <w:rFonts w:cstheme="minorHAnsi"/>
          <w:b/>
          <w:bCs/>
        </w:rPr>
        <w:t>2. QUADRO NORMATIVO DI RIFERIMENTO</w:t>
      </w:r>
    </w:p>
    <w:p w:rsidR="006D2FD0" w:rsidRPr="00983BF8" w:rsidRDefault="006D2FD0" w:rsidP="006D2FD0">
      <w:pPr>
        <w:autoSpaceDE w:val="0"/>
        <w:autoSpaceDN w:val="0"/>
        <w:adjustRightInd w:val="0"/>
        <w:spacing w:after="0" w:line="20" w:lineRule="atLeast"/>
        <w:jc w:val="both"/>
        <w:rPr>
          <w:rFonts w:cstheme="minorHAnsi"/>
        </w:rPr>
      </w:pPr>
      <w:r w:rsidRPr="00983BF8">
        <w:rPr>
          <w:rFonts w:cstheme="minorHAnsi"/>
        </w:rPr>
        <w:t xml:space="preserve">La Regione Lazio, ai sensi dell’art. 1, comma 947 della legge di stabilità 2016, intende sostenere gli interventi che riguardano le funzioni relative ai servizi di supporto organizzativo di cui all’art.139, comma 1, lettera c) del decreto legislativo n.112/1998 tra cui il servizio di trasporto scolastico, consistente nel trasporto dello </w:t>
      </w:r>
      <w:r w:rsidRPr="00983BF8">
        <w:rPr>
          <w:rFonts w:cstheme="minorHAnsi"/>
        </w:rPr>
        <w:lastRenderedPageBreak/>
        <w:t>studente disabile nel tragitto casa/scuola, e viceversa, al fine di agevolarne la regolare frequenza scolastica e, più in generale, l’esercizio del diritto allo studio.</w:t>
      </w:r>
    </w:p>
    <w:p w:rsidR="006D2FD0" w:rsidRPr="00983BF8" w:rsidRDefault="006D2FD0" w:rsidP="006D2FD0">
      <w:pPr>
        <w:autoSpaceDE w:val="0"/>
        <w:autoSpaceDN w:val="0"/>
        <w:adjustRightInd w:val="0"/>
        <w:spacing w:after="0" w:line="20" w:lineRule="atLeast"/>
        <w:jc w:val="both"/>
        <w:rPr>
          <w:rFonts w:cstheme="minorHAnsi"/>
        </w:rPr>
      </w:pPr>
      <w:r w:rsidRPr="00983BF8">
        <w:rPr>
          <w:rFonts w:cstheme="minorHAnsi"/>
        </w:rPr>
        <w:t>La Regione in base all’art. 89 della Legge Del Rio individua l’ambito comunale quale ambito territoriale ottimale per una efficace organizzazione e gestione del servizio di trasporto scolastico degli alunni disabili del II ciclo, promuovendo anche forme di esercizio associato di detta funzione da parte di più enti locali.</w:t>
      </w:r>
    </w:p>
    <w:p w:rsidR="006D2FD0" w:rsidRPr="00983BF8" w:rsidRDefault="006D2FD0" w:rsidP="006D2FD0">
      <w:pPr>
        <w:autoSpaceDE w:val="0"/>
        <w:autoSpaceDN w:val="0"/>
        <w:adjustRightInd w:val="0"/>
        <w:spacing w:after="0" w:line="20" w:lineRule="atLeast"/>
        <w:jc w:val="both"/>
        <w:rPr>
          <w:rFonts w:cstheme="minorHAnsi"/>
        </w:rPr>
      </w:pPr>
      <w:r w:rsidRPr="00983BF8">
        <w:rPr>
          <w:rFonts w:cstheme="minorHAnsi"/>
        </w:rPr>
        <w:t>L’integrazione scolastica degli alunni con disabilità costituisce un punto di forza della scuola italiana, che vuole essere una comunità accogliente nella quale tutti gli alunni, a prescindere dalle loro diversità funzionali, possano realizzare esperienze di crescita individuale e sociale.</w:t>
      </w:r>
    </w:p>
    <w:p w:rsidR="006D2FD0" w:rsidRPr="00983BF8" w:rsidRDefault="006D2FD0" w:rsidP="006D2FD0">
      <w:pPr>
        <w:autoSpaceDE w:val="0"/>
        <w:autoSpaceDN w:val="0"/>
        <w:adjustRightInd w:val="0"/>
        <w:spacing w:after="0" w:line="20" w:lineRule="atLeast"/>
        <w:jc w:val="both"/>
        <w:rPr>
          <w:rFonts w:cstheme="minorHAnsi"/>
        </w:rPr>
      </w:pPr>
      <w:r w:rsidRPr="00983BF8">
        <w:rPr>
          <w:rFonts w:cstheme="minorHAnsi"/>
        </w:rPr>
        <w:t>Partendo dal percorso scolastico si mira al raggiungimento di una completa inclusione sociale e lavorativa della persona con disabilità, in quanto diritto fondamentale ed ineludibile di ciascun individuo.</w:t>
      </w:r>
    </w:p>
    <w:p w:rsidR="006D2FD0" w:rsidRPr="00983BF8" w:rsidRDefault="006D2FD0" w:rsidP="006D2FD0">
      <w:pPr>
        <w:autoSpaceDE w:val="0"/>
        <w:autoSpaceDN w:val="0"/>
        <w:adjustRightInd w:val="0"/>
        <w:spacing w:after="0" w:line="20" w:lineRule="atLeast"/>
        <w:jc w:val="both"/>
        <w:rPr>
          <w:rFonts w:cstheme="minorHAnsi"/>
        </w:rPr>
      </w:pPr>
      <w:r w:rsidRPr="00983BF8">
        <w:rPr>
          <w:rFonts w:cstheme="minorHAnsi"/>
        </w:rPr>
        <w:t>Tale diritto è stato definitivamente riconosciuto dalla Legge 5 febbraio 1992, n. 104 - Legge-quadro per l'assistenza, l'integrazione sociale e i diritti delle persone handicappate - e successive modifiche con la quale è stato garantito il pieno rispetto della dignità umana e dei diritti di libertà e di autonomia della persona con disabilità al fine di promuoverne la piena integrazione nella famiglia, nella scuola, nel lavoro e nella società attraverso interventi volti a superare stati di emarginazione e di esclusione sociale.</w:t>
      </w:r>
    </w:p>
    <w:p w:rsidR="006D2FD0" w:rsidRPr="00983BF8" w:rsidRDefault="006D2FD0" w:rsidP="006D2FD0">
      <w:pPr>
        <w:autoSpaceDE w:val="0"/>
        <w:autoSpaceDN w:val="0"/>
        <w:adjustRightInd w:val="0"/>
        <w:spacing w:after="0" w:line="20" w:lineRule="atLeast"/>
        <w:jc w:val="both"/>
        <w:rPr>
          <w:rFonts w:cstheme="minorHAnsi"/>
        </w:rPr>
      </w:pPr>
      <w:r w:rsidRPr="00983BF8">
        <w:rPr>
          <w:rFonts w:cstheme="minorHAnsi"/>
        </w:rPr>
        <w:t>Anche in ambito internazionale i diritti delle persone con disabilità sono riconosciuti dalla Convenzione ONU del 2006 che garantisce il diritto all'istruzione delle persone con disabilità senza discriminazioni e su base di pari opportunità, prevedendo un sistema di istruzione inclusivo a tutti i livelli ed un apprendimento continuo lungo tutto l'arco della vita. Tale Convenzione, ratificata dall’Italia con la legge n. 18 del 3 marzo 2009, rappresenta il primo grande trattato sui diritti umani del nuovo millennio ed è un documento di grandissima importanza per la promozione di una nuova cultura riguardo alla condizione delle persone con disabilità e delle loro famiglie.</w:t>
      </w:r>
    </w:p>
    <w:p w:rsidR="006D2FD0" w:rsidRPr="00983BF8" w:rsidRDefault="006D2FD0" w:rsidP="006D2FD0">
      <w:pPr>
        <w:autoSpaceDE w:val="0"/>
        <w:autoSpaceDN w:val="0"/>
        <w:adjustRightInd w:val="0"/>
        <w:spacing w:after="0" w:line="20" w:lineRule="atLeast"/>
        <w:jc w:val="both"/>
        <w:rPr>
          <w:rFonts w:cstheme="minorHAnsi"/>
          <w:b/>
          <w:bCs/>
        </w:rPr>
      </w:pPr>
      <w:r w:rsidRPr="00983BF8">
        <w:rPr>
          <w:rFonts w:cstheme="minorHAnsi"/>
          <w:b/>
          <w:bCs/>
        </w:rPr>
        <w:t>3. SERVIZIO DI TRASPORTO SCOLASTICO</w:t>
      </w:r>
    </w:p>
    <w:p w:rsidR="006D2FD0" w:rsidRPr="00983BF8" w:rsidRDefault="006D2FD0" w:rsidP="006D2FD0">
      <w:pPr>
        <w:autoSpaceDE w:val="0"/>
        <w:autoSpaceDN w:val="0"/>
        <w:adjustRightInd w:val="0"/>
        <w:spacing w:after="0" w:line="20" w:lineRule="atLeast"/>
        <w:jc w:val="both"/>
        <w:rPr>
          <w:rFonts w:cstheme="minorHAnsi"/>
        </w:rPr>
      </w:pPr>
      <w:r w:rsidRPr="00983BF8">
        <w:rPr>
          <w:rFonts w:cstheme="minorHAnsi"/>
        </w:rPr>
        <w:t>Allo scopo di soddisfare in modo efficiente ed efficace le esigenze territoriali e garantire la continuità degli interventi ai soggetti destinatari, la Regione individua i Comuni quali enti gestori del servizio di trasporto in favore degli studenti con disabilità frequentanti le scuole del II ciclo.</w:t>
      </w:r>
    </w:p>
    <w:p w:rsidR="006D2FD0" w:rsidRPr="00983BF8" w:rsidRDefault="006D2FD0" w:rsidP="006D2FD0">
      <w:pPr>
        <w:autoSpaceDE w:val="0"/>
        <w:autoSpaceDN w:val="0"/>
        <w:adjustRightInd w:val="0"/>
        <w:spacing w:after="0" w:line="20" w:lineRule="atLeast"/>
        <w:jc w:val="both"/>
        <w:rPr>
          <w:rFonts w:cstheme="minorHAnsi"/>
          <w:b/>
          <w:bCs/>
        </w:rPr>
      </w:pPr>
      <w:r w:rsidRPr="00983BF8">
        <w:rPr>
          <w:rFonts w:cstheme="minorHAnsi"/>
          <w:b/>
          <w:bCs/>
        </w:rPr>
        <w:t>3.1 Finalità del servizio</w:t>
      </w:r>
    </w:p>
    <w:p w:rsidR="006D2FD0" w:rsidRPr="00983BF8" w:rsidRDefault="006D2FD0" w:rsidP="006D2FD0">
      <w:pPr>
        <w:autoSpaceDE w:val="0"/>
        <w:autoSpaceDN w:val="0"/>
        <w:adjustRightInd w:val="0"/>
        <w:spacing w:after="0" w:line="20" w:lineRule="atLeast"/>
        <w:jc w:val="both"/>
        <w:rPr>
          <w:rFonts w:cstheme="minorHAnsi"/>
        </w:rPr>
      </w:pPr>
      <w:r w:rsidRPr="00983BF8">
        <w:rPr>
          <w:rFonts w:cstheme="minorHAnsi"/>
        </w:rPr>
        <w:t>Le presenti Linee guida, nel dettare criteri e procedure operative da seguire nella realizzazione degli interventi di trasporto in favore degli studenti con disabilità frequentanti le scuole del II ciclo, hanno come obiettivo la creazione di una rete di collaborazione tra enti territoriali finalizzata a garantire ad ogni studente disabile il raggiungimento della propria sede scolastica.</w:t>
      </w:r>
    </w:p>
    <w:p w:rsidR="006D2FD0" w:rsidRPr="00983BF8" w:rsidRDefault="006D2FD0" w:rsidP="006D2FD0">
      <w:pPr>
        <w:autoSpaceDE w:val="0"/>
        <w:autoSpaceDN w:val="0"/>
        <w:adjustRightInd w:val="0"/>
        <w:spacing w:after="0" w:line="20" w:lineRule="atLeast"/>
        <w:jc w:val="both"/>
        <w:rPr>
          <w:rFonts w:cstheme="minorHAnsi"/>
          <w:b/>
          <w:bCs/>
        </w:rPr>
      </w:pPr>
      <w:r w:rsidRPr="00983BF8">
        <w:rPr>
          <w:rFonts w:cstheme="minorHAnsi"/>
          <w:b/>
          <w:bCs/>
        </w:rPr>
        <w:t>3.2 Tipologia del servizio</w:t>
      </w:r>
    </w:p>
    <w:p w:rsidR="006D2FD0" w:rsidRPr="00983BF8" w:rsidRDefault="006D2FD0" w:rsidP="006D2FD0">
      <w:pPr>
        <w:autoSpaceDE w:val="0"/>
        <w:autoSpaceDN w:val="0"/>
        <w:adjustRightInd w:val="0"/>
        <w:spacing w:after="0" w:line="20" w:lineRule="atLeast"/>
        <w:jc w:val="both"/>
        <w:rPr>
          <w:rFonts w:cstheme="minorHAnsi"/>
        </w:rPr>
      </w:pPr>
      <w:r w:rsidRPr="00983BF8">
        <w:rPr>
          <w:rFonts w:cstheme="minorHAnsi"/>
        </w:rPr>
        <w:t>Il servizio consiste nell’organizzazione del trasporto scolastico, anche con mezzi privati, svolto in ambito urbano e interurbano degli studenti con disabilità frequentanti le scuole del II ciclo.</w:t>
      </w:r>
    </w:p>
    <w:p w:rsidR="006D2FD0" w:rsidRPr="00983BF8" w:rsidRDefault="006D2FD0" w:rsidP="006D2FD0">
      <w:pPr>
        <w:autoSpaceDE w:val="0"/>
        <w:autoSpaceDN w:val="0"/>
        <w:adjustRightInd w:val="0"/>
        <w:spacing w:after="0" w:line="20" w:lineRule="atLeast"/>
        <w:jc w:val="both"/>
        <w:rPr>
          <w:rFonts w:cstheme="minorHAnsi"/>
        </w:rPr>
      </w:pPr>
      <w:r w:rsidRPr="00983BF8">
        <w:rPr>
          <w:rFonts w:cstheme="minorHAnsi"/>
        </w:rPr>
        <w:t>Per gli studenti con disabilità certificata ai sensi dell’art. 3, comma 3, della Legge n.104/1992 il servizio dovrà prevedere mezzi di trasporto attrezzati con personale specializzato.</w:t>
      </w:r>
    </w:p>
    <w:p w:rsidR="006D2FD0" w:rsidRPr="00983BF8" w:rsidRDefault="006D2FD0" w:rsidP="006D2FD0">
      <w:pPr>
        <w:autoSpaceDE w:val="0"/>
        <w:autoSpaceDN w:val="0"/>
        <w:adjustRightInd w:val="0"/>
        <w:spacing w:after="0" w:line="20" w:lineRule="atLeast"/>
        <w:jc w:val="both"/>
        <w:rPr>
          <w:rFonts w:cstheme="minorHAnsi"/>
          <w:b/>
          <w:bCs/>
        </w:rPr>
      </w:pPr>
      <w:r w:rsidRPr="00983BF8">
        <w:rPr>
          <w:rFonts w:cstheme="minorHAnsi"/>
          <w:b/>
          <w:bCs/>
        </w:rPr>
        <w:t>3.3 Destinatari del servizio</w:t>
      </w:r>
    </w:p>
    <w:p w:rsidR="006D2FD0" w:rsidRPr="00983BF8" w:rsidRDefault="006D2FD0" w:rsidP="006D2FD0">
      <w:pPr>
        <w:autoSpaceDE w:val="0"/>
        <w:autoSpaceDN w:val="0"/>
        <w:adjustRightInd w:val="0"/>
        <w:spacing w:after="0" w:line="20" w:lineRule="atLeast"/>
        <w:jc w:val="both"/>
        <w:rPr>
          <w:rFonts w:cstheme="minorHAnsi"/>
        </w:rPr>
      </w:pPr>
      <w:r w:rsidRPr="00983BF8">
        <w:rPr>
          <w:rFonts w:cstheme="minorHAnsi"/>
        </w:rPr>
        <w:t>Sono destinatari del servizio di trasporto sopra descritto gli studenti con disabilità certificata residenti nei Comuni della Regione Lazio che frequentano le Istituzioni Scolastiche statali o paritarie o i Percorsi triennali finalizzati all’assolvimento del diritto dovere nell’istruzione e formazione professionale ai sensi dell’art. 28 del Decreto legislativo n. 226/2005.</w:t>
      </w:r>
    </w:p>
    <w:p w:rsidR="006D2FD0" w:rsidRPr="00983BF8" w:rsidRDefault="006D2FD0" w:rsidP="006D2FD0">
      <w:pPr>
        <w:autoSpaceDE w:val="0"/>
        <w:autoSpaceDN w:val="0"/>
        <w:adjustRightInd w:val="0"/>
        <w:spacing w:after="0" w:line="20" w:lineRule="atLeast"/>
        <w:jc w:val="both"/>
        <w:rPr>
          <w:rFonts w:cstheme="minorHAnsi"/>
        </w:rPr>
      </w:pPr>
      <w:r w:rsidRPr="00983BF8">
        <w:rPr>
          <w:rFonts w:cstheme="minorHAnsi"/>
        </w:rPr>
        <w:t>La persona con disabilità è colui che presenta minorazioni fisiche, mentali, intellettuali o sensoriali stabilizzate o progressive che in interazione con varie barriere possono impedirne la piena ed effettiva partecipazione alla società su una base di eguaglianza con gli altri e causare difficoltà di apprendimento, di relazione o di integrazione tali da determinare un processo di svantaggio e di emarginazione.</w:t>
      </w:r>
    </w:p>
    <w:p w:rsidR="006D2FD0" w:rsidRPr="00983BF8" w:rsidRDefault="006D2FD0" w:rsidP="006D2FD0">
      <w:pPr>
        <w:autoSpaceDE w:val="0"/>
        <w:autoSpaceDN w:val="0"/>
        <w:adjustRightInd w:val="0"/>
        <w:spacing w:after="0" w:line="20" w:lineRule="atLeast"/>
        <w:jc w:val="both"/>
        <w:rPr>
          <w:rFonts w:cstheme="minorHAnsi"/>
        </w:rPr>
      </w:pPr>
      <w:r w:rsidRPr="00983BF8">
        <w:rPr>
          <w:rFonts w:cstheme="minorHAnsi"/>
        </w:rPr>
        <w:t>Lo studente dovrà essere in possesso della certificazione di disabilità e di diagnosi funzionale rilasciata dalla ASL competente (verbale di accertamento dell’handicap ex L.104 in corso di validità).</w:t>
      </w:r>
    </w:p>
    <w:p w:rsidR="006D2FD0" w:rsidRPr="00983BF8" w:rsidRDefault="006D2FD0" w:rsidP="006D2FD0">
      <w:pPr>
        <w:autoSpaceDE w:val="0"/>
        <w:autoSpaceDN w:val="0"/>
        <w:adjustRightInd w:val="0"/>
        <w:spacing w:after="0" w:line="20" w:lineRule="atLeast"/>
        <w:jc w:val="both"/>
        <w:rPr>
          <w:rFonts w:cstheme="minorHAnsi"/>
        </w:rPr>
      </w:pPr>
      <w:r w:rsidRPr="00983BF8">
        <w:rPr>
          <w:rFonts w:cstheme="minorHAnsi"/>
        </w:rPr>
        <w:t>Si specifica, inoltre, che:</w:t>
      </w:r>
    </w:p>
    <w:p w:rsidR="006D2FD0" w:rsidRPr="00983BF8" w:rsidRDefault="006D2FD0" w:rsidP="006D2FD0">
      <w:pPr>
        <w:autoSpaceDE w:val="0"/>
        <w:autoSpaceDN w:val="0"/>
        <w:adjustRightInd w:val="0"/>
        <w:spacing w:after="0" w:line="20" w:lineRule="atLeast"/>
        <w:jc w:val="both"/>
        <w:rPr>
          <w:rFonts w:cstheme="minorHAnsi"/>
        </w:rPr>
      </w:pPr>
      <w:r w:rsidRPr="00983BF8">
        <w:rPr>
          <w:rFonts w:cstheme="minorHAnsi"/>
        </w:rPr>
        <w:t>a) gli alunni ultra diciottenni che devono iscriversi al 1° anno di scuola superiore nell’ambito dei percorsi di II livello presso i CPIA (ex corsi serali) godono di tutti i diritti previsti per gli alunni con disabilità frequentanti le scuole superiori del mattino e quindi anche del servizio di trasporto scolastico;</w:t>
      </w:r>
    </w:p>
    <w:p w:rsidR="006D2FD0" w:rsidRPr="00983BF8" w:rsidRDefault="006D2FD0" w:rsidP="006D2FD0">
      <w:pPr>
        <w:autoSpaceDE w:val="0"/>
        <w:autoSpaceDN w:val="0"/>
        <w:adjustRightInd w:val="0"/>
        <w:spacing w:after="0" w:line="20" w:lineRule="atLeast"/>
        <w:jc w:val="both"/>
        <w:rPr>
          <w:rFonts w:cstheme="minorHAnsi"/>
        </w:rPr>
      </w:pPr>
      <w:r w:rsidRPr="00983BF8">
        <w:rPr>
          <w:rFonts w:cstheme="minorHAnsi"/>
        </w:rPr>
        <w:t xml:space="preserve">b) gli alunni ultra diciottenni che hanno già frequentato interamente un corso di istruzione secondaria superiore (sia pure di diversa tipologia) e siano in possesso del correlato titolo di studio non possono usufruire </w:t>
      </w:r>
      <w:r w:rsidRPr="00983BF8">
        <w:rPr>
          <w:rFonts w:cstheme="minorHAnsi"/>
        </w:rPr>
        <w:lastRenderedPageBreak/>
        <w:t>del servizio di trasporto sulla base delle presenti linee guida il cui quadro di riferimento normativo afferisce alla garanzia del diritto allo studio, realizzato con il conseguimento del titolo.</w:t>
      </w:r>
    </w:p>
    <w:p w:rsidR="006D2FD0" w:rsidRPr="00983BF8" w:rsidRDefault="006D2FD0" w:rsidP="006D2FD0">
      <w:pPr>
        <w:autoSpaceDE w:val="0"/>
        <w:autoSpaceDN w:val="0"/>
        <w:adjustRightInd w:val="0"/>
        <w:spacing w:after="0" w:line="20" w:lineRule="atLeast"/>
        <w:jc w:val="both"/>
        <w:rPr>
          <w:rFonts w:cstheme="minorHAnsi"/>
        </w:rPr>
      </w:pPr>
      <w:r w:rsidRPr="00983BF8">
        <w:rPr>
          <w:rFonts w:cstheme="minorHAnsi"/>
        </w:rPr>
        <w:t>I Comuni, nell’esercizio, della propria autonomia potranno individuare ulteriori requisiti per accedere al servizio.</w:t>
      </w:r>
    </w:p>
    <w:p w:rsidR="006D2FD0" w:rsidRPr="00983BF8" w:rsidRDefault="006D2FD0" w:rsidP="006D2FD0">
      <w:pPr>
        <w:autoSpaceDE w:val="0"/>
        <w:autoSpaceDN w:val="0"/>
        <w:adjustRightInd w:val="0"/>
        <w:spacing w:after="0" w:line="20" w:lineRule="atLeast"/>
        <w:jc w:val="both"/>
        <w:rPr>
          <w:rFonts w:cstheme="minorHAnsi"/>
          <w:b/>
          <w:bCs/>
        </w:rPr>
      </w:pPr>
      <w:r w:rsidRPr="00983BF8">
        <w:rPr>
          <w:rFonts w:cstheme="minorHAnsi"/>
          <w:b/>
          <w:bCs/>
        </w:rPr>
        <w:t>4. MODALITA’ OPERATIVE PER I COMUNI</w:t>
      </w:r>
    </w:p>
    <w:p w:rsidR="006D2FD0" w:rsidRPr="00983BF8" w:rsidRDefault="006D2FD0" w:rsidP="006D2FD0">
      <w:pPr>
        <w:autoSpaceDE w:val="0"/>
        <w:autoSpaceDN w:val="0"/>
        <w:adjustRightInd w:val="0"/>
        <w:spacing w:after="0" w:line="20" w:lineRule="atLeast"/>
        <w:jc w:val="both"/>
        <w:rPr>
          <w:rFonts w:cstheme="minorHAnsi"/>
        </w:rPr>
      </w:pPr>
      <w:r w:rsidRPr="00983BF8">
        <w:rPr>
          <w:rFonts w:cstheme="minorHAnsi"/>
        </w:rPr>
        <w:t>I Comuni di residenza provvederanno a raccogliere le domande delle famiglie predisponendo apposita modulistica e definendo, nell’esercizio della propria autonomia, ulteriori requisiti, modi e tempi per accedere al servizio.</w:t>
      </w:r>
    </w:p>
    <w:p w:rsidR="006D2FD0" w:rsidRPr="00983BF8" w:rsidRDefault="006D2FD0" w:rsidP="006D2FD0">
      <w:pPr>
        <w:autoSpaceDE w:val="0"/>
        <w:autoSpaceDN w:val="0"/>
        <w:adjustRightInd w:val="0"/>
        <w:spacing w:after="0" w:line="20" w:lineRule="atLeast"/>
        <w:jc w:val="both"/>
        <w:rPr>
          <w:rFonts w:cstheme="minorHAnsi"/>
        </w:rPr>
      </w:pPr>
      <w:r w:rsidRPr="00983BF8">
        <w:rPr>
          <w:rFonts w:cstheme="minorHAnsi"/>
        </w:rPr>
        <w:t>In ogni caso il servizio di trasporto dovrà rispettare le seguenti condizioni:</w:t>
      </w:r>
    </w:p>
    <w:p w:rsidR="006D2FD0" w:rsidRPr="00983BF8" w:rsidRDefault="006D2FD0" w:rsidP="006D2FD0">
      <w:pPr>
        <w:autoSpaceDE w:val="0"/>
        <w:autoSpaceDN w:val="0"/>
        <w:adjustRightInd w:val="0"/>
        <w:spacing w:after="0" w:line="20" w:lineRule="atLeast"/>
        <w:jc w:val="both"/>
        <w:rPr>
          <w:rFonts w:cstheme="minorHAnsi"/>
        </w:rPr>
      </w:pPr>
      <w:r w:rsidRPr="00983BF8">
        <w:rPr>
          <w:rFonts w:cstheme="minorHAnsi"/>
        </w:rPr>
        <w:t>- su richiesta della famiglia potrà essere erogato, nei periodi di lezione previsti dal calendario scolastico regionale, in forma completa (andata e ritorno dello studente) o parziale (solo andata, solo ritorno, solo in alcuni giorni, solo in alcuni periodi dell’anno scolastico);</w:t>
      </w:r>
    </w:p>
    <w:p w:rsidR="006D2FD0" w:rsidRPr="00983BF8" w:rsidRDefault="006D2FD0" w:rsidP="006D2FD0">
      <w:pPr>
        <w:autoSpaceDE w:val="0"/>
        <w:autoSpaceDN w:val="0"/>
        <w:adjustRightInd w:val="0"/>
        <w:spacing w:after="0" w:line="20" w:lineRule="atLeast"/>
        <w:jc w:val="both"/>
        <w:rPr>
          <w:rFonts w:cstheme="minorHAnsi"/>
        </w:rPr>
      </w:pPr>
      <w:r w:rsidRPr="00983BF8">
        <w:rPr>
          <w:rFonts w:cstheme="minorHAnsi"/>
        </w:rPr>
        <w:t>- verrà garantito anche nei giorni in cui è previsto lo svolgimento degli esami di Stato o di qualifica;</w:t>
      </w:r>
    </w:p>
    <w:p w:rsidR="006D2FD0" w:rsidRPr="00983BF8" w:rsidRDefault="006D2FD0" w:rsidP="006D2FD0">
      <w:pPr>
        <w:autoSpaceDE w:val="0"/>
        <w:autoSpaceDN w:val="0"/>
        <w:adjustRightInd w:val="0"/>
        <w:spacing w:after="0" w:line="20" w:lineRule="atLeast"/>
        <w:jc w:val="both"/>
        <w:rPr>
          <w:rFonts w:cstheme="minorHAnsi"/>
        </w:rPr>
      </w:pPr>
      <w:r w:rsidRPr="00983BF8">
        <w:rPr>
          <w:rFonts w:cstheme="minorHAnsi"/>
        </w:rPr>
        <w:t>- di norma coprirà il tragitto dall’indirizzo di residenza dell’alunno alla sede dell’Istituto Scolastico e viceversa salvo particolari richieste che il Comune si riserverà di valutare;</w:t>
      </w:r>
    </w:p>
    <w:p w:rsidR="006D2FD0" w:rsidRPr="00983BF8" w:rsidRDefault="006D2FD0" w:rsidP="006D2FD0">
      <w:pPr>
        <w:autoSpaceDE w:val="0"/>
        <w:autoSpaceDN w:val="0"/>
        <w:adjustRightInd w:val="0"/>
        <w:spacing w:after="0" w:line="20" w:lineRule="atLeast"/>
        <w:jc w:val="both"/>
        <w:rPr>
          <w:rFonts w:cstheme="minorHAnsi"/>
        </w:rPr>
      </w:pPr>
      <w:r w:rsidRPr="00983BF8">
        <w:rPr>
          <w:rFonts w:cstheme="minorHAnsi"/>
        </w:rPr>
        <w:t>- per gli studenti con disabilità certificata ai sensi dell’art. 3, comma 3, della Legge n.104/1992 dovrà prevedere mezzi di trasporto attrezzati con personale specializzato.</w:t>
      </w:r>
    </w:p>
    <w:p w:rsidR="006D2FD0" w:rsidRPr="00983BF8" w:rsidRDefault="006D2FD0" w:rsidP="006D2FD0">
      <w:pPr>
        <w:autoSpaceDE w:val="0"/>
        <w:autoSpaceDN w:val="0"/>
        <w:adjustRightInd w:val="0"/>
        <w:spacing w:after="0" w:line="20" w:lineRule="atLeast"/>
        <w:jc w:val="both"/>
        <w:rPr>
          <w:rFonts w:cstheme="minorHAnsi"/>
        </w:rPr>
      </w:pPr>
      <w:r w:rsidRPr="00983BF8">
        <w:rPr>
          <w:rFonts w:cstheme="minorHAnsi"/>
        </w:rPr>
        <w:t>I Comuni potranno organizzare il servizio direttamente (in forma singola o associata) o attraverso l’affidamento a soggetti terzi.</w:t>
      </w:r>
    </w:p>
    <w:p w:rsidR="006D2FD0" w:rsidRPr="00983BF8" w:rsidRDefault="006D2FD0" w:rsidP="006D2FD0">
      <w:pPr>
        <w:autoSpaceDE w:val="0"/>
        <w:autoSpaceDN w:val="0"/>
        <w:adjustRightInd w:val="0"/>
        <w:spacing w:after="0" w:line="20" w:lineRule="atLeast"/>
        <w:jc w:val="both"/>
        <w:rPr>
          <w:rFonts w:cstheme="minorHAnsi"/>
          <w:b/>
          <w:bCs/>
        </w:rPr>
      </w:pPr>
      <w:r w:rsidRPr="00983BF8">
        <w:rPr>
          <w:rFonts w:cstheme="minorHAnsi"/>
        </w:rPr>
        <w:t xml:space="preserve">In alternativa i Comuni potranno decidere di gestire il servizio attraverso la concessione di contributi economici forfettari direttamente alle famiglie degli utenti da calcolare su base chilometrica </w:t>
      </w:r>
      <w:r w:rsidRPr="00983BF8">
        <w:rPr>
          <w:rFonts w:cstheme="minorHAnsi"/>
          <w:b/>
          <w:bCs/>
        </w:rPr>
        <w:t>e in funzione del numero dei giorni di presenza a scuola certificati dall’istituto di riferimento.</w:t>
      </w:r>
    </w:p>
    <w:p w:rsidR="006D2FD0" w:rsidRPr="00983BF8" w:rsidRDefault="006D2FD0" w:rsidP="006D2FD0">
      <w:pPr>
        <w:autoSpaceDE w:val="0"/>
        <w:autoSpaceDN w:val="0"/>
        <w:adjustRightInd w:val="0"/>
        <w:spacing w:after="0" w:line="20" w:lineRule="atLeast"/>
        <w:jc w:val="both"/>
        <w:rPr>
          <w:rFonts w:cstheme="minorHAnsi"/>
          <w:b/>
          <w:bCs/>
        </w:rPr>
      </w:pPr>
      <w:r w:rsidRPr="00983BF8">
        <w:rPr>
          <w:rFonts w:cstheme="minorHAnsi"/>
          <w:b/>
          <w:bCs/>
        </w:rPr>
        <w:t>I Comuni dovranno garantire l’espletamento del servizio nell’intero ambito territoriale di loro competenza non potendo circoscriverlo ad ambiti territoriali di ampiezza sub comunale (municipi, frazioni, ecc.).</w:t>
      </w:r>
    </w:p>
    <w:p w:rsidR="006D2FD0" w:rsidRPr="00983BF8" w:rsidRDefault="006D2FD0" w:rsidP="006D2FD0">
      <w:pPr>
        <w:autoSpaceDE w:val="0"/>
        <w:autoSpaceDN w:val="0"/>
        <w:adjustRightInd w:val="0"/>
        <w:spacing w:after="0" w:line="20" w:lineRule="atLeast"/>
        <w:jc w:val="both"/>
        <w:rPr>
          <w:rFonts w:cstheme="minorHAnsi"/>
          <w:b/>
          <w:bCs/>
        </w:rPr>
      </w:pPr>
      <w:r w:rsidRPr="00983BF8">
        <w:rPr>
          <w:rFonts w:cstheme="minorHAnsi"/>
          <w:b/>
          <w:bCs/>
        </w:rPr>
        <w:t>5. RISORSE FINANZIARIE DISPONIBILI</w:t>
      </w:r>
    </w:p>
    <w:p w:rsidR="006D2FD0" w:rsidRPr="00983BF8" w:rsidRDefault="006D2FD0" w:rsidP="006D2FD0">
      <w:pPr>
        <w:autoSpaceDE w:val="0"/>
        <w:autoSpaceDN w:val="0"/>
        <w:adjustRightInd w:val="0"/>
        <w:spacing w:after="0" w:line="20" w:lineRule="atLeast"/>
        <w:jc w:val="both"/>
        <w:rPr>
          <w:rFonts w:cstheme="minorHAnsi"/>
        </w:rPr>
      </w:pPr>
      <w:r w:rsidRPr="00983BF8">
        <w:rPr>
          <w:rFonts w:cstheme="minorHAnsi"/>
        </w:rPr>
        <w:t>La Regione eroga ai Comuni un contributo per l’organizzazione del servizio di trasporto scolastico degli alunni con disabilità residenti nella Regione Lazio e frequentanti le scuole secondarie di secondo grado, a questo scopo stanzia risorse pari a 1.700.000,00 euro a valere sul capitolo F11900 – “spese per il diritto allo studio (parte corrente) – trasferimenti correnti ad amministrazioni locali” macroaggregato 1.04.01.02.000 - di cui euro 850.000,00 per l’esercizio finanziario 2019 e euro 850.000,00 per l’esercizio finanziario 2020.</w:t>
      </w:r>
    </w:p>
    <w:p w:rsidR="006D2FD0" w:rsidRPr="00983BF8" w:rsidRDefault="006D2FD0" w:rsidP="006D2FD0">
      <w:pPr>
        <w:autoSpaceDE w:val="0"/>
        <w:autoSpaceDN w:val="0"/>
        <w:adjustRightInd w:val="0"/>
        <w:spacing w:after="0" w:line="20" w:lineRule="atLeast"/>
        <w:jc w:val="both"/>
        <w:rPr>
          <w:rFonts w:cstheme="minorHAnsi"/>
          <w:b/>
          <w:bCs/>
        </w:rPr>
      </w:pPr>
      <w:r w:rsidRPr="00983BF8">
        <w:rPr>
          <w:rFonts w:cstheme="minorHAnsi"/>
          <w:b/>
          <w:bCs/>
        </w:rPr>
        <w:t>5.1 Criteri, modalità e tempistiche di assegnazione del contributo</w:t>
      </w:r>
    </w:p>
    <w:p w:rsidR="006D2FD0" w:rsidRPr="00983BF8" w:rsidRDefault="006D2FD0" w:rsidP="006D2FD0">
      <w:pPr>
        <w:autoSpaceDE w:val="0"/>
        <w:autoSpaceDN w:val="0"/>
        <w:adjustRightInd w:val="0"/>
        <w:spacing w:after="0" w:line="20" w:lineRule="atLeast"/>
        <w:jc w:val="both"/>
        <w:rPr>
          <w:rFonts w:cstheme="minorHAnsi"/>
        </w:rPr>
      </w:pPr>
      <w:r w:rsidRPr="00983BF8">
        <w:rPr>
          <w:rFonts w:cstheme="minorHAnsi"/>
        </w:rPr>
        <w:t>Il valore del contributo regionale per ciascuno studente disabile potrà coprire, di norma, un massimo di 30 chilometri complessivi tra andata e ritorno dello studente per ogni giornata di frequenza e comunque non potrà essere superiore all’importo di euro 2.500 annui per utente. Tale stima è effettuata calcolando una spesa media di 0,40 euro al chilometro.</w:t>
      </w:r>
    </w:p>
    <w:p w:rsidR="006D2FD0" w:rsidRPr="00983BF8" w:rsidRDefault="006D2FD0" w:rsidP="006D2FD0">
      <w:pPr>
        <w:autoSpaceDE w:val="0"/>
        <w:autoSpaceDN w:val="0"/>
        <w:adjustRightInd w:val="0"/>
        <w:spacing w:after="0" w:line="20" w:lineRule="atLeast"/>
        <w:jc w:val="both"/>
        <w:rPr>
          <w:rFonts w:cstheme="minorHAnsi"/>
        </w:rPr>
      </w:pPr>
      <w:r w:rsidRPr="00983BF8">
        <w:rPr>
          <w:rFonts w:cstheme="minorHAnsi"/>
        </w:rPr>
        <w:t>Si precisa che in caso di interventi di trasporto estremamente complessi e onerosi a causa di situazioni territoriali di particolare isolamento e/o della gravità della disabilità certificata (art. 3, comma 3, della Legge n.104/1992) verrà valutata la possibilità di erogare un contributo specifico nei limiti della disponibilità delle risorse.</w:t>
      </w:r>
    </w:p>
    <w:p w:rsidR="006D2FD0" w:rsidRPr="00983BF8" w:rsidRDefault="006D2FD0" w:rsidP="006D2FD0">
      <w:pPr>
        <w:autoSpaceDE w:val="0"/>
        <w:autoSpaceDN w:val="0"/>
        <w:adjustRightInd w:val="0"/>
        <w:spacing w:after="0" w:line="20" w:lineRule="atLeast"/>
        <w:jc w:val="both"/>
        <w:rPr>
          <w:rFonts w:cstheme="minorHAnsi"/>
        </w:rPr>
      </w:pPr>
      <w:r w:rsidRPr="00983BF8">
        <w:rPr>
          <w:rFonts w:cstheme="minorHAnsi"/>
        </w:rPr>
        <w:t>I Comuni provvederanno alla raccolta e alla valutazione delle richieste, alla compilazione dell’elenco degli aventi diritto e all’attivazione del servizio.</w:t>
      </w:r>
    </w:p>
    <w:p w:rsidR="006D2FD0" w:rsidRPr="00983BF8" w:rsidRDefault="006D2FD0" w:rsidP="006D2FD0">
      <w:pPr>
        <w:autoSpaceDE w:val="0"/>
        <w:autoSpaceDN w:val="0"/>
        <w:adjustRightInd w:val="0"/>
        <w:spacing w:after="0" w:line="20" w:lineRule="atLeast"/>
        <w:jc w:val="both"/>
        <w:rPr>
          <w:rFonts w:cstheme="minorHAnsi"/>
        </w:rPr>
      </w:pPr>
      <w:r w:rsidRPr="00983BF8">
        <w:rPr>
          <w:rFonts w:cstheme="minorHAnsi"/>
        </w:rPr>
        <w:t xml:space="preserve">Per accedere al contributo regionale i Comuni dovranno trasmettere all’indirizzo di posta elettronica certificata programmazione.istruzione@regione.lazio.legalmail.it </w:t>
      </w:r>
      <w:r w:rsidRPr="00983BF8">
        <w:rPr>
          <w:rFonts w:cstheme="minorHAnsi"/>
          <w:b/>
          <w:bCs/>
        </w:rPr>
        <w:t xml:space="preserve">entro e non oltre il 30 settembre 2019 </w:t>
      </w:r>
      <w:r w:rsidRPr="00983BF8">
        <w:rPr>
          <w:rFonts w:cstheme="minorHAnsi"/>
        </w:rPr>
        <w:t>una nota riepilogativa con l’indicazione del numero degli utenti assistiti specificando per ciascuno il numero complessivo dei chilometri percorsi giornalmente e se si tratta di studente con disabilità grave (certificata ai sensi dell’art. 3, comma 3, della Legge n.104/1992).</w:t>
      </w:r>
    </w:p>
    <w:p w:rsidR="006D2FD0" w:rsidRPr="00983BF8" w:rsidRDefault="006D2FD0" w:rsidP="006D2FD0">
      <w:pPr>
        <w:autoSpaceDE w:val="0"/>
        <w:autoSpaceDN w:val="0"/>
        <w:adjustRightInd w:val="0"/>
        <w:spacing w:after="0" w:line="20" w:lineRule="atLeast"/>
        <w:jc w:val="both"/>
        <w:rPr>
          <w:rFonts w:cstheme="minorHAnsi"/>
          <w:b/>
          <w:bCs/>
        </w:rPr>
      </w:pPr>
      <w:r w:rsidRPr="00983BF8">
        <w:rPr>
          <w:rFonts w:cstheme="minorHAnsi"/>
          <w:b/>
          <w:bCs/>
        </w:rPr>
        <w:t>Ai sensi del nuovo Regolamento (UE) 2016/679 sulla privacy tale nota riepilogativa non dovrà contenere elementi di identificazione personale e altri dati sensibili in quanto non necessari ai fini della quantificazione del contributo.</w:t>
      </w:r>
    </w:p>
    <w:p w:rsidR="006D2FD0" w:rsidRPr="00983BF8" w:rsidRDefault="006D2FD0" w:rsidP="006D2FD0">
      <w:pPr>
        <w:autoSpaceDE w:val="0"/>
        <w:autoSpaceDN w:val="0"/>
        <w:adjustRightInd w:val="0"/>
        <w:spacing w:after="0" w:line="20" w:lineRule="atLeast"/>
        <w:jc w:val="both"/>
        <w:rPr>
          <w:rFonts w:cstheme="minorHAnsi"/>
          <w:b/>
          <w:bCs/>
        </w:rPr>
      </w:pPr>
      <w:r w:rsidRPr="00983BF8">
        <w:rPr>
          <w:rFonts w:cstheme="minorHAnsi"/>
          <w:b/>
          <w:bCs/>
        </w:rPr>
        <w:t>I Comuni che non trasmetteranno la nota riepilogativa entro il termine stabilito non potranno in alcun modo accedere al contributo regionale.</w:t>
      </w:r>
    </w:p>
    <w:p w:rsidR="006D2FD0" w:rsidRPr="00983BF8" w:rsidRDefault="006D2FD0" w:rsidP="006D2FD0">
      <w:pPr>
        <w:autoSpaceDE w:val="0"/>
        <w:autoSpaceDN w:val="0"/>
        <w:adjustRightInd w:val="0"/>
        <w:spacing w:after="0" w:line="20" w:lineRule="atLeast"/>
        <w:jc w:val="both"/>
        <w:rPr>
          <w:rFonts w:cstheme="minorHAnsi"/>
        </w:rPr>
      </w:pPr>
      <w:r w:rsidRPr="00983BF8">
        <w:rPr>
          <w:rFonts w:cstheme="minorHAnsi"/>
        </w:rPr>
        <w:t xml:space="preserve">La Regione entro il termine di 90 giorni dall’inizio dell’anno scolastico provvederà ad adottare il piano di riparto delle risorse tra i singoli Comuni e ad impegnare e a liquidare una prima quota pari al 50% del </w:t>
      </w:r>
      <w:r w:rsidRPr="00983BF8">
        <w:rPr>
          <w:rFonts w:cstheme="minorHAnsi"/>
        </w:rPr>
        <w:lastRenderedPageBreak/>
        <w:t>contributo totale assegnato. In questa fase l’importo del contributo potrà essere rideterminato rispetto ai parametri di calcolo sopra indicati in base alla stima effettiva della spesa comunicata dai Comuni in rapporto alle risorse regionali disponibili.</w:t>
      </w:r>
    </w:p>
    <w:p w:rsidR="006D2FD0" w:rsidRPr="00983BF8" w:rsidRDefault="006D2FD0" w:rsidP="006D2FD0">
      <w:pPr>
        <w:autoSpaceDE w:val="0"/>
        <w:autoSpaceDN w:val="0"/>
        <w:adjustRightInd w:val="0"/>
        <w:spacing w:after="0" w:line="20" w:lineRule="atLeast"/>
        <w:jc w:val="both"/>
        <w:rPr>
          <w:rFonts w:cstheme="minorHAnsi"/>
        </w:rPr>
      </w:pPr>
      <w:r w:rsidRPr="00983BF8">
        <w:rPr>
          <w:rFonts w:cstheme="minorHAnsi"/>
        </w:rPr>
        <w:t xml:space="preserve">La restante quota del contributo - nei limiti delle spese sostenute e sino all’importo massimo riconoscibile - verrà erogata a saldo previa presentazione </w:t>
      </w:r>
      <w:r w:rsidRPr="00983BF8">
        <w:rPr>
          <w:rFonts w:cstheme="minorHAnsi"/>
          <w:b/>
          <w:bCs/>
        </w:rPr>
        <w:t xml:space="preserve">entro e non oltre il 31 luglio 2020 </w:t>
      </w:r>
      <w:r w:rsidRPr="00983BF8">
        <w:rPr>
          <w:rFonts w:cstheme="minorHAnsi"/>
        </w:rPr>
        <w:t>di una relazione di rendicontazione finale contenente tutte le specifiche dei singoli interventi realizzati.</w:t>
      </w:r>
    </w:p>
    <w:p w:rsidR="006D2FD0" w:rsidRPr="00983BF8" w:rsidRDefault="006D2FD0" w:rsidP="006D2FD0">
      <w:pPr>
        <w:autoSpaceDE w:val="0"/>
        <w:autoSpaceDN w:val="0"/>
        <w:adjustRightInd w:val="0"/>
        <w:spacing w:after="0" w:line="20" w:lineRule="atLeast"/>
        <w:jc w:val="both"/>
        <w:rPr>
          <w:rFonts w:cstheme="minorHAnsi"/>
        </w:rPr>
      </w:pPr>
      <w:r w:rsidRPr="00983BF8">
        <w:rPr>
          <w:rFonts w:cstheme="minorHAnsi"/>
        </w:rPr>
        <w:t>N.B.: nella relazione di rendicontazione dovranno essere indicati necessariamente i giorni di effettiva frequenza scolastica degli alunni che hanno usufruito del servizio di trasporto su attestazione della scuola di riferimento che il Comune avrà cura di acquisire.</w:t>
      </w:r>
    </w:p>
    <w:p w:rsidR="006D2FD0" w:rsidRPr="00983BF8" w:rsidRDefault="006D2FD0" w:rsidP="006D2FD0">
      <w:pPr>
        <w:autoSpaceDE w:val="0"/>
        <w:autoSpaceDN w:val="0"/>
        <w:adjustRightInd w:val="0"/>
        <w:spacing w:after="0" w:line="20" w:lineRule="atLeast"/>
        <w:jc w:val="both"/>
        <w:rPr>
          <w:rFonts w:cstheme="minorHAnsi"/>
          <w:b/>
          <w:bCs/>
        </w:rPr>
      </w:pPr>
      <w:r w:rsidRPr="00983BF8">
        <w:rPr>
          <w:rFonts w:cstheme="minorHAnsi"/>
          <w:b/>
          <w:bCs/>
        </w:rPr>
        <w:t>5.2 Adempimenti dei Comuni</w:t>
      </w:r>
    </w:p>
    <w:p w:rsidR="006D2FD0" w:rsidRPr="00983BF8" w:rsidRDefault="006D2FD0" w:rsidP="006D2FD0">
      <w:pPr>
        <w:autoSpaceDE w:val="0"/>
        <w:autoSpaceDN w:val="0"/>
        <w:adjustRightInd w:val="0"/>
        <w:spacing w:after="0" w:line="20" w:lineRule="atLeast"/>
        <w:jc w:val="both"/>
        <w:rPr>
          <w:rFonts w:cstheme="minorHAnsi"/>
        </w:rPr>
      </w:pPr>
      <w:r w:rsidRPr="00983BF8">
        <w:rPr>
          <w:rFonts w:cstheme="minorHAnsi"/>
        </w:rPr>
        <w:t>Si ribadiscono a titolo riepilogativo i principali adempimenti dei Comuni:</w:t>
      </w:r>
    </w:p>
    <w:p w:rsidR="006D2FD0" w:rsidRPr="00983BF8" w:rsidRDefault="006D2FD0" w:rsidP="006D2FD0">
      <w:pPr>
        <w:autoSpaceDE w:val="0"/>
        <w:autoSpaceDN w:val="0"/>
        <w:adjustRightInd w:val="0"/>
        <w:spacing w:after="0" w:line="20" w:lineRule="atLeast"/>
        <w:jc w:val="both"/>
        <w:rPr>
          <w:rFonts w:cstheme="minorHAnsi"/>
        </w:rPr>
      </w:pPr>
      <w:r w:rsidRPr="00983BF8">
        <w:rPr>
          <w:rFonts w:cstheme="minorHAnsi"/>
        </w:rPr>
        <w:t>- acquisizione delle domande e attivazione del servizio di trasporto entro l’inizio dell’anno scolastico;</w:t>
      </w:r>
    </w:p>
    <w:p w:rsidR="006D2FD0" w:rsidRPr="00983BF8" w:rsidRDefault="006D2FD0" w:rsidP="006D2FD0">
      <w:pPr>
        <w:autoSpaceDE w:val="0"/>
        <w:autoSpaceDN w:val="0"/>
        <w:adjustRightInd w:val="0"/>
        <w:spacing w:after="0" w:line="20" w:lineRule="atLeast"/>
        <w:jc w:val="both"/>
        <w:rPr>
          <w:rFonts w:cstheme="minorHAnsi"/>
        </w:rPr>
      </w:pPr>
      <w:r w:rsidRPr="00983BF8">
        <w:rPr>
          <w:rFonts w:cstheme="minorHAnsi"/>
        </w:rPr>
        <w:t xml:space="preserve">- trasmissione all’indirizzo pec programmazione.istruzione@regione.lazio.legalmail.it </w:t>
      </w:r>
      <w:r w:rsidRPr="00983BF8">
        <w:rPr>
          <w:rFonts w:cstheme="minorHAnsi"/>
          <w:b/>
          <w:bCs/>
        </w:rPr>
        <w:t xml:space="preserve">entro e non oltre il 30 settembre 2019 </w:t>
      </w:r>
      <w:r w:rsidRPr="00983BF8">
        <w:rPr>
          <w:rFonts w:cstheme="minorHAnsi"/>
        </w:rPr>
        <w:t>della nota riepilogativa con l’indicazione del numero degli utenti assistiti specificando per ciascuno il numero complessivo dei chilometri percorsi giornalmente e se si tratta di studente con disabilità grave (certificata ai sensi dell’art. 3, comma 3, della Legge n.104/1992);</w:t>
      </w:r>
    </w:p>
    <w:p w:rsidR="006D2FD0" w:rsidRPr="00983BF8" w:rsidRDefault="006D2FD0" w:rsidP="006D2FD0">
      <w:pPr>
        <w:autoSpaceDE w:val="0"/>
        <w:autoSpaceDN w:val="0"/>
        <w:adjustRightInd w:val="0"/>
        <w:spacing w:after="0" w:line="20" w:lineRule="atLeast"/>
        <w:jc w:val="both"/>
        <w:rPr>
          <w:rFonts w:cstheme="minorHAnsi"/>
        </w:rPr>
      </w:pPr>
      <w:r w:rsidRPr="00983BF8">
        <w:rPr>
          <w:rFonts w:cstheme="minorHAnsi"/>
        </w:rPr>
        <w:t>- acquisizione per ogni utente dell’attestazione dei giorni di effettiva frequenza scolastica da parte dell’istituto di riferimento al termine dell’anno scolastico;</w:t>
      </w:r>
    </w:p>
    <w:p w:rsidR="006D2FD0" w:rsidRPr="00983BF8" w:rsidRDefault="006D2FD0" w:rsidP="006D2FD0">
      <w:pPr>
        <w:autoSpaceDE w:val="0"/>
        <w:autoSpaceDN w:val="0"/>
        <w:adjustRightInd w:val="0"/>
        <w:spacing w:after="0" w:line="20" w:lineRule="atLeast"/>
        <w:jc w:val="both"/>
        <w:rPr>
          <w:rFonts w:cstheme="minorHAnsi"/>
        </w:rPr>
      </w:pPr>
      <w:r w:rsidRPr="00983BF8">
        <w:rPr>
          <w:rFonts w:cstheme="minorHAnsi"/>
        </w:rPr>
        <w:t xml:space="preserve">- presentazione </w:t>
      </w:r>
      <w:r w:rsidRPr="00983BF8">
        <w:rPr>
          <w:rFonts w:cstheme="minorHAnsi"/>
          <w:b/>
          <w:bCs/>
        </w:rPr>
        <w:t xml:space="preserve">entro e non oltre il 31 luglio 2020 </w:t>
      </w:r>
      <w:r w:rsidRPr="00983BF8">
        <w:rPr>
          <w:rFonts w:cstheme="minorHAnsi"/>
        </w:rPr>
        <w:t>di una relazione di rendicontazione finale giustificativa contenente tutte le specifiche dei singoli interventi realizzati.</w:t>
      </w:r>
    </w:p>
    <w:p w:rsidR="006D2FD0" w:rsidRPr="00983BF8" w:rsidRDefault="006D2FD0" w:rsidP="006D2FD0">
      <w:pPr>
        <w:autoSpaceDE w:val="0"/>
        <w:autoSpaceDN w:val="0"/>
        <w:adjustRightInd w:val="0"/>
        <w:spacing w:after="0" w:line="20" w:lineRule="atLeast"/>
        <w:jc w:val="both"/>
        <w:rPr>
          <w:rFonts w:cstheme="minorHAnsi"/>
        </w:rPr>
      </w:pPr>
      <w:r w:rsidRPr="00983BF8">
        <w:rPr>
          <w:rFonts w:cstheme="minorHAnsi"/>
        </w:rPr>
        <w:t>I Comuni saranno tenuti a conservare la documentazione giustificativa del servizio erogato ed i relativi atti contabili al fine consentire verifiche - anche a campione - che la Regione Lazio potrà eventualmente disporre.</w:t>
      </w:r>
    </w:p>
    <w:p w:rsidR="006D2FD0" w:rsidRDefault="006D2FD0" w:rsidP="006D2FD0">
      <w:pPr>
        <w:autoSpaceDE w:val="0"/>
        <w:autoSpaceDN w:val="0"/>
        <w:adjustRightInd w:val="0"/>
        <w:spacing w:after="0" w:line="20" w:lineRule="atLeast"/>
        <w:jc w:val="both"/>
        <w:rPr>
          <w:rFonts w:cstheme="minorHAnsi"/>
          <w:b/>
          <w:bCs/>
        </w:rPr>
      </w:pPr>
      <w:r w:rsidRPr="00983BF8">
        <w:rPr>
          <w:rFonts w:cstheme="minorHAnsi"/>
        </w:rPr>
        <w:t>I contributi inutilizzati in tutto o in parte dovranno essere restituiti alla Regione Lazio.</w:t>
      </w:r>
      <w:r w:rsidRPr="00983BF8">
        <w:rPr>
          <w:rFonts w:cstheme="minorHAnsi"/>
          <w:b/>
          <w:bCs/>
        </w:rPr>
        <w:t xml:space="preserve"> </w:t>
      </w:r>
    </w:p>
    <w:p w:rsidR="00315F03" w:rsidRDefault="00315F03" w:rsidP="006D2FD0">
      <w:pPr>
        <w:autoSpaceDE w:val="0"/>
        <w:autoSpaceDN w:val="0"/>
        <w:adjustRightInd w:val="0"/>
        <w:spacing w:after="0" w:line="20" w:lineRule="atLeast"/>
        <w:jc w:val="both"/>
        <w:rPr>
          <w:rFonts w:cstheme="minorHAnsi"/>
          <w:b/>
          <w:bCs/>
        </w:rPr>
      </w:pPr>
    </w:p>
    <w:p w:rsidR="00315F03" w:rsidRPr="00315F03" w:rsidRDefault="00315F03" w:rsidP="00315F03">
      <w:pPr>
        <w:autoSpaceDE w:val="0"/>
        <w:autoSpaceDN w:val="0"/>
        <w:adjustRightInd w:val="0"/>
        <w:spacing w:after="0" w:line="20" w:lineRule="atLeast"/>
        <w:jc w:val="both"/>
      </w:pPr>
      <w:r w:rsidRPr="00315F03">
        <w:rPr>
          <w:b/>
        </w:rPr>
        <w:t>Determinazione 8 agosto 2019, n. G</w:t>
      </w:r>
      <w:proofErr w:type="gramStart"/>
      <w:r w:rsidRPr="00315F03">
        <w:rPr>
          <w:b/>
        </w:rPr>
        <w:t>10864</w:t>
      </w:r>
      <w:r w:rsidRPr="00315F03">
        <w:t>,  Legge</w:t>
      </w:r>
      <w:proofErr w:type="gramEnd"/>
      <w:r w:rsidRPr="00315F03">
        <w:t xml:space="preserve"> 13/1989 e L.R. 18.6.91 n. 21, art. 32 – Disposizioni per favorire il superamento e l'eliminazione delle barriere architettoniche negli edifici privati – Approvazione graduatorie e assunzione degli impegni di spesa sul capitolo E56102 (Missione 12, Programma 02, aggregato 2.03.01.02.000) per scorrimento graduatoria con codice A e con codice B per complessivi € 12.835.259,28 – Esercizio finanziario 2019. (BUR n. 68 del 22.8.19)</w:t>
      </w:r>
    </w:p>
    <w:p w:rsidR="00315F03" w:rsidRPr="00315F03" w:rsidRDefault="00315F03" w:rsidP="00315F03">
      <w:pPr>
        <w:autoSpaceDE w:val="0"/>
        <w:autoSpaceDN w:val="0"/>
        <w:adjustRightInd w:val="0"/>
        <w:spacing w:after="0" w:line="20" w:lineRule="atLeast"/>
        <w:jc w:val="both"/>
        <w:rPr>
          <w:b/>
        </w:rPr>
      </w:pPr>
      <w:r w:rsidRPr="00315F03">
        <w:rPr>
          <w:b/>
        </w:rPr>
        <w:t>Note</w:t>
      </w:r>
    </w:p>
    <w:p w:rsidR="00315F03" w:rsidRPr="00315F03" w:rsidRDefault="00315F03" w:rsidP="00315F03">
      <w:pPr>
        <w:autoSpaceDE w:val="0"/>
        <w:autoSpaceDN w:val="0"/>
        <w:adjustRightInd w:val="0"/>
        <w:spacing w:after="0" w:line="20" w:lineRule="atLeast"/>
        <w:jc w:val="both"/>
      </w:pPr>
      <w:r w:rsidRPr="00315F03">
        <w:t xml:space="preserve">Viene approvata la graduatoria regionale relativa alle domande presentate ai sensi della Legge 13/1989, entro il 1° marzo 2019, riportate negli allegati “1” e “2”, che formano parte integrante del presente provvedimento, comprensiva delle domande trasmesse in ritardo dai Comuni e delle integrazioni relative alle domande di variazione di invalidità, </w:t>
      </w:r>
    </w:p>
    <w:p w:rsidR="00315F03" w:rsidRDefault="00315F03" w:rsidP="00315F03">
      <w:pPr>
        <w:autoSpaceDE w:val="0"/>
        <w:autoSpaceDN w:val="0"/>
        <w:adjustRightInd w:val="0"/>
        <w:spacing w:after="0" w:line="20" w:lineRule="atLeast"/>
        <w:jc w:val="both"/>
      </w:pPr>
      <w:r w:rsidRPr="00315F03">
        <w:t xml:space="preserve">Viene impegnato l’importo di € 8.332.932,43 per gli importi elencati nel dettaglio a favore delle Amministrazioni comunali. </w:t>
      </w:r>
    </w:p>
    <w:p w:rsidR="0096114A" w:rsidRPr="0096114A" w:rsidRDefault="0096114A" w:rsidP="00315F03">
      <w:pPr>
        <w:autoSpaceDE w:val="0"/>
        <w:autoSpaceDN w:val="0"/>
        <w:adjustRightInd w:val="0"/>
        <w:spacing w:after="0" w:line="20" w:lineRule="atLeast"/>
        <w:jc w:val="both"/>
      </w:pPr>
    </w:p>
    <w:p w:rsidR="00BD6350" w:rsidRDefault="00B953F8" w:rsidP="00BD6350">
      <w:pPr>
        <w:spacing w:after="0" w:line="20" w:lineRule="atLeast"/>
        <w:jc w:val="both"/>
      </w:pPr>
      <w:r w:rsidRPr="007B30AC">
        <w:rPr>
          <w:b/>
        </w:rPr>
        <w:t xml:space="preserve">DGR 6 agosto 2019, n. </w:t>
      </w:r>
      <w:proofErr w:type="gramStart"/>
      <w:r w:rsidRPr="007B30AC">
        <w:rPr>
          <w:b/>
        </w:rPr>
        <w:t>607</w:t>
      </w:r>
      <w:r>
        <w:rPr>
          <w:b/>
        </w:rPr>
        <w:t xml:space="preserve">, </w:t>
      </w:r>
      <w:r w:rsidRPr="007B30AC">
        <w:t xml:space="preserve"> L.R.</w:t>
      </w:r>
      <w:proofErr w:type="gramEnd"/>
      <w:r w:rsidRPr="007B30AC">
        <w:t>11/2016</w:t>
      </w:r>
      <w:r>
        <w:t xml:space="preserve">   Approvazione dello schema di Accordo di Programma fra la Regione Lazio e l'I.P.A.B. "Centro regionale S. Alessio - Margherita di Savoia per i Ciechi" per la prosecuzione annuale dei servizi in favore dei cittadini ciechi e con pluridisabilità, di cui alla legge 28 agosto 1997 n. 284, art. 3, alla legge regionale 14 gennaio 1987 n. 8 e alla legge regionale 28 dicembre 2007 n. 26, art. 17.</w:t>
      </w:r>
      <w:r w:rsidR="00BD6350">
        <w:t xml:space="preserve"> (BUR n. 70 del 29.8.19)</w:t>
      </w:r>
    </w:p>
    <w:p w:rsidR="00B953F8" w:rsidRPr="000F6547" w:rsidRDefault="00B953F8" w:rsidP="00B953F8">
      <w:pPr>
        <w:spacing w:after="0" w:line="20" w:lineRule="atLeast"/>
        <w:jc w:val="both"/>
        <w:rPr>
          <w:b/>
        </w:rPr>
      </w:pPr>
      <w:r w:rsidRPr="000F6547">
        <w:rPr>
          <w:b/>
        </w:rPr>
        <w:t>Note</w:t>
      </w:r>
    </w:p>
    <w:p w:rsidR="00B953F8" w:rsidRDefault="00B953F8" w:rsidP="00B953F8">
      <w:pPr>
        <w:spacing w:after="0" w:line="20" w:lineRule="atLeast"/>
        <w:jc w:val="both"/>
      </w:pPr>
      <w:r>
        <w:t xml:space="preserve">Nelle more del completamento del processo di regolamentazione e trasformazione delle istituzioni pubbliche di assistenza e beneficenza </w:t>
      </w:r>
      <w:proofErr w:type="gramStart"/>
      <w:r>
        <w:t>viene  ritenuto</w:t>
      </w:r>
      <w:proofErr w:type="gramEnd"/>
      <w:r>
        <w:t xml:space="preserve"> necessario avvalersi delle prestazioni delle IPAB conformemente a quanto disposto dal citato comma 5, art. 38 della l.r. 11/2016.</w:t>
      </w:r>
    </w:p>
    <w:p w:rsidR="00B953F8" w:rsidRDefault="00B953F8" w:rsidP="00B953F8">
      <w:pPr>
        <w:spacing w:after="0" w:line="20" w:lineRule="atLeast"/>
        <w:jc w:val="both"/>
      </w:pPr>
      <w:r>
        <w:t xml:space="preserve">Viene </w:t>
      </w:r>
      <w:proofErr w:type="gramStart"/>
      <w:r>
        <w:t>ritenuto  necessario</w:t>
      </w:r>
      <w:proofErr w:type="gramEnd"/>
      <w:r>
        <w:t xml:space="preserve">  garantire a livello regionale, in ragione della loro rilevanza sociale, la continuità di erogazione dei menzionati Servizi Educativi da parte dell‟I.P.A.B. “Centro regionale S. Alessio Margherita di Savoia per i Ciechi”, sulla base della presentazione e della valutazione complessiva di apposito progetto per l</w:t>
      </w:r>
      <w:r w:rsidR="00BD6350">
        <w:t>’</w:t>
      </w:r>
      <w:r>
        <w:t>annualità 2019/2020.</w:t>
      </w:r>
    </w:p>
    <w:p w:rsidR="00B953F8" w:rsidRDefault="00B953F8" w:rsidP="00B953F8">
      <w:pPr>
        <w:spacing w:after="0" w:line="20" w:lineRule="atLeast"/>
        <w:jc w:val="both"/>
      </w:pPr>
      <w:r>
        <w:t>Viene pertanto approvazione lo schema di Accordo di Programma fra la Regione Lazio e l'I.P.A.B. "Centro regionale S. Alessio - Margherita di Savoia per i Ciechi</w:t>
      </w:r>
    </w:p>
    <w:p w:rsidR="00B953F8" w:rsidRDefault="00B953F8" w:rsidP="00B953F8">
      <w:pPr>
        <w:spacing w:after="0" w:line="20" w:lineRule="atLeast"/>
        <w:jc w:val="both"/>
      </w:pPr>
      <w:r>
        <w:t xml:space="preserve">ACCORDO DI PROGRAMMA </w:t>
      </w:r>
    </w:p>
    <w:p w:rsidR="00B953F8" w:rsidRDefault="00B953F8" w:rsidP="00B953F8">
      <w:pPr>
        <w:spacing w:after="0" w:line="20" w:lineRule="atLeast"/>
        <w:jc w:val="both"/>
      </w:pPr>
      <w:r>
        <w:lastRenderedPageBreak/>
        <w:t xml:space="preserve">Articolo 1 Recepimento delle premesse e termini di riferimento </w:t>
      </w:r>
    </w:p>
    <w:p w:rsidR="00B953F8" w:rsidRDefault="00B953F8" w:rsidP="00B953F8">
      <w:pPr>
        <w:spacing w:after="0" w:line="20" w:lineRule="atLeast"/>
        <w:jc w:val="both"/>
      </w:pPr>
      <w:r>
        <w:t xml:space="preserve">1. Le premesse di cui sopra costituiscono parte integrante e sostanziale del presente Accordo di Programma (di seguito denominato “Accordo”). </w:t>
      </w:r>
    </w:p>
    <w:p w:rsidR="00B953F8" w:rsidRDefault="00B953F8" w:rsidP="00B953F8">
      <w:pPr>
        <w:spacing w:after="0" w:line="20" w:lineRule="atLeast"/>
        <w:jc w:val="both"/>
      </w:pPr>
      <w:r>
        <w:t xml:space="preserve">2. Agli effetti del presente Accordo si intendono: a) per Regione la Regione Lazio; b) per I.P.A.B., l’I.P.A.B. “Centro regionale S. Alessio - Margherita di Savoia per i Ciechi”, unica istituzione operante nel Lazio a favore dei cittadini privi della vista; c) per Comitato tecnico l’apposito Comitato tecnico, a composizione mista, con rappresentanti regionali e dell’I.P.A.B. Articolo </w:t>
      </w:r>
    </w:p>
    <w:p w:rsidR="00B953F8" w:rsidRDefault="00B953F8" w:rsidP="00B953F8">
      <w:pPr>
        <w:spacing w:after="0" w:line="20" w:lineRule="atLeast"/>
        <w:jc w:val="both"/>
      </w:pPr>
      <w:r>
        <w:t xml:space="preserve">2 Oggetto e finalità </w:t>
      </w:r>
    </w:p>
    <w:p w:rsidR="00B953F8" w:rsidRDefault="00B953F8" w:rsidP="00B953F8">
      <w:pPr>
        <w:spacing w:after="0" w:line="20" w:lineRule="atLeast"/>
        <w:jc w:val="both"/>
      </w:pPr>
      <w:r>
        <w:t xml:space="preserve">1. Oggetto del presente Accordo è quello di dare continuità ed implementare per l’annualità (aprile 2019 - marzo 2020) i Servizi Educativi Domiciliari e Territoriali offerti dall’I.P.A.B. “Centro regionale S. Alessio - Margherita di Savoia per i Ciechi”, finalizzati al sostegno della persona disabile visiva e disabile visiva pluriminorata nel suo percorso di vita, in conformità con quanto stabilito nel Piano di attività presentato dallo stesso ed oggetto di specifica valutazione. Tali servizi intendono favorire e potenziare i processi di inclusione umana, scolastica, lavorativa e sociale, ed il conseguimento degli obiettivi avviene mediante l’elaborazione di progetti individualizzati che investono l’area della autonomia della persona, della comunicazione, del movimento, l’area relazionale e quella didattica. </w:t>
      </w:r>
    </w:p>
    <w:p w:rsidR="00B953F8" w:rsidRDefault="00B953F8" w:rsidP="00B953F8">
      <w:pPr>
        <w:spacing w:after="0" w:line="20" w:lineRule="atLeast"/>
        <w:jc w:val="both"/>
      </w:pPr>
      <w:r>
        <w:t xml:space="preserve">2. In particolare, le attività avranno come obiettivi quelli dell’impiego compensativo dei sensi vicari, del recupero delle abilità, del potenziamento delle autonomie personali, scolastiche, domestiche ed ambientali e della pianificazione di azioni mirate a contrastare l’aggravamento delle capacità già compromesse. </w:t>
      </w:r>
    </w:p>
    <w:p w:rsidR="00B953F8" w:rsidRDefault="00B953F8" w:rsidP="00B953F8">
      <w:pPr>
        <w:spacing w:after="0" w:line="20" w:lineRule="atLeast"/>
        <w:jc w:val="both"/>
      </w:pPr>
      <w:r>
        <w:t>3. Le azioni, di cui al precedente punto 2, sono rivolte ai cittadini della Regione Lazio di qualsiasi età con disabilità visiva ex legge 138/2001, anche con pluriminorazioni, congenite o acquisite;</w:t>
      </w:r>
    </w:p>
    <w:p w:rsidR="00B953F8" w:rsidRDefault="00B953F8" w:rsidP="00B953F8">
      <w:pPr>
        <w:spacing w:after="0" w:line="20" w:lineRule="atLeast"/>
        <w:jc w:val="both"/>
      </w:pPr>
      <w:r>
        <w:t xml:space="preserve">4. I Servizi Educativi si svolgono presso i domicili degli utenti di tutta la Regione Lazio e presso tutte le strutture territoriali ubicate a Roma, Frosinone, Viterbo, Latina e Rieti. Inoltre, vengono svolte attività laboratoriali di espressione corporea e stimolazione sensoriali e percettivo-motorie presso il “Centro regionale S. Alessio - Margherita di Savoia per i Ciechi”. Tali Servizi Educativi comportano le seguenti azioni: </w:t>
      </w:r>
      <w:r>
        <w:rPr>
          <w:rFonts w:ascii="Calibri" w:hAnsi="Calibri" w:cs="Calibri"/>
        </w:rPr>
        <w:t>ƒ</w:t>
      </w:r>
      <w:r>
        <w:t xml:space="preserve"> individuare le esigenze della persona disabile in relazione alle sue proprie condizioni di vita, personali, familiari ed ambientali; </w:t>
      </w:r>
    </w:p>
    <w:p w:rsidR="00B953F8" w:rsidRDefault="00B953F8" w:rsidP="00B953F8">
      <w:pPr>
        <w:spacing w:after="0" w:line="20" w:lineRule="atLeast"/>
        <w:jc w:val="both"/>
      </w:pPr>
      <w:proofErr w:type="gramStart"/>
      <w:r>
        <w:rPr>
          <w:rFonts w:ascii="Calibri" w:hAnsi="Calibri" w:cs="Calibri"/>
        </w:rPr>
        <w:t>ƒ</w:t>
      </w:r>
      <w:proofErr w:type="gramEnd"/>
      <w:r>
        <w:t xml:space="preserve"> predisporre un progetto personalizzato di interventi educativi domiciliari e territoriali; </w:t>
      </w:r>
    </w:p>
    <w:p w:rsidR="00B953F8" w:rsidRDefault="00B953F8" w:rsidP="00B953F8">
      <w:pPr>
        <w:spacing w:after="0" w:line="20" w:lineRule="atLeast"/>
        <w:jc w:val="both"/>
      </w:pPr>
      <w:proofErr w:type="gramStart"/>
      <w:r>
        <w:rPr>
          <w:rFonts w:ascii="Calibri" w:hAnsi="Calibri" w:cs="Calibri"/>
        </w:rPr>
        <w:t>ƒ</w:t>
      </w:r>
      <w:proofErr w:type="gramEnd"/>
      <w:r>
        <w:t xml:space="preserve"> selezionare l’operatore tiflopedagogico le cui competenze sono atte ad eseguire il progetto definito;</w:t>
      </w:r>
    </w:p>
    <w:p w:rsidR="00B953F8" w:rsidRDefault="00B953F8" w:rsidP="00B953F8">
      <w:pPr>
        <w:spacing w:after="0" w:line="20" w:lineRule="atLeast"/>
        <w:jc w:val="both"/>
      </w:pPr>
      <w:proofErr w:type="gramStart"/>
      <w:r>
        <w:rPr>
          <w:rFonts w:ascii="Calibri" w:hAnsi="Calibri" w:cs="Calibri"/>
        </w:rPr>
        <w:t>ƒ</w:t>
      </w:r>
      <w:proofErr w:type="gramEnd"/>
      <w:r>
        <w:t xml:space="preserve"> monitorare l’attuazione del progetto;</w:t>
      </w:r>
    </w:p>
    <w:p w:rsidR="00B953F8" w:rsidRDefault="00B953F8" w:rsidP="00B953F8">
      <w:pPr>
        <w:spacing w:after="0" w:line="20" w:lineRule="atLeast"/>
        <w:jc w:val="both"/>
      </w:pPr>
      <w:proofErr w:type="gramStart"/>
      <w:r>
        <w:rPr>
          <w:rFonts w:ascii="Calibri" w:hAnsi="Calibri" w:cs="Calibri"/>
        </w:rPr>
        <w:t>ƒ</w:t>
      </w:r>
      <w:proofErr w:type="gramEnd"/>
      <w:r>
        <w:t xml:space="preserve"> valutare la soddisfazione della persona. </w:t>
      </w:r>
    </w:p>
    <w:p w:rsidR="00B953F8" w:rsidRDefault="00B953F8" w:rsidP="00B953F8">
      <w:pPr>
        <w:spacing w:after="0" w:line="20" w:lineRule="atLeast"/>
        <w:jc w:val="both"/>
      </w:pPr>
      <w:r>
        <w:t xml:space="preserve">Articolo n 3 Impegni delle Parti </w:t>
      </w:r>
    </w:p>
    <w:p w:rsidR="00B953F8" w:rsidRDefault="00B953F8" w:rsidP="00B953F8">
      <w:pPr>
        <w:spacing w:after="0" w:line="20" w:lineRule="atLeast"/>
        <w:jc w:val="both"/>
      </w:pPr>
      <w:r>
        <w:t>Sulla base delle Premesse: a) le Parti, ciascuna nell’ambito delle proprie funzioni e competenze istituzionali, si impegnano ad individuare e definire, congiuntamente, tutte le azioni e le modalità necessarie alla migliore realizzazione delle finalità di cui al precedente articolo 2; b) la Regione si impegna a rendere disponibili le risorse economiche per la realizzazione delle attività richiamate al precedente articolo 2) e, più puntualmente, descritte nel Piano oggetto di valutazione, della durata di mesi 12 (aprile 2019 – marzo 2020), fino alla concorrenza massima di euro 1.500.000,00; c) la Regione procederà al pagamento in rate trimestrali anticipate, di importo corrispondente alla somma delle spese documentate per ciascun periodo, subordinatamente alla verifica da parte della stessa, delle relazioni attestanti la realizzazione delle attività previste nel Piano e della conformità della rendicontazione della spesa relativa a ogni trimestre di esecuzione del medesimo; d) l’I.P.A.B. si impegna a dare piena esecuzione alle attività come descritte nel Piano 2019/2020 e, sinteticamente, riportate al precedente articolo 2), assumendo a proprio carico la quota di costi progettuali non coperta dal contributo regionale garantendo, pertanto, un livello di servizio con riferimento al numero di ore di attività, implementato rispetto a quello realizzato con i precedenti piani annuali; e) l’I.P.A.B. si impegna altresì a relazionare, nel dettaglio, l’andamento delle attività sul piano qualitativo e quantitativo e a rendicontare le spese ricomprese nel prospetto finanziario (budget di servizio) che accompagna la proposta progettuale, consentendo, anche mediante il criterio stesso di pagamento stabilito, un costante monitoraggio dei costi da parte della Direzione regionale per l’Inclusione sociale.</w:t>
      </w:r>
    </w:p>
    <w:p w:rsidR="00B953F8" w:rsidRDefault="00B953F8" w:rsidP="00B953F8">
      <w:pPr>
        <w:spacing w:after="0" w:line="20" w:lineRule="atLeast"/>
        <w:jc w:val="both"/>
      </w:pPr>
      <w:r>
        <w:t xml:space="preserve"> Articolo 4 Copertura finanziaria delle azioni previste dall’Accordo </w:t>
      </w:r>
    </w:p>
    <w:p w:rsidR="00B953F8" w:rsidRDefault="00B953F8" w:rsidP="00B953F8">
      <w:pPr>
        <w:spacing w:after="0" w:line="20" w:lineRule="atLeast"/>
        <w:jc w:val="both"/>
      </w:pPr>
      <w:r>
        <w:t xml:space="preserve">1. Il costo totale stimato delle azioni di cui all’articolo 2, come più puntualmente definite nel Piano annuale 2019/2020 (aprile 2019 – marzo 2020) è pari ad euro 2. 503.949,00. La copertura finanziaria di tali attività è garantita: a. dalla Regione fino alla concorrenza massima di euro 1.500.000,00; b. dall’I.P.A.B. che assume a </w:t>
      </w:r>
      <w:r>
        <w:lastRenderedPageBreak/>
        <w:t xml:space="preserve">proprio carico la quota di costi non coperta dal contributo regionale assegnato per la progettualità annuale. Articolo n. 5 Attività di Verifica </w:t>
      </w:r>
    </w:p>
    <w:p w:rsidR="00B953F8" w:rsidRDefault="00B953F8" w:rsidP="00B953F8">
      <w:pPr>
        <w:spacing w:after="0" w:line="20" w:lineRule="atLeast"/>
        <w:jc w:val="both"/>
      </w:pPr>
      <w:r>
        <w:t xml:space="preserve">1. Per la piena e corretta attuazione del presente Accordo, è prevista una attività di verifica periodica da parte dei referenti regionali e dei rappresentanti dell’I.P.A.B. </w:t>
      </w:r>
    </w:p>
    <w:p w:rsidR="00B953F8" w:rsidRDefault="00B953F8" w:rsidP="00B953F8">
      <w:pPr>
        <w:spacing w:after="0" w:line="20" w:lineRule="atLeast"/>
        <w:jc w:val="both"/>
      </w:pPr>
      <w:r>
        <w:t xml:space="preserve">2. Il confronto, in corso di attuazione del Piano, interessa gli aspetti quali – quantitativi dell’attività, la misurazione dell’efficacia degli interventi in relazione al raggiungimento degli obiettivi di servizio prefissati, nonché la rilevazione del grado di soddisfazione dell’utenza interessata dai servizi. Tale attività, consentirà anche di valutare congiuntamente la necessità di adozione di eventuali correttivi nella programmazione dei servizi. </w:t>
      </w:r>
    </w:p>
    <w:p w:rsidR="00B953F8" w:rsidRDefault="00B953F8" w:rsidP="00B953F8">
      <w:pPr>
        <w:spacing w:after="0" w:line="20" w:lineRule="atLeast"/>
        <w:jc w:val="both"/>
      </w:pPr>
      <w:r>
        <w:t xml:space="preserve">3. A conclusione del Piano di attività 2019/2020, oggetto del presente Accordo, si procederà ad una verifica finale con relativo verbale conclusivo. Gli esiti prodotti, rilevano ai fini della nuova programmazione annuale dei Servizi Educativi. </w:t>
      </w:r>
    </w:p>
    <w:p w:rsidR="00B953F8" w:rsidRDefault="00B953F8" w:rsidP="00B953F8">
      <w:pPr>
        <w:spacing w:after="0" w:line="20" w:lineRule="atLeast"/>
        <w:jc w:val="both"/>
      </w:pPr>
      <w:r>
        <w:t>Articolo n. 6 Durata</w:t>
      </w:r>
    </w:p>
    <w:p w:rsidR="00B953F8" w:rsidRDefault="00B953F8" w:rsidP="00B953F8">
      <w:pPr>
        <w:spacing w:after="0" w:line="20" w:lineRule="atLeast"/>
        <w:jc w:val="both"/>
      </w:pPr>
      <w:r>
        <w:t xml:space="preserve"> Il presente Accordo, è riferito al Piano di attività per la progettualità 2019/2020 dei Servizi Educativi Domiciliari e Territoriali in favore dei cittadini privi di vista e con pluridisabilità, articolato in mesi 12 (aprile 2019 – marzo 2020), riconoscendo, di fatto, nelle more della formalizzazione dello stesso l’avvenuta erogazione dei menzionati Servizi da parte dell’I.P.A.B. “Centro regionale S. Alessio Margherita di Savoia per i Ciechi”, al fine di garantirne, a livello regionale, la continuità rispetto alla scadenza (marzo 2019) del precedente Accordo di Programma di cui alla D.G.R.692/2018. </w:t>
      </w:r>
    </w:p>
    <w:p w:rsidR="00B953F8" w:rsidRDefault="00B953F8" w:rsidP="00B953F8">
      <w:pPr>
        <w:spacing w:after="0" w:line="20" w:lineRule="atLeast"/>
        <w:jc w:val="both"/>
      </w:pPr>
      <w:r>
        <w:t xml:space="preserve">Articolo n. 7 Disposizioni generali e finali </w:t>
      </w:r>
    </w:p>
    <w:p w:rsidR="00B953F8" w:rsidRDefault="00B953F8" w:rsidP="00B953F8">
      <w:pPr>
        <w:spacing w:after="0" w:line="20" w:lineRule="atLeast"/>
        <w:jc w:val="both"/>
      </w:pPr>
      <w:r>
        <w:t>1. Il presente Accordo è vincolante per le Parti. 2. Le Parti si obbligano a compiere tutti gli atti necessari alla sua esecuzione. 3. Il presente Accordo è redatto in n. 3 copie originali e sarà sottoposto alle prescritte approvazioni e registrazioni di legge. Roma, lì …………</w:t>
      </w:r>
    </w:p>
    <w:p w:rsidR="00B953F8" w:rsidRDefault="00B953F8" w:rsidP="00B953F8">
      <w:pPr>
        <w:spacing w:after="0" w:line="20" w:lineRule="atLeast"/>
        <w:jc w:val="both"/>
      </w:pPr>
      <w:r>
        <w:t xml:space="preserve"> Per la Regione </w:t>
      </w:r>
    </w:p>
    <w:p w:rsidR="00B953F8" w:rsidRDefault="00B953F8" w:rsidP="00B953F8">
      <w:pPr>
        <w:spacing w:after="0" w:line="20" w:lineRule="atLeast"/>
        <w:jc w:val="both"/>
      </w:pPr>
      <w:r>
        <w:t>Per l’I.P.A.B</w:t>
      </w:r>
    </w:p>
    <w:p w:rsidR="00CF41A9" w:rsidRDefault="00CF41A9" w:rsidP="00B953F8">
      <w:pPr>
        <w:spacing w:after="0" w:line="20" w:lineRule="atLeast"/>
        <w:jc w:val="both"/>
      </w:pPr>
    </w:p>
    <w:p w:rsidR="00CF41A9" w:rsidRDefault="00CF41A9" w:rsidP="00CF41A9">
      <w:pPr>
        <w:autoSpaceDE w:val="0"/>
        <w:autoSpaceDN w:val="0"/>
        <w:adjustRightInd w:val="0"/>
        <w:spacing w:after="0" w:line="20" w:lineRule="atLeast"/>
        <w:jc w:val="both"/>
        <w:rPr>
          <w:rFonts w:cstheme="minorHAnsi"/>
        </w:rPr>
      </w:pPr>
      <w:r w:rsidRPr="0096114A">
        <w:rPr>
          <w:b/>
        </w:rPr>
        <w:t xml:space="preserve">DGR  6 agosto 2019, n. </w:t>
      </w:r>
      <w:proofErr w:type="gramStart"/>
      <w:r w:rsidRPr="0096114A">
        <w:rPr>
          <w:b/>
        </w:rPr>
        <w:t>608</w:t>
      </w:r>
      <w:r w:rsidRPr="0096114A">
        <w:t>,  Legge</w:t>
      </w:r>
      <w:proofErr w:type="gramEnd"/>
      <w:r w:rsidRPr="0096114A">
        <w:t xml:space="preserve"> 112/2016 "Disposizioni in materia di assistenza in favore delle persone con disabilità grave prive del sostegno familiare". Individuazione dell'IPAB "Opera Pia Asilo Savoia", operante nell'ambito del Raggruppamento II.PP.A.B. "Opera Pia Asilo Savoia, Pio Istituto della Santissima Annunziata, Lascito Giovanni e Margherita Achillini" di Roma per attività finalizzate a supportare la realizzazione di innovative soluzioni alloggiative di cui all'articolo 5, comma 4 del DM del 23/11/2016 sul territorio di Roma Capitale. Approvazione schema accordo di programma.</w:t>
      </w:r>
      <w:r>
        <w:t xml:space="preserve"> </w:t>
      </w:r>
    </w:p>
    <w:p w:rsidR="00CF41A9" w:rsidRPr="0096114A" w:rsidRDefault="00CF41A9" w:rsidP="00CF41A9">
      <w:pPr>
        <w:autoSpaceDE w:val="0"/>
        <w:autoSpaceDN w:val="0"/>
        <w:adjustRightInd w:val="0"/>
        <w:spacing w:after="0" w:line="20" w:lineRule="atLeast"/>
        <w:jc w:val="both"/>
        <w:rPr>
          <w:b/>
        </w:rPr>
      </w:pPr>
      <w:r w:rsidRPr="0096114A">
        <w:rPr>
          <w:b/>
        </w:rPr>
        <w:t xml:space="preserve">PREMESSA </w:t>
      </w:r>
    </w:p>
    <w:p w:rsidR="00CF41A9" w:rsidRPr="0096114A" w:rsidRDefault="00CF41A9" w:rsidP="00CF41A9">
      <w:pPr>
        <w:autoSpaceDE w:val="0"/>
        <w:autoSpaceDN w:val="0"/>
        <w:adjustRightInd w:val="0"/>
        <w:spacing w:after="0" w:line="20" w:lineRule="atLeast"/>
        <w:jc w:val="both"/>
      </w:pPr>
      <w:r w:rsidRPr="0096114A">
        <w:t xml:space="preserve">L’art. 38 comma 1 della l.r. 10 agosto 2016, n.11 prevede che i soggetti pubblici del sistema integrato possono avvalersi delle prestazioni delle IPAB, con riguardo alle loro specifiche finalità statutarie, ricorrendo ai contratti di servizio e/o agli accordi di cui all‟articolo 15 della legge 7 agosto 1990, n. 241 </w:t>
      </w:r>
    </w:p>
    <w:p w:rsidR="00CF41A9" w:rsidRPr="0096114A" w:rsidRDefault="00CF41A9" w:rsidP="00CF41A9">
      <w:pPr>
        <w:autoSpaceDE w:val="0"/>
        <w:autoSpaceDN w:val="0"/>
        <w:adjustRightInd w:val="0"/>
        <w:spacing w:after="0" w:line="20" w:lineRule="atLeast"/>
        <w:jc w:val="both"/>
      </w:pPr>
      <w:r w:rsidRPr="0096114A">
        <w:t xml:space="preserve">a) per i servizi e gli interventi programmati nei piani sociali di zona; </w:t>
      </w:r>
    </w:p>
    <w:p w:rsidR="00CF41A9" w:rsidRPr="0096114A" w:rsidRDefault="00CF41A9" w:rsidP="00CF41A9">
      <w:pPr>
        <w:autoSpaceDE w:val="0"/>
        <w:autoSpaceDN w:val="0"/>
        <w:adjustRightInd w:val="0"/>
        <w:spacing w:after="0" w:line="20" w:lineRule="atLeast"/>
        <w:jc w:val="both"/>
      </w:pPr>
      <w:r w:rsidRPr="0096114A">
        <w:t>b) per l‟istituzione e la sperimentazione di servizi innovativi.</w:t>
      </w:r>
    </w:p>
    <w:p w:rsidR="00CF41A9" w:rsidRPr="0096114A" w:rsidRDefault="00CF41A9" w:rsidP="00CF41A9">
      <w:pPr>
        <w:autoSpaceDE w:val="0"/>
        <w:autoSpaceDN w:val="0"/>
        <w:adjustRightInd w:val="0"/>
        <w:spacing w:after="0" w:line="20" w:lineRule="atLeast"/>
        <w:jc w:val="both"/>
        <w:rPr>
          <w:b/>
        </w:rPr>
      </w:pPr>
      <w:r w:rsidRPr="0096114A">
        <w:rPr>
          <w:b/>
        </w:rPr>
        <w:t>LA REVOCA DEL FINANZIAMENTO A ROMA CAPITALE</w:t>
      </w:r>
    </w:p>
    <w:p w:rsidR="00CF41A9" w:rsidRPr="0096114A" w:rsidRDefault="00CF41A9" w:rsidP="00CF41A9">
      <w:pPr>
        <w:autoSpaceDE w:val="0"/>
        <w:autoSpaceDN w:val="0"/>
        <w:adjustRightInd w:val="0"/>
        <w:spacing w:after="0" w:line="20" w:lineRule="atLeast"/>
        <w:jc w:val="both"/>
      </w:pPr>
      <w:r w:rsidRPr="0096114A">
        <w:t>La Regione Lazio - Direzione regionale per l</w:t>
      </w:r>
      <w:r>
        <w:t>’</w:t>
      </w:r>
      <w:r w:rsidRPr="0096114A">
        <w:t>Inclusione Sociale con determinazione n. G08823 del 28/06/2019, tra l</w:t>
      </w:r>
      <w:r>
        <w:t>’</w:t>
      </w:r>
      <w:r w:rsidRPr="0096114A">
        <w:t xml:space="preserve">altro: </w:t>
      </w:r>
    </w:p>
    <w:p w:rsidR="00CF41A9" w:rsidRPr="0096114A" w:rsidRDefault="00CF41A9" w:rsidP="00CF41A9">
      <w:pPr>
        <w:autoSpaceDE w:val="0"/>
        <w:autoSpaceDN w:val="0"/>
        <w:adjustRightInd w:val="0"/>
        <w:spacing w:after="0" w:line="20" w:lineRule="atLeast"/>
        <w:jc w:val="both"/>
      </w:pPr>
      <w:r w:rsidRPr="0096114A">
        <w:t xml:space="preserve">- ha revocato a Roma Capitale la realizzazione degli interventi infrastrutturali di cui art.5 comma 4 lett. d del D.M del 23/11/2016; </w:t>
      </w:r>
    </w:p>
    <w:p w:rsidR="00CF41A9" w:rsidRPr="0096114A" w:rsidRDefault="00CF41A9" w:rsidP="00CF41A9">
      <w:pPr>
        <w:autoSpaceDE w:val="0"/>
        <w:autoSpaceDN w:val="0"/>
        <w:adjustRightInd w:val="0"/>
        <w:spacing w:after="0" w:line="20" w:lineRule="atLeast"/>
        <w:jc w:val="both"/>
      </w:pPr>
      <w:r w:rsidRPr="0096114A">
        <w:t>- ha stabilito la restituzione della somma di euro 1.000.110,24, assegnata con D.D. n. G 15288/2018 con impegno di spesa n.30170/2018 sul Capitolo H41170, liquidata con provvedimento n.29390/2018 e pagata con mandato n. 43498/18.</w:t>
      </w:r>
    </w:p>
    <w:p w:rsidR="00CF41A9" w:rsidRPr="0096114A" w:rsidRDefault="00CF41A9" w:rsidP="00CF41A9">
      <w:pPr>
        <w:autoSpaceDE w:val="0"/>
        <w:autoSpaceDN w:val="0"/>
        <w:adjustRightInd w:val="0"/>
        <w:spacing w:after="0" w:line="20" w:lineRule="atLeast"/>
        <w:jc w:val="both"/>
        <w:rPr>
          <w:b/>
        </w:rPr>
      </w:pPr>
      <w:r w:rsidRPr="0096114A">
        <w:rPr>
          <w:b/>
        </w:rPr>
        <w:t xml:space="preserve">LE CONSEGUENZE OPERATIVE: IL RUOLO DELL’IPAB ASILO SAVOIA  </w:t>
      </w:r>
    </w:p>
    <w:p w:rsidR="00CF41A9" w:rsidRPr="0096114A" w:rsidRDefault="00CF41A9" w:rsidP="00CF41A9">
      <w:pPr>
        <w:autoSpaceDE w:val="0"/>
        <w:autoSpaceDN w:val="0"/>
        <w:adjustRightInd w:val="0"/>
        <w:spacing w:after="0" w:line="20" w:lineRule="atLeast"/>
        <w:jc w:val="both"/>
      </w:pPr>
      <w:r w:rsidRPr="0096114A">
        <w:t>La Regione Lazio si è avvalsa in precedenza della collaborazione dell</w:t>
      </w:r>
      <w:r>
        <w:t>’</w:t>
      </w:r>
      <w:r w:rsidRPr="0096114A">
        <w:t>IPAB Opera Pia Asilo Savoia, sottoscrivendo specifici accordi di programma volti alla realizzazione di azioni per l</w:t>
      </w:r>
      <w:r>
        <w:t>’</w:t>
      </w:r>
      <w:r w:rsidRPr="0096114A">
        <w:t xml:space="preserve">attuazione del sistema integrato degli interventi e dei servizi sociali della Regione, tra i quali si citano: </w:t>
      </w:r>
    </w:p>
    <w:p w:rsidR="00CF41A9" w:rsidRPr="0096114A" w:rsidRDefault="00CF41A9" w:rsidP="00CF41A9">
      <w:pPr>
        <w:autoSpaceDE w:val="0"/>
        <w:autoSpaceDN w:val="0"/>
        <w:adjustRightInd w:val="0"/>
        <w:spacing w:after="0" w:line="20" w:lineRule="atLeast"/>
        <w:jc w:val="both"/>
      </w:pPr>
      <w:r w:rsidRPr="0096114A">
        <w:sym w:font="Symbol" w:char="F0B7"/>
      </w:r>
      <w:r w:rsidRPr="0096114A">
        <w:t xml:space="preserve"> </w:t>
      </w:r>
      <w:proofErr w:type="gramStart"/>
      <w:r w:rsidRPr="0096114A">
        <w:t>deliberazione</w:t>
      </w:r>
      <w:proofErr w:type="gramEnd"/>
      <w:r w:rsidRPr="0096114A">
        <w:t xml:space="preserve"> della Giunta regionale del 30 dicembre 2014 n. 945 ha individuato l</w:t>
      </w:r>
      <w:r>
        <w:t>’</w:t>
      </w:r>
      <w:r w:rsidRPr="0096114A">
        <w:t xml:space="preserve">IPAB Asilo Savoia quale soggetto attuatore delle attività inerenti il “Pacchetto Famiglia”, al fine di promuovere una serie di misure concrete di sostegno alla famiglia; </w:t>
      </w:r>
    </w:p>
    <w:p w:rsidR="00CF41A9" w:rsidRPr="0096114A" w:rsidRDefault="00CF41A9" w:rsidP="00CF41A9">
      <w:pPr>
        <w:autoSpaceDE w:val="0"/>
        <w:autoSpaceDN w:val="0"/>
        <w:adjustRightInd w:val="0"/>
        <w:spacing w:after="0" w:line="20" w:lineRule="atLeast"/>
        <w:jc w:val="both"/>
      </w:pPr>
      <w:r w:rsidRPr="0096114A">
        <w:lastRenderedPageBreak/>
        <w:sym w:font="Symbol" w:char="F0B7"/>
      </w:r>
      <w:r w:rsidRPr="0096114A">
        <w:t xml:space="preserve"> </w:t>
      </w:r>
      <w:proofErr w:type="gramStart"/>
      <w:r w:rsidRPr="0096114A">
        <w:t>deliberazione</w:t>
      </w:r>
      <w:proofErr w:type="gramEnd"/>
      <w:r w:rsidRPr="0096114A">
        <w:t xml:space="preserve"> della Giunta regionale del 22 febbraio 2017 n. 79 concernente un Accordo tra il Tribunale di Roma, la Regione Lazio, il Tribunale di Roma – Sezione per l</w:t>
      </w:r>
      <w:r>
        <w:t>’</w:t>
      </w:r>
      <w:r w:rsidRPr="0096114A">
        <w:t>applicazione delle misure di prevenzione nei confronti delle persone pericolose per la sicurezza – e l</w:t>
      </w:r>
      <w:r>
        <w:t>’</w:t>
      </w:r>
      <w:r w:rsidRPr="0096114A">
        <w:t xml:space="preserve">Ipab Opera Pia Asilo Savoia per la realizzazione del progetto di inclusione sociale “Talento &amp; Tenacia. Crescere nella Legalità”; </w:t>
      </w:r>
    </w:p>
    <w:p w:rsidR="00CF41A9" w:rsidRPr="0096114A" w:rsidRDefault="00CF41A9" w:rsidP="00CF41A9">
      <w:pPr>
        <w:autoSpaceDE w:val="0"/>
        <w:autoSpaceDN w:val="0"/>
        <w:adjustRightInd w:val="0"/>
        <w:spacing w:after="0" w:line="20" w:lineRule="atLeast"/>
        <w:jc w:val="both"/>
      </w:pPr>
      <w:r w:rsidRPr="0096114A">
        <w:sym w:font="Symbol" w:char="F0B7"/>
      </w:r>
      <w:r w:rsidRPr="0096114A">
        <w:t xml:space="preserve"> </w:t>
      </w:r>
      <w:proofErr w:type="gramStart"/>
      <w:r w:rsidRPr="0096114A">
        <w:t>deliberazione</w:t>
      </w:r>
      <w:proofErr w:type="gramEnd"/>
      <w:r w:rsidRPr="0096114A">
        <w:t xml:space="preserve"> della Giunta regionale del 6 dicembre 2017 n. 831 che ha individuato l</w:t>
      </w:r>
      <w:r>
        <w:t>’</w:t>
      </w:r>
      <w:r w:rsidRPr="0096114A">
        <w:t xml:space="preserve">IPAB Asilo Savoia quale soggetto attuatore dei programmi di tutela sociale della gravidanza e della maternità nelle sue diverse fasi e delle attività di sostegno per i giovani accolti nelle comunità residenziali per minorenni e nei centri di semi-autonomia. </w:t>
      </w:r>
    </w:p>
    <w:p w:rsidR="00CF41A9" w:rsidRPr="0096114A" w:rsidRDefault="00CF41A9" w:rsidP="00CF41A9">
      <w:pPr>
        <w:autoSpaceDE w:val="0"/>
        <w:autoSpaceDN w:val="0"/>
        <w:adjustRightInd w:val="0"/>
        <w:spacing w:after="0" w:line="20" w:lineRule="atLeast"/>
        <w:jc w:val="both"/>
      </w:pPr>
      <w:r w:rsidRPr="0096114A">
        <w:t>Con deliberazione della Giunta regionale del 21 aprile 2018, n. 190 si è disposto, ai sensi dell</w:t>
      </w:r>
      <w:r>
        <w:t>’</w:t>
      </w:r>
      <w:r w:rsidRPr="0096114A">
        <w:t xml:space="preserve">art. 58 della legge 17 luglio 1890, n </w:t>
      </w:r>
      <w:proofErr w:type="gramStart"/>
      <w:r w:rsidRPr="0096114A">
        <w:t>6972 ,</w:t>
      </w:r>
      <w:proofErr w:type="gramEnd"/>
      <w:r w:rsidRPr="0096114A">
        <w:t xml:space="preserve"> il Raggruppamento delle Istituzioni Pubbliche di Assistenza e Beneficenza (II.PP.A.B.), Pio Istituto SS. Annunziata e Opera Pia Lascito Giovanni Margherita Achillini con l</w:t>
      </w:r>
      <w:r>
        <w:t>’</w:t>
      </w:r>
      <w:r w:rsidRPr="0096114A">
        <w:t>Istituzione Pubblica di Assistenza e Beneficenza Opera Pia Asilo Savoia,</w:t>
      </w:r>
    </w:p>
    <w:p w:rsidR="00CF41A9" w:rsidRPr="0096114A" w:rsidRDefault="00CF41A9" w:rsidP="00CF41A9">
      <w:pPr>
        <w:autoSpaceDE w:val="0"/>
        <w:autoSpaceDN w:val="0"/>
        <w:adjustRightInd w:val="0"/>
        <w:spacing w:after="0" w:line="20" w:lineRule="atLeast"/>
        <w:jc w:val="both"/>
      </w:pPr>
      <w:r w:rsidRPr="0096114A">
        <w:t>Le disposizioni statutarie delle II.PP.A.B. facenti parte del Raggruppamento, prevedono tra i principali scopi: assistenza ai minori, attività e servizi volte a sostenere e favorire l’autonomia dei singoli e del nucleo familiare, nonché interventi a favore di minori, giovani e famiglie in situazione di svantaggio o disagio economico-sociale per assicurare loro attività di cura, canali di integrazione socio-educativa, strumenti di reinserimento attraverso l’attuazione di servizi di tipo residenziale e semi-residenziale, l’attivazione di progetti-percorso individualizzati e/o l</w:t>
      </w:r>
      <w:r>
        <w:t>’</w:t>
      </w:r>
      <w:r w:rsidRPr="0096114A">
        <w:t>erogazione, ove necessario, di contributi economici finalizzati al contrasto alla povertà di concerto con i competenti servizi sociali territoriali.</w:t>
      </w:r>
    </w:p>
    <w:p w:rsidR="00CF41A9" w:rsidRPr="0096114A" w:rsidRDefault="00CF41A9" w:rsidP="00CF41A9">
      <w:pPr>
        <w:autoSpaceDE w:val="0"/>
        <w:autoSpaceDN w:val="0"/>
        <w:adjustRightInd w:val="0"/>
        <w:spacing w:after="0" w:line="20" w:lineRule="atLeast"/>
        <w:jc w:val="both"/>
      </w:pPr>
      <w:r w:rsidRPr="0096114A">
        <w:t>L’IPAB Opera Pia Asilo Savoia, operante nell</w:t>
      </w:r>
      <w:r>
        <w:t>’</w:t>
      </w:r>
      <w:r w:rsidRPr="0096114A">
        <w:t xml:space="preserve">ambito del citato Raggruppamento, con nota ns protocollo n. 0260443 del 03 aprile </w:t>
      </w:r>
      <w:proofErr w:type="gramStart"/>
      <w:r w:rsidRPr="0096114A">
        <w:t>2019,ha</w:t>
      </w:r>
      <w:proofErr w:type="gramEnd"/>
      <w:r w:rsidRPr="0096114A">
        <w:t xml:space="preserve"> espresso il proprio assenso a definire un accordo ai sensi dell</w:t>
      </w:r>
      <w:r>
        <w:t>’</w:t>
      </w:r>
      <w:r w:rsidRPr="0096114A">
        <w:t>art. 38 della l.r. 11/2016 e dell</w:t>
      </w:r>
      <w:r>
        <w:t>’</w:t>
      </w:r>
      <w:r w:rsidRPr="0096114A">
        <w:t>art. 1 della l.r. 2/2019 con la Regione Lazio per la realizzazione delle attività inerenti la verifica dell</w:t>
      </w:r>
      <w:r>
        <w:t>’</w:t>
      </w:r>
      <w:r w:rsidRPr="0096114A">
        <w:t>adeguatezza tecnico amministrativa del patrimonio solidale ubicato nel territorio di Roma Capitale;</w:t>
      </w:r>
    </w:p>
    <w:p w:rsidR="00CF41A9" w:rsidRPr="0096114A" w:rsidRDefault="00CF41A9" w:rsidP="00CF41A9">
      <w:pPr>
        <w:autoSpaceDE w:val="0"/>
        <w:autoSpaceDN w:val="0"/>
        <w:adjustRightInd w:val="0"/>
        <w:spacing w:after="0" w:line="20" w:lineRule="atLeast"/>
        <w:jc w:val="both"/>
        <w:rPr>
          <w:b/>
        </w:rPr>
      </w:pPr>
      <w:r w:rsidRPr="0096114A">
        <w:rPr>
          <w:b/>
        </w:rPr>
        <w:t>LA DISPOSIZIONE</w:t>
      </w:r>
    </w:p>
    <w:p w:rsidR="00CF41A9" w:rsidRPr="0096114A" w:rsidRDefault="00CF41A9" w:rsidP="00CF41A9">
      <w:pPr>
        <w:pStyle w:val="Titolo3"/>
        <w:shd w:val="clear" w:color="auto" w:fill="FFFFFF"/>
        <w:spacing w:after="0" w:line="312" w:lineRule="atLeast"/>
        <w:jc w:val="both"/>
        <w:rPr>
          <w:rFonts w:asciiTheme="minorHAnsi" w:hAnsiTheme="minorHAnsi" w:cstheme="minorHAnsi"/>
          <w:b w:val="0"/>
          <w:bCs w:val="0"/>
          <w:color w:val="auto"/>
          <w:sz w:val="22"/>
          <w:szCs w:val="22"/>
        </w:rPr>
      </w:pPr>
      <w:r w:rsidRPr="0096114A">
        <w:rPr>
          <w:rFonts w:asciiTheme="minorHAnsi" w:hAnsiTheme="minorHAnsi" w:cstheme="minorHAnsi"/>
          <w:b w:val="0"/>
          <w:color w:val="auto"/>
          <w:sz w:val="22"/>
          <w:szCs w:val="22"/>
        </w:rPr>
        <w:t>Viene ritenuto  opportuno individuare nel Raggruppamento II.PP.A.B. e per esso nell’Opera Pia Asilo Savoia il soggetto idoneo per lo svolgimento di attività per la realizzazione degli interventi di cui all’art 5, comma 4 del D.M del 23/11/2016 (1) sul territorio di Roma Capitale anche in relazione alle risorse trasferite con il D.M 15 novembre 2018 “</w:t>
      </w:r>
      <w:r w:rsidRPr="0096114A">
        <w:rPr>
          <w:rFonts w:asciiTheme="minorHAnsi" w:hAnsiTheme="minorHAnsi" w:cstheme="minorHAnsi"/>
          <w:b w:val="0"/>
          <w:bCs w:val="0"/>
          <w:color w:val="auto"/>
          <w:sz w:val="22"/>
          <w:szCs w:val="22"/>
          <w:bdr w:val="none" w:sz="0" w:space="0" w:color="auto" w:frame="1"/>
        </w:rPr>
        <w:t>Ripartizione alle regioni delle risorse del Fondo per l'assistenza alle persone con disabilit</w:t>
      </w:r>
      <w:r>
        <w:rPr>
          <w:rFonts w:asciiTheme="minorHAnsi" w:hAnsiTheme="minorHAnsi" w:cstheme="minorHAnsi"/>
          <w:b w:val="0"/>
          <w:bCs w:val="0"/>
          <w:color w:val="auto"/>
          <w:sz w:val="22"/>
          <w:szCs w:val="22"/>
          <w:bdr w:val="none" w:sz="0" w:space="0" w:color="auto" w:frame="1"/>
        </w:rPr>
        <w:t>à</w:t>
      </w:r>
      <w:r w:rsidRPr="0096114A">
        <w:rPr>
          <w:rFonts w:asciiTheme="minorHAnsi" w:hAnsiTheme="minorHAnsi" w:cstheme="minorHAnsi"/>
          <w:b w:val="0"/>
          <w:bCs w:val="0"/>
          <w:color w:val="auto"/>
          <w:sz w:val="22"/>
          <w:szCs w:val="22"/>
          <w:bdr w:val="none" w:sz="0" w:space="0" w:color="auto" w:frame="1"/>
        </w:rPr>
        <w:t xml:space="preserve"> grave prive del sostegno familiare, per l'anno 2018.</w:t>
      </w:r>
    </w:p>
    <w:p w:rsidR="00CF41A9" w:rsidRPr="0096114A" w:rsidRDefault="00CF41A9" w:rsidP="00CF41A9">
      <w:pPr>
        <w:autoSpaceDE w:val="0"/>
        <w:autoSpaceDN w:val="0"/>
        <w:adjustRightInd w:val="0"/>
        <w:spacing w:after="0" w:line="20" w:lineRule="atLeast"/>
        <w:jc w:val="both"/>
      </w:pPr>
      <w:r w:rsidRPr="0096114A">
        <w:t xml:space="preserve">Viene </w:t>
      </w:r>
      <w:proofErr w:type="gramStart"/>
      <w:r w:rsidRPr="0096114A">
        <w:t>approvato  lo</w:t>
      </w:r>
      <w:proofErr w:type="gramEnd"/>
      <w:r w:rsidRPr="0096114A">
        <w:t xml:space="preserve"> schema di Accordo di programma tra la Regione Lazio e l</w:t>
      </w:r>
      <w:r>
        <w:t>’</w:t>
      </w:r>
      <w:r w:rsidRPr="0096114A">
        <w:t>IPAB Opera Pia Asilo Savoia, operante nell</w:t>
      </w:r>
      <w:r>
        <w:t>’</w:t>
      </w:r>
      <w:r w:rsidRPr="0096114A">
        <w:t>ambito del citato Raggruppamento II.PP.A.B., per la realizzazione delle suddette attività di cui all</w:t>
      </w:r>
      <w:r>
        <w:t>’</w:t>
      </w:r>
      <w:r w:rsidRPr="0096114A">
        <w:t>Allegato A, quale soggetto idoneo per lo svolgimento di attività finalizzate a supportare la realizzazione di innovative soluzioni alloggiative di cui all‟art 5, comma 4 del D.M del 23/11/2016 sul territorio di Roma Capitale</w:t>
      </w:r>
    </w:p>
    <w:p w:rsidR="00CF41A9" w:rsidRPr="0096114A" w:rsidRDefault="00CF41A9" w:rsidP="00CF41A9">
      <w:pPr>
        <w:autoSpaceDE w:val="0"/>
        <w:autoSpaceDN w:val="0"/>
        <w:adjustRightInd w:val="0"/>
        <w:spacing w:after="0" w:line="20" w:lineRule="atLeast"/>
        <w:jc w:val="both"/>
      </w:pPr>
      <w:r w:rsidRPr="0096114A">
        <w:t xml:space="preserve">Le risorse necessarie </w:t>
      </w:r>
      <w:proofErr w:type="gramStart"/>
      <w:r w:rsidRPr="0096114A">
        <w:t>sono  pari</w:t>
      </w:r>
      <w:proofErr w:type="gramEnd"/>
      <w:r w:rsidRPr="0096114A">
        <w:t xml:space="preserve"> ad euro 1.000.110,24.</w:t>
      </w:r>
    </w:p>
    <w:p w:rsidR="00CF41A9" w:rsidRPr="0096114A" w:rsidRDefault="00CF41A9" w:rsidP="00CF41A9">
      <w:pPr>
        <w:autoSpaceDE w:val="0"/>
        <w:autoSpaceDN w:val="0"/>
        <w:adjustRightInd w:val="0"/>
        <w:spacing w:after="0" w:line="20" w:lineRule="atLeast"/>
        <w:jc w:val="both"/>
      </w:pPr>
    </w:p>
    <w:p w:rsidR="00CF41A9" w:rsidRPr="0054396D" w:rsidRDefault="00CF41A9" w:rsidP="00D52790">
      <w:pPr>
        <w:pStyle w:val="Paragrafoelenco"/>
        <w:numPr>
          <w:ilvl w:val="0"/>
          <w:numId w:val="6"/>
        </w:numPr>
        <w:autoSpaceDE w:val="0"/>
        <w:autoSpaceDN w:val="0"/>
        <w:adjustRightInd w:val="0"/>
        <w:spacing w:after="0" w:line="20" w:lineRule="atLeast"/>
        <w:jc w:val="both"/>
        <w:rPr>
          <w:sz w:val="20"/>
          <w:szCs w:val="20"/>
        </w:rPr>
      </w:pPr>
      <w:r w:rsidRPr="0054396D">
        <w:rPr>
          <w:sz w:val="20"/>
          <w:szCs w:val="20"/>
        </w:rPr>
        <w:t>Il comma 4 recita:</w:t>
      </w:r>
    </w:p>
    <w:p w:rsidR="00CF41A9" w:rsidRPr="0054396D" w:rsidRDefault="00CF41A9" w:rsidP="00CF41A9">
      <w:pPr>
        <w:pStyle w:val="Paragrafoelenco"/>
        <w:rPr>
          <w:sz w:val="20"/>
          <w:szCs w:val="20"/>
        </w:rPr>
      </w:pPr>
      <w:r w:rsidRPr="0054396D">
        <w:rPr>
          <w:sz w:val="20"/>
          <w:szCs w:val="20"/>
        </w:rPr>
        <w:t xml:space="preserve">A valere sulle risorse del Fondo possono essere finanziati i seguenti: </w:t>
      </w:r>
    </w:p>
    <w:p w:rsidR="00CF41A9" w:rsidRPr="0054396D" w:rsidRDefault="00CF41A9" w:rsidP="00CF41A9">
      <w:pPr>
        <w:pStyle w:val="Paragrafoelenco"/>
        <w:rPr>
          <w:sz w:val="20"/>
          <w:szCs w:val="20"/>
        </w:rPr>
      </w:pPr>
      <w:r w:rsidRPr="0054396D">
        <w:rPr>
          <w:sz w:val="20"/>
          <w:szCs w:val="20"/>
        </w:rPr>
        <w:t>a) percorsi programmati di accompagnamento per l'uscita dal nucleo familiare di origine ovvero per la deistituzionalizzazione, di cui all'art. 3, commi 2 e 3;</w:t>
      </w:r>
    </w:p>
    <w:p w:rsidR="00CF41A9" w:rsidRPr="0054396D" w:rsidRDefault="00CF41A9" w:rsidP="00CF41A9">
      <w:pPr>
        <w:pStyle w:val="Paragrafoelenco"/>
        <w:rPr>
          <w:sz w:val="20"/>
          <w:szCs w:val="20"/>
        </w:rPr>
      </w:pPr>
      <w:r w:rsidRPr="0054396D">
        <w:rPr>
          <w:sz w:val="20"/>
          <w:szCs w:val="20"/>
        </w:rPr>
        <w:t xml:space="preserve"> b) interventi di supporto alla domiciliarità in soluzioni alloggiative dalle caratteristiche di cui all'art. 3, comma 4; </w:t>
      </w:r>
    </w:p>
    <w:p w:rsidR="00CF41A9" w:rsidRPr="0054396D" w:rsidRDefault="00CF41A9" w:rsidP="00CF41A9">
      <w:pPr>
        <w:pStyle w:val="Paragrafoelenco"/>
        <w:rPr>
          <w:sz w:val="20"/>
          <w:szCs w:val="20"/>
        </w:rPr>
      </w:pPr>
      <w:r w:rsidRPr="0054396D">
        <w:rPr>
          <w:sz w:val="20"/>
          <w:szCs w:val="20"/>
        </w:rPr>
        <w:t xml:space="preserve">c) programmi di accrescimento della consapevolezza, di abilitazione e di sviluppo delle competenze per la gestione della vita quotidiana e per il raggiungimento del maggior livello di autonomia possibile, di cui all'art. 3, comma 5, ed, in tale contesto, tirocini finalizzati all'inclusione sociale, all'autonomia delle persone e alla riabilitazione, di cui all'art. 3, comma 6; </w:t>
      </w:r>
    </w:p>
    <w:p w:rsidR="00CF41A9" w:rsidRPr="0054396D" w:rsidRDefault="00CF41A9" w:rsidP="00CF41A9">
      <w:pPr>
        <w:pStyle w:val="Paragrafoelenco"/>
        <w:rPr>
          <w:sz w:val="20"/>
          <w:szCs w:val="20"/>
        </w:rPr>
      </w:pPr>
      <w:r w:rsidRPr="0054396D">
        <w:rPr>
          <w:sz w:val="20"/>
          <w:szCs w:val="20"/>
        </w:rPr>
        <w:t xml:space="preserve">d) interventi di realizzazione di innovative soluzioni alloggiative dalle caratteristiche di cui all'art. 3, comma 4, mediante il possibile pagamento degli oneri di acquisto, di locazione, di ristrutturazione e di messa in opera degli impianti e delle attrezzature necessari per il funzionamento degli alloggi medesimi, anche sostenendo forme di mutuo aiuto tra persone con disabilità; </w:t>
      </w:r>
    </w:p>
    <w:p w:rsidR="00CF41A9" w:rsidRPr="0054396D" w:rsidRDefault="00CF41A9" w:rsidP="00CF41A9">
      <w:pPr>
        <w:pStyle w:val="Paragrafoelenco"/>
        <w:rPr>
          <w:sz w:val="20"/>
          <w:szCs w:val="20"/>
        </w:rPr>
      </w:pPr>
      <w:r w:rsidRPr="0054396D">
        <w:rPr>
          <w:sz w:val="20"/>
          <w:szCs w:val="20"/>
        </w:rPr>
        <w:t xml:space="preserve">e) in via residuale, interventi di permanenza temporanea in una soluzione abitativa extra-familiare, di cui all'art. 3, comma 7. Gli interventi e i servizi di cui alle lettere a), b) e c) sono inclusi nel budget di progetto. 5. </w:t>
      </w:r>
      <w:r w:rsidRPr="0054396D">
        <w:rPr>
          <w:sz w:val="20"/>
          <w:szCs w:val="20"/>
        </w:rPr>
        <w:lastRenderedPageBreak/>
        <w:t xml:space="preserve">Nelle more della definizione dei livelli essenziali delle prestazioni nel campo sociale da garantire alle persone con disabilità grave prive del sostegno familiare, gli interventi e i servizi di cui all'art. 3 costituiscono la base su cui definire specifici obiettivi di servizio e relativo fabbisogno, ai sensi dell'art. 13 del decreto legislativo 6 maggio 2011, n. 68, nei limiti delle risorse del Fondo di cui al presente articolo. Ai sensi dell'art. 2, comma 2, della legge n. 112 del 2016, alla definizione degli obiettivi di servizio si provvede mediante decreto del Ministro del lavoro e delle politiche sociali, di concerto con il Ministro dell'economia e delle finanze, previa intesa in sede di Conferenza unificata. </w:t>
      </w:r>
    </w:p>
    <w:p w:rsidR="00CF41A9" w:rsidRPr="0054396D" w:rsidRDefault="00CF41A9" w:rsidP="00CF41A9">
      <w:pPr>
        <w:pStyle w:val="Paragrafoelenco"/>
        <w:rPr>
          <w:sz w:val="20"/>
          <w:szCs w:val="20"/>
        </w:rPr>
      </w:pPr>
      <w:r w:rsidRPr="0054396D">
        <w:rPr>
          <w:sz w:val="20"/>
          <w:szCs w:val="20"/>
        </w:rPr>
        <w:t xml:space="preserve">6. Le risorse di cui al presente decreto sono aggiuntive rispetto alle risorse già destinate alle prestazioni e ai servizi a favore delle persone con disabilità grave prive del sostegno familiare da parte delle regioni, nonché da parte delle autonomie locali. I finanziamenti per gli interventi e i servizi di cui al comma 4, ove di natura socio-sanitaria, sono finalizzati alla copertura dei costi di rilevanza sociale dell'assistenza e non sono sostitutivi, ma aggiuntivi e complementari, a quelli sanitari. </w:t>
      </w:r>
    </w:p>
    <w:p w:rsidR="00CF41A9" w:rsidRDefault="00CF41A9" w:rsidP="00CF41A9">
      <w:pPr>
        <w:pStyle w:val="Paragrafoelenco"/>
        <w:autoSpaceDE w:val="0"/>
        <w:autoSpaceDN w:val="0"/>
        <w:adjustRightInd w:val="0"/>
        <w:spacing w:after="0" w:line="20" w:lineRule="atLeast"/>
        <w:jc w:val="both"/>
        <w:rPr>
          <w:sz w:val="20"/>
          <w:szCs w:val="20"/>
        </w:rPr>
      </w:pPr>
      <w:r w:rsidRPr="0054396D">
        <w:rPr>
          <w:sz w:val="20"/>
          <w:szCs w:val="20"/>
        </w:rPr>
        <w:t>7. Ai sensi dell'art. 4, comma 2, della legge n. 112 del 2016, al finanziamento dei programmi e all'attuazione degli interventi di cui al comma 4, nel rispetto del principio di sussidiarietà e delle rispettive competenze, possono compartecipare le regioni, gli enti locali, gli enti del terzo settore, nonché altri soggetti di diritto privato con comprovata esperienza nel settore dell'assistenza</w:t>
      </w:r>
      <w:r>
        <w:rPr>
          <w:sz w:val="20"/>
          <w:szCs w:val="20"/>
        </w:rPr>
        <w:t>.</w:t>
      </w:r>
    </w:p>
    <w:p w:rsidR="00CF41A9" w:rsidRDefault="00CF41A9" w:rsidP="00CF41A9">
      <w:pPr>
        <w:autoSpaceDE w:val="0"/>
        <w:autoSpaceDN w:val="0"/>
        <w:adjustRightInd w:val="0"/>
        <w:spacing w:after="0" w:line="20" w:lineRule="atLeast"/>
        <w:jc w:val="both"/>
        <w:rPr>
          <w:b/>
        </w:rPr>
      </w:pPr>
    </w:p>
    <w:p w:rsidR="007E4689" w:rsidRPr="007E4689" w:rsidRDefault="007E4689" w:rsidP="007E4689">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7E4689">
        <w:rPr>
          <w:rFonts w:cstheme="minorHAnsi"/>
          <w:b/>
        </w:rPr>
        <w:t>POLITICHE SOCIALI</w:t>
      </w:r>
    </w:p>
    <w:p w:rsidR="007E4689" w:rsidRPr="007E4689" w:rsidRDefault="007E4689" w:rsidP="007E4689">
      <w:pPr>
        <w:spacing w:after="0" w:line="20" w:lineRule="atLeast"/>
        <w:jc w:val="both"/>
        <w:rPr>
          <w:rFonts w:ascii="Corbel" w:hAnsi="Corbel" w:cs="Times New Roman"/>
          <w:sz w:val="28"/>
          <w:szCs w:val="28"/>
        </w:rPr>
      </w:pPr>
    </w:p>
    <w:p w:rsidR="007E4689" w:rsidRPr="007E4689" w:rsidRDefault="007E4689" w:rsidP="007E4689">
      <w:pPr>
        <w:spacing w:after="0" w:line="20" w:lineRule="atLeast"/>
        <w:jc w:val="both"/>
      </w:pPr>
      <w:r w:rsidRPr="007E4689">
        <w:rPr>
          <w:b/>
        </w:rPr>
        <w:t xml:space="preserve">DGR 30 luglio 2019, n. </w:t>
      </w:r>
      <w:proofErr w:type="gramStart"/>
      <w:r w:rsidRPr="007E4689">
        <w:rPr>
          <w:b/>
        </w:rPr>
        <w:t>565</w:t>
      </w:r>
      <w:r w:rsidRPr="007E4689">
        <w:t>,  Legge</w:t>
      </w:r>
      <w:proofErr w:type="gramEnd"/>
      <w:r w:rsidRPr="007E4689">
        <w:t xml:space="preserve"> regionale 28 dicembre 2018, n. 14. Programmazione delle risorse regionali da impegnare per gli interventi di carattere sociale e sociosanitari relativi all'esercizio finanziario 2019. (BUR n. 66 del 16.8.19)</w:t>
      </w:r>
    </w:p>
    <w:p w:rsidR="007E4689" w:rsidRPr="007E4689" w:rsidRDefault="007E4689" w:rsidP="007E4689">
      <w:pPr>
        <w:spacing w:after="0" w:line="20" w:lineRule="atLeast"/>
        <w:jc w:val="both"/>
        <w:rPr>
          <w:b/>
        </w:rPr>
      </w:pPr>
      <w:r w:rsidRPr="007E4689">
        <w:rPr>
          <w:b/>
        </w:rPr>
        <w:t>Note</w:t>
      </w:r>
    </w:p>
    <w:p w:rsidR="007E4689" w:rsidRPr="007E4689" w:rsidRDefault="007E4689" w:rsidP="007E4689">
      <w:pPr>
        <w:spacing w:after="0" w:line="20" w:lineRule="atLeast"/>
        <w:jc w:val="both"/>
      </w:pPr>
      <w:r w:rsidRPr="007E4689">
        <w:t xml:space="preserve">Viene </w:t>
      </w:r>
      <w:proofErr w:type="gramStart"/>
      <w:r w:rsidRPr="007E4689">
        <w:t>approvata  la</w:t>
      </w:r>
      <w:proofErr w:type="gramEnd"/>
      <w:r w:rsidRPr="007E4689">
        <w:t xml:space="preserve"> programmazione delle risorse disponibili relative all’esercizio finanziario 2019 per gli interventi in materia sociale, socio-assistenziale e socio-sanitaria come di seguito: </w:t>
      </w:r>
    </w:p>
    <w:p w:rsidR="007E4689" w:rsidRPr="007E4689" w:rsidRDefault="007E4689" w:rsidP="007E4689">
      <w:pPr>
        <w:spacing w:after="0" w:line="20" w:lineRule="atLeast"/>
        <w:jc w:val="both"/>
      </w:pPr>
      <w:r w:rsidRPr="007E4689">
        <w:t>- la somma di euro 1.900.000,00 alla predisposizione di apposito bando per il Progetto TE Lazio per la terza età;</w:t>
      </w:r>
    </w:p>
    <w:p w:rsidR="007E4689" w:rsidRPr="007E4689" w:rsidRDefault="007E4689" w:rsidP="007E4689">
      <w:pPr>
        <w:spacing w:after="0" w:line="20" w:lineRule="atLeast"/>
        <w:jc w:val="both"/>
      </w:pPr>
      <w:r w:rsidRPr="007E4689">
        <w:t xml:space="preserve">- la somma di euro 900.000,00 per la realizzazione dei soggiorni estivi delle persone con disabilità in collaborazione con i distretti socio sanitari e le Asl; </w:t>
      </w:r>
    </w:p>
    <w:p w:rsidR="007E4689" w:rsidRPr="007E4689" w:rsidRDefault="007E4689" w:rsidP="007E4689">
      <w:pPr>
        <w:spacing w:after="0" w:line="20" w:lineRule="atLeast"/>
        <w:jc w:val="both"/>
      </w:pPr>
      <w:r w:rsidRPr="007E4689">
        <w:t xml:space="preserve">- la somma di euro 70.000,00 per il proseguimento dell’attività di collaborazione instaurata con il Dipartimento di Architettura della Università degli Studi La Sapienza, finalizzata al recupero di Corviale; </w:t>
      </w:r>
    </w:p>
    <w:p w:rsidR="007E4689" w:rsidRPr="007E4689" w:rsidRDefault="007E4689" w:rsidP="007E4689">
      <w:pPr>
        <w:spacing w:after="0" w:line="20" w:lineRule="atLeast"/>
        <w:jc w:val="both"/>
      </w:pPr>
      <w:r w:rsidRPr="007E4689">
        <w:t xml:space="preserve">- la somma di euro 1.125.000,00 in favore dell’Ipab Centro Regionale S. Alessio Margherita di Savoia per i Ciechi per la sottoscrizione dell’accordo di programma annuale </w:t>
      </w:r>
    </w:p>
    <w:p w:rsidR="007E4689" w:rsidRPr="007E4689" w:rsidRDefault="007E4689" w:rsidP="007E4689">
      <w:pPr>
        <w:spacing w:after="0" w:line="20" w:lineRule="atLeast"/>
        <w:jc w:val="both"/>
      </w:pPr>
      <w:r w:rsidRPr="007E4689">
        <w:t xml:space="preserve">- la somma di euro 60.000,00 finalizzata alla modifica degli strumenti di guida articolo 27 legge 104/1992; </w:t>
      </w:r>
    </w:p>
    <w:p w:rsidR="007E4689" w:rsidRPr="007E4689" w:rsidRDefault="007E4689" w:rsidP="007E4689">
      <w:pPr>
        <w:spacing w:after="0" w:line="20" w:lineRule="atLeast"/>
        <w:jc w:val="both"/>
      </w:pPr>
      <w:r w:rsidRPr="007E4689">
        <w:t xml:space="preserve">- la somma di euro 30.000,00 per adattamento dei veicoli di guida; </w:t>
      </w:r>
    </w:p>
    <w:p w:rsidR="007E4689" w:rsidRPr="007E4689" w:rsidRDefault="007E4689" w:rsidP="007E4689">
      <w:pPr>
        <w:spacing w:after="0" w:line="20" w:lineRule="atLeast"/>
        <w:jc w:val="both"/>
      </w:pPr>
      <w:r w:rsidRPr="007E4689">
        <w:t xml:space="preserve">- la somma di euro 375.000,00 quale finanziamento del progetto PIPPI 8; </w:t>
      </w:r>
    </w:p>
    <w:p w:rsidR="007E4689" w:rsidRPr="007E4689" w:rsidRDefault="007E4689" w:rsidP="007E4689">
      <w:pPr>
        <w:spacing w:after="0" w:line="20" w:lineRule="atLeast"/>
        <w:jc w:val="both"/>
      </w:pPr>
      <w:r w:rsidRPr="007E4689">
        <w:t xml:space="preserve">- la somma di euro 33.039.178,03 destinata alla compartecipazione della spesa sostenuta dai Comuni per i ricoveri nelle rsa e centri di riabilitazione (art.6 l.r. 12/2016 e dgr 790/2016) e degli utenti in strutture residenziali psichiatriche socio-riabilitative (l.r. 12/2016) </w:t>
      </w:r>
    </w:p>
    <w:p w:rsidR="007E4689" w:rsidRPr="007E4689" w:rsidRDefault="007E4689" w:rsidP="007E4689">
      <w:pPr>
        <w:spacing w:after="0" w:line="20" w:lineRule="atLeast"/>
        <w:jc w:val="both"/>
      </w:pPr>
      <w:r w:rsidRPr="007E4689">
        <w:t xml:space="preserve">- la somma di euro 636.869,59 Misura 6.3 Saldo degli interventi a favore dei disagiati psichici; </w:t>
      </w:r>
    </w:p>
    <w:p w:rsidR="007E4689" w:rsidRPr="007E4689" w:rsidRDefault="007E4689" w:rsidP="007E4689">
      <w:pPr>
        <w:spacing w:after="0" w:line="20" w:lineRule="atLeast"/>
        <w:jc w:val="both"/>
      </w:pPr>
      <w:r w:rsidRPr="007E4689">
        <w:t xml:space="preserve">- la somma di euro 100.000,00 come finanziamento degli interventi di cui alla legge regionale 6/2005. Lingua dei segni; </w:t>
      </w:r>
    </w:p>
    <w:p w:rsidR="007E4689" w:rsidRPr="007E4689" w:rsidRDefault="007E4689" w:rsidP="007E4689">
      <w:pPr>
        <w:spacing w:after="0" w:line="20" w:lineRule="atLeast"/>
        <w:jc w:val="both"/>
      </w:pPr>
      <w:r w:rsidRPr="007E4689">
        <w:t xml:space="preserve">- la somma di euro 2.000.000,00 quale quota del 50% come anticipazione alle Case Famiglia per soggetti con handicap grave avviate ai sensi del D.M. 470/2001. </w:t>
      </w:r>
    </w:p>
    <w:p w:rsidR="006D2FD0" w:rsidRPr="006B0B81" w:rsidRDefault="006D2FD0" w:rsidP="00967AAF">
      <w:pPr>
        <w:spacing w:after="0" w:line="20" w:lineRule="atLeast"/>
        <w:jc w:val="both"/>
        <w:rPr>
          <w:rFonts w:cstheme="minorHAnsi"/>
        </w:rPr>
      </w:pPr>
    </w:p>
    <w:p w:rsidR="000214F9" w:rsidRPr="000214F9" w:rsidRDefault="000214F9" w:rsidP="000214F9">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8460"/>
        </w:tabs>
        <w:spacing w:line="20" w:lineRule="atLeast"/>
        <w:jc w:val="center"/>
        <w:rPr>
          <w:rFonts w:cstheme="minorHAnsi"/>
          <w:b/>
        </w:rPr>
      </w:pPr>
      <w:r w:rsidRPr="000214F9">
        <w:rPr>
          <w:rFonts w:cstheme="minorHAnsi"/>
          <w:b/>
        </w:rPr>
        <w:t>POVERTÀ INCLUSIONE SOCIALE</w:t>
      </w:r>
    </w:p>
    <w:p w:rsidR="007A5543" w:rsidRDefault="000214F9" w:rsidP="007A5543">
      <w:pPr>
        <w:spacing w:after="0" w:line="20" w:lineRule="atLeast"/>
        <w:jc w:val="both"/>
        <w:rPr>
          <w:rFonts w:cstheme="minorHAnsi"/>
        </w:rPr>
      </w:pPr>
      <w:r w:rsidRPr="006B0B81">
        <w:rPr>
          <w:rFonts w:cstheme="minorHAnsi"/>
          <w:b/>
        </w:rPr>
        <w:t>DGR  16 luglio 2019, n. 469</w:t>
      </w:r>
      <w:r w:rsidRPr="006B0B81">
        <w:rPr>
          <w:rFonts w:cstheme="minorHAnsi"/>
        </w:rPr>
        <w:t>, Decreto legge 28 gennaio 2019 n. 4, convertito, con modificazioni, dalla legge 28 marzo 2019, n. 26"Disposizioni urgenti in materia di reddito di cittadinanza e di pensioni". Approvazione schema di Convenzione tra la Regione Lazio e ANPAL Servizi S.p.A.- Piano straordinario di potenziamento dei Centri per l'Impiego e delle politiche attive per il lavoro.</w:t>
      </w:r>
      <w:r w:rsidR="007A5543">
        <w:rPr>
          <w:rFonts w:cstheme="minorHAnsi"/>
        </w:rPr>
        <w:t xml:space="preserve"> </w:t>
      </w:r>
      <w:r w:rsidR="007A5543" w:rsidRPr="006B0B81">
        <w:rPr>
          <w:rFonts w:cstheme="minorHAnsi"/>
        </w:rPr>
        <w:t>(BUR n. 64 dell’8.8.19)</w:t>
      </w:r>
    </w:p>
    <w:p w:rsidR="000214F9" w:rsidRPr="006B0B81" w:rsidRDefault="000214F9" w:rsidP="000214F9">
      <w:pPr>
        <w:spacing w:after="0" w:line="20" w:lineRule="atLeast"/>
        <w:jc w:val="both"/>
        <w:rPr>
          <w:rFonts w:cstheme="minorHAnsi"/>
          <w:b/>
        </w:rPr>
      </w:pPr>
      <w:r w:rsidRPr="006B0B81">
        <w:rPr>
          <w:rFonts w:cstheme="minorHAnsi"/>
          <w:b/>
        </w:rPr>
        <w:t xml:space="preserve">RIFERIMENTI NORMATIVI ED AMMINISTRATIVI </w:t>
      </w:r>
    </w:p>
    <w:p w:rsidR="000214F9" w:rsidRPr="006B0B81" w:rsidRDefault="000214F9" w:rsidP="000214F9">
      <w:pPr>
        <w:spacing w:after="0" w:line="20" w:lineRule="atLeast"/>
        <w:jc w:val="both"/>
        <w:rPr>
          <w:rFonts w:cstheme="minorHAnsi"/>
        </w:rPr>
      </w:pPr>
      <w:r w:rsidRPr="006B0B81">
        <w:rPr>
          <w:rFonts w:cstheme="minorHAnsi"/>
        </w:rPr>
        <w:lastRenderedPageBreak/>
        <w:t xml:space="preserve">Legge 10 dicembre 2014, n. 183 “Deleghe al Governo in materia di riforma degli ammortizzatori sociali, dei servizi per il lavoro e delle politiche attive, nonché in materia di riordino della disciplina dei rapporti di lavoro e dell'attività ispettiva e di tutela e conciliazione delle esigenze di cura, di vita e di lavoro” e, in particolare, l’articolo 1, commi 3 e 4, che disciplinano, rispettivamente, il riordino della normativa in materia di servizi per il lavoro e di politiche attive, l’istituzione di un’Agenzia nazionale per l’occupazione – con attribuzione alla stessa di competenze gestionali in materia di servizi per l’impiego, politiche attive e ASpI – nonché il rafforzamento delle funzioni di monitoraggio e valutazione delle politiche e dei servizi e la valorizzazione delle sinergie tra servizi pubblici e privati; </w:t>
      </w:r>
      <w:r w:rsidRPr="006B0B81">
        <w:rPr>
          <w:rFonts w:cstheme="minorHAnsi"/>
        </w:rPr>
        <w:sym w:font="Symbol" w:char="F0FC"/>
      </w:r>
    </w:p>
    <w:p w:rsidR="000214F9" w:rsidRPr="006B0B81" w:rsidRDefault="000214F9" w:rsidP="000214F9">
      <w:pPr>
        <w:spacing w:after="0" w:line="20" w:lineRule="atLeast"/>
        <w:jc w:val="both"/>
        <w:rPr>
          <w:rFonts w:cstheme="minorHAnsi"/>
        </w:rPr>
      </w:pPr>
      <w:r w:rsidRPr="006B0B81">
        <w:rPr>
          <w:rFonts w:cstheme="minorHAnsi"/>
        </w:rPr>
        <w:t xml:space="preserve">Decreto legge 19 giugno 2015, n. 78, convertito, con modifiche, dalla legge 6 agosto 2015, n. 125 “Disposizioni urgenti in materia di enti territoriali. Disposizioni per garantire la continuità dei dispositivi di sicurezza e di controllo del territorio. Razionalizzazione delle spese del Servizio sanitario nazionale nonché norme in materia di rifiuti e di emissioni industriali” ed, in particolare, l’articolo 15 che stabilisce, allo scopo di garantire livelli essenziali di prestazioni in materia di servizi e politiche attive del lavoro, che il Ministero del lavoro e delle politiche sociali, le regioni e le province autonome, definiscano, con accordo in Conferenza unificata, un piano di rafforzamento dei servizi per l'impiego ai fini dell'erogazione delle politiche attive, mediante l'utilizzo coordinato di fondi nazionali e regionali, nonché dei programmi operativi cofinanziati dal Fondo Sociale Europeo e di quelli cofinanziati con fondi nazionali negli ambiti di intervento del Fondo Sociale Europeo, nel rispetto dei regolamenti dell'Unione europea in materia di fondi strutturali; </w:t>
      </w:r>
    </w:p>
    <w:p w:rsidR="000214F9" w:rsidRPr="006B0B81" w:rsidRDefault="000214F9" w:rsidP="000214F9">
      <w:pPr>
        <w:spacing w:after="0" w:line="20" w:lineRule="atLeast"/>
        <w:jc w:val="both"/>
        <w:rPr>
          <w:rFonts w:cstheme="minorHAnsi"/>
        </w:rPr>
      </w:pPr>
      <w:r w:rsidRPr="006B0B81">
        <w:rPr>
          <w:rFonts w:cstheme="minorHAnsi"/>
        </w:rPr>
        <w:t xml:space="preserve">Decreto legislativo 14 settembre 2015, n. 150 “Disposizioni per il riordino della normativa in materia di servizi per il lavoro e di politiche attive, ai sensi dell'articolo 1, comma 3, della legge 10 dicembre 2014, n. 183” e smi; </w:t>
      </w:r>
    </w:p>
    <w:p w:rsidR="000214F9" w:rsidRPr="006B0B81" w:rsidRDefault="000214F9" w:rsidP="000214F9">
      <w:pPr>
        <w:spacing w:after="0" w:line="20" w:lineRule="atLeast"/>
        <w:jc w:val="both"/>
        <w:rPr>
          <w:rFonts w:cstheme="minorHAnsi"/>
        </w:rPr>
      </w:pPr>
      <w:r w:rsidRPr="006B0B81">
        <w:rPr>
          <w:rFonts w:cstheme="minorHAnsi"/>
        </w:rPr>
        <w:t>Legge 27 dicembre 2017, n. 205 “Bilancio di previsione dello Stato per l'anno finanziario 2018 e bilancio pluriennale per il triennio 2018-2020”, art. 1, commi 793 – 799, che stanzia risorse per il rafforzamento dei centri per l’impiego, per la stabilizzazione degli operatori in essi occupati e il reclutamento di ulteriore personale.</w:t>
      </w:r>
    </w:p>
    <w:p w:rsidR="000214F9" w:rsidRPr="006B0B81" w:rsidRDefault="000214F9" w:rsidP="000214F9">
      <w:pPr>
        <w:spacing w:after="0" w:line="20" w:lineRule="atLeast"/>
        <w:jc w:val="both"/>
        <w:rPr>
          <w:rFonts w:cstheme="minorHAnsi"/>
        </w:rPr>
      </w:pPr>
      <w:r w:rsidRPr="006B0B81">
        <w:rPr>
          <w:rFonts w:cstheme="minorHAnsi"/>
        </w:rPr>
        <w:t xml:space="preserve">Piano di rafforzamento dei servizi e delle misure di politica attiva del lavoro”, approvato con l’intesa della Conferenza Unificata del 21 dicembre 2017; </w:t>
      </w:r>
    </w:p>
    <w:p w:rsidR="000214F9" w:rsidRPr="006B0B81" w:rsidRDefault="000214F9" w:rsidP="000214F9">
      <w:pPr>
        <w:spacing w:after="0" w:line="20" w:lineRule="atLeast"/>
        <w:jc w:val="both"/>
        <w:rPr>
          <w:rFonts w:cstheme="minorHAnsi"/>
        </w:rPr>
      </w:pPr>
      <w:r w:rsidRPr="006B0B81">
        <w:rPr>
          <w:rFonts w:cstheme="minorHAnsi"/>
        </w:rPr>
        <w:t xml:space="preserve">Decreto legge 28 gennaio 2019 n. 4, convertito, con modificazioni, dalla legge 28 marzo 2019, n. 26 “Disposizioni urgenti in materia di reddito di cittadinanza e di pensioni”,con particolare riferimento a: art. 4 “Patto per il lavoro e Patto per l'inclusione sociale”, art. 6 “Piattaforme digitali per l'attivazione e la gestione dei Patti e disposizioni sui centri di assistenza fiscale”, art. 9 “Assegno di ricollocazione”, art. 12 “Disposizioni finanziarie per l'attuazione del programma del Rdc”; </w:t>
      </w:r>
    </w:p>
    <w:p w:rsidR="000214F9" w:rsidRPr="006B0B81" w:rsidRDefault="000214F9" w:rsidP="000214F9">
      <w:pPr>
        <w:spacing w:after="0" w:line="20" w:lineRule="atLeast"/>
        <w:jc w:val="both"/>
        <w:rPr>
          <w:rFonts w:cstheme="minorHAnsi"/>
        </w:rPr>
      </w:pPr>
      <w:r w:rsidRPr="006B0B81">
        <w:rPr>
          <w:rFonts w:cstheme="minorHAnsi"/>
        </w:rPr>
        <w:t xml:space="preserve">L’Intesa, ai sensi dell’art. 8, comma 6, della legge 5 giugno 2003, n. 131 sul “Piano straordinario di potenziamento dei centri per l’impiego e delle politiche attive del lavoro” in attuazione dell’art. 12, comma 3, del decreto legge 28 gennaio 2019 n. 4, convertito, con modificazioni, dalla legge 28 marzo 2019 n. 26, sottoscritta in data 17 aprile 2019 in sede di Conferenza permanente per i rapporti tra Stato e Regioni; </w:t>
      </w:r>
    </w:p>
    <w:p w:rsidR="000214F9" w:rsidRPr="006B0B81" w:rsidRDefault="000214F9" w:rsidP="000214F9">
      <w:pPr>
        <w:spacing w:after="0" w:line="20" w:lineRule="atLeast"/>
        <w:jc w:val="both"/>
        <w:rPr>
          <w:rFonts w:cstheme="minorHAnsi"/>
        </w:rPr>
      </w:pPr>
      <w:r w:rsidRPr="006B0B81">
        <w:rPr>
          <w:rFonts w:cstheme="minorHAnsi"/>
        </w:rPr>
        <w:t xml:space="preserve">Deliberazione della Giunta regionale 24 maggio 2016 n. 275 “Approvazione delle Azioni di Rafforzamento del Sistema dei Servizi per il Lavoro del Lazio 2016-2017". </w:t>
      </w:r>
    </w:p>
    <w:p w:rsidR="000214F9" w:rsidRPr="006B0B81" w:rsidRDefault="000214F9" w:rsidP="000214F9">
      <w:pPr>
        <w:spacing w:after="0" w:line="20" w:lineRule="atLeast"/>
        <w:jc w:val="both"/>
        <w:rPr>
          <w:rFonts w:cstheme="minorHAnsi"/>
        </w:rPr>
      </w:pPr>
      <w:r w:rsidRPr="006B0B81">
        <w:rPr>
          <w:rFonts w:cstheme="minorHAnsi"/>
        </w:rPr>
        <w:t xml:space="preserve">Il Piano straordinario di potenziamento dei centri per l’impiego e delle politiche attive del lavoro, in attuazione dell’art. 12, comma 3, del Decreto Legge 29 gennaio 2019 n. 4, convertito, con modificazioni, dalla legge 28 marzo 2019, n. 26, è stato approvato in sede di Conferenza permanente per i rapporti tra Stato e Regioni in data 17 aprile 2019 e prevede: </w:t>
      </w:r>
    </w:p>
    <w:p w:rsidR="000214F9" w:rsidRPr="006B0B81" w:rsidRDefault="000214F9" w:rsidP="000214F9">
      <w:pPr>
        <w:spacing w:after="0" w:line="20" w:lineRule="atLeast"/>
        <w:jc w:val="both"/>
        <w:rPr>
          <w:rFonts w:cstheme="minorHAnsi"/>
        </w:rPr>
      </w:pPr>
      <w:r w:rsidRPr="006B0B81">
        <w:rPr>
          <w:rFonts w:cstheme="minorHAnsi"/>
        </w:rPr>
        <w:sym w:font="Symbol" w:char="F0B7"/>
      </w:r>
      <w:r w:rsidRPr="006B0B81">
        <w:rPr>
          <w:rFonts w:cstheme="minorHAnsi"/>
        </w:rPr>
        <w:t xml:space="preserve"> </w:t>
      </w:r>
      <w:proofErr w:type="gramStart"/>
      <w:r w:rsidRPr="006B0B81">
        <w:rPr>
          <w:rFonts w:cstheme="minorHAnsi"/>
        </w:rPr>
        <w:t>la</w:t>
      </w:r>
      <w:proofErr w:type="gramEnd"/>
      <w:r w:rsidRPr="006B0B81">
        <w:rPr>
          <w:rFonts w:cstheme="minorHAnsi"/>
        </w:rPr>
        <w:t xml:space="preserve"> realizzazione di specifiche azioni di sistema e di assistenza tecnica territoriale con particolare riguardo al rafforzamento del sistema dei servizi per il lavoro presso le sedi dei Centri per l’Impiego della Regione Lazio attraverso l’immissione di operatori selezionati e formati da ANPAL Servizi S.p.A (cd. Navigator); </w:t>
      </w:r>
    </w:p>
    <w:p w:rsidR="000214F9" w:rsidRPr="006B0B81" w:rsidRDefault="000214F9" w:rsidP="000214F9">
      <w:pPr>
        <w:spacing w:after="0" w:line="20" w:lineRule="atLeast"/>
        <w:jc w:val="both"/>
        <w:rPr>
          <w:rFonts w:cstheme="minorHAnsi"/>
        </w:rPr>
      </w:pPr>
      <w:r w:rsidRPr="006B0B81">
        <w:rPr>
          <w:rFonts w:cstheme="minorHAnsi"/>
        </w:rPr>
        <w:sym w:font="Symbol" w:char="F0B7"/>
      </w:r>
      <w:r w:rsidRPr="006B0B81">
        <w:rPr>
          <w:rFonts w:cstheme="minorHAnsi"/>
        </w:rPr>
        <w:t xml:space="preserve"> </w:t>
      </w:r>
      <w:proofErr w:type="gramStart"/>
      <w:r w:rsidRPr="006B0B81">
        <w:rPr>
          <w:rFonts w:cstheme="minorHAnsi"/>
        </w:rPr>
        <w:t>la</w:t>
      </w:r>
      <w:proofErr w:type="gramEnd"/>
      <w:r w:rsidRPr="006B0B81">
        <w:rPr>
          <w:rFonts w:cstheme="minorHAnsi"/>
        </w:rPr>
        <w:t xml:space="preserve"> stipula delle convenzioni tra ANPAL Servizi S.p.A e le singole amministrazioni regionali e provinciali, per la definizione delle modalità di intervento con cui opererà il personale dell'assistenza tecnica selezionato e formato da Anpal Servizi S.P.A., al fine di potenziare i Centri per l’impiego e le politiche attive del lavoro. </w:t>
      </w:r>
    </w:p>
    <w:p w:rsidR="000214F9" w:rsidRPr="005E2973" w:rsidRDefault="005E2973" w:rsidP="000214F9">
      <w:pPr>
        <w:spacing w:after="0" w:line="20" w:lineRule="atLeast"/>
        <w:jc w:val="both"/>
        <w:rPr>
          <w:rFonts w:cstheme="minorHAnsi"/>
          <w:b/>
        </w:rPr>
      </w:pPr>
      <w:r w:rsidRPr="005E2973">
        <w:rPr>
          <w:rFonts w:cstheme="minorHAnsi"/>
          <w:b/>
        </w:rPr>
        <w:t xml:space="preserve">LA DISPOSIZIONE </w:t>
      </w:r>
    </w:p>
    <w:p w:rsidR="000214F9" w:rsidRPr="006B0B81" w:rsidRDefault="000214F9" w:rsidP="000214F9">
      <w:pPr>
        <w:spacing w:after="0" w:line="20" w:lineRule="atLeast"/>
        <w:jc w:val="both"/>
        <w:rPr>
          <w:rFonts w:cstheme="minorHAnsi"/>
        </w:rPr>
      </w:pPr>
      <w:r w:rsidRPr="006B0B81">
        <w:rPr>
          <w:rFonts w:cstheme="minorHAnsi"/>
        </w:rPr>
        <w:t xml:space="preserve">Viene </w:t>
      </w:r>
      <w:proofErr w:type="gramStart"/>
      <w:r w:rsidRPr="006B0B81">
        <w:rPr>
          <w:rFonts w:cstheme="minorHAnsi"/>
        </w:rPr>
        <w:t>approvato  lo</w:t>
      </w:r>
      <w:proofErr w:type="gramEnd"/>
      <w:r w:rsidRPr="006B0B81">
        <w:rPr>
          <w:rFonts w:cstheme="minorHAnsi"/>
        </w:rPr>
        <w:t xml:space="preserve"> schema di Convenzione tra la Regione Lazio e Anpal Servizi S.P.A., di cui all’allegato A, parte integrante e sostanziale della presente deliberazione, volta a definire le modalità di intervento con le quali opererà il personale dell'assistenza tecnica selezionato e formato da Anpal Servizi S.P.A., al fine di potenziare i Centri per l’impiego e le politiche attive del lavoro. </w:t>
      </w:r>
    </w:p>
    <w:p w:rsidR="000214F9" w:rsidRPr="006B0B81" w:rsidRDefault="000214F9" w:rsidP="000214F9">
      <w:pPr>
        <w:spacing w:after="0" w:line="20" w:lineRule="atLeast"/>
        <w:jc w:val="both"/>
        <w:rPr>
          <w:rFonts w:cstheme="minorHAnsi"/>
        </w:rPr>
      </w:pPr>
    </w:p>
    <w:p w:rsidR="000214F9" w:rsidRPr="006B0B81" w:rsidRDefault="000214F9" w:rsidP="000214F9">
      <w:pPr>
        <w:spacing w:after="0" w:line="20" w:lineRule="atLeast"/>
        <w:jc w:val="both"/>
        <w:rPr>
          <w:rFonts w:cstheme="minorHAnsi"/>
        </w:rPr>
      </w:pPr>
      <w:r w:rsidRPr="006B0B81">
        <w:rPr>
          <w:rFonts w:cstheme="minorHAnsi"/>
        </w:rPr>
        <w:t xml:space="preserve">SCHEMA DI CONVENZIONE EX ART. 12, COMMA 3 DEL DECRETO LEGGE N.4/2019, CONVERTITO NELLA LEGGE N.26/2019 TRA Regione Lazio, rappresentata da __________________________________ e Anpal Servizi S.p.A., rappresentata da _________________________________ </w:t>
      </w:r>
    </w:p>
    <w:p w:rsidR="000214F9" w:rsidRPr="006B0B81" w:rsidRDefault="000214F9" w:rsidP="000214F9">
      <w:pPr>
        <w:spacing w:after="0" w:line="20" w:lineRule="atLeast"/>
        <w:jc w:val="both"/>
        <w:rPr>
          <w:rFonts w:cstheme="minorHAnsi"/>
        </w:rPr>
      </w:pPr>
      <w:r w:rsidRPr="006B0B81">
        <w:rPr>
          <w:rFonts w:cstheme="minorHAnsi"/>
        </w:rPr>
        <w:t xml:space="preserve">VISTI </w:t>
      </w:r>
    </w:p>
    <w:p w:rsidR="000214F9" w:rsidRPr="006B0B81" w:rsidRDefault="000214F9" w:rsidP="000214F9">
      <w:pPr>
        <w:spacing w:after="0" w:line="20" w:lineRule="atLeast"/>
        <w:jc w:val="both"/>
        <w:rPr>
          <w:rFonts w:cstheme="minorHAnsi"/>
        </w:rPr>
      </w:pPr>
      <w:r w:rsidRPr="006B0B81">
        <w:rPr>
          <w:rFonts w:cstheme="minorHAnsi"/>
        </w:rPr>
        <w:t xml:space="preserve">- Il Titolo V della Costituzione Italiana e, in particolare, gli articoli 117, 118 e 119 relativi alla ripartizione delle competenze tra Stato e Regioni in materia di mercato del lavoro; </w:t>
      </w:r>
    </w:p>
    <w:p w:rsidR="000214F9" w:rsidRPr="006B0B81" w:rsidRDefault="000214F9" w:rsidP="000214F9">
      <w:pPr>
        <w:spacing w:after="0" w:line="20" w:lineRule="atLeast"/>
        <w:jc w:val="both"/>
        <w:rPr>
          <w:rFonts w:cstheme="minorHAnsi"/>
        </w:rPr>
      </w:pPr>
      <w:r w:rsidRPr="006B0B81">
        <w:rPr>
          <w:rFonts w:cstheme="minorHAnsi"/>
        </w:rPr>
        <w:t xml:space="preserve">- La sentenza della Corte Costituzionale n. 363 del 19 dicembre 2003 che stabilisce che le Regioni possano avvalersi di Anpal Servizi S.p.A. (già Italia Lavoro S.p.A.) per azioni nel mercato del lavoro sulla base di specifici accordi; </w:t>
      </w:r>
    </w:p>
    <w:p w:rsidR="000214F9" w:rsidRPr="006B0B81" w:rsidRDefault="000214F9" w:rsidP="000214F9">
      <w:pPr>
        <w:spacing w:after="0" w:line="20" w:lineRule="atLeast"/>
        <w:jc w:val="both"/>
        <w:rPr>
          <w:rFonts w:cstheme="minorHAnsi"/>
        </w:rPr>
      </w:pPr>
      <w:r w:rsidRPr="006B0B81">
        <w:rPr>
          <w:rFonts w:cstheme="minorHAnsi"/>
        </w:rPr>
        <w:t>- Il Decreto Legislativo 14 settembre 2015 n. 150 “Disposizioni per il riordino della normativa in materia di servizi per il lavoro e di politiche attive, ai sensi dell'articolo 1, comma 3, della legge 10 dicembre 2014, n. 183”, con particolare riferimento all’art. 13 “Sistema informativo unitario delle politiche del lavoro”;</w:t>
      </w:r>
    </w:p>
    <w:p w:rsidR="000214F9" w:rsidRPr="006B0B81" w:rsidRDefault="000214F9" w:rsidP="000214F9">
      <w:pPr>
        <w:spacing w:after="0" w:line="20" w:lineRule="atLeast"/>
        <w:jc w:val="both"/>
        <w:rPr>
          <w:rFonts w:cstheme="minorHAnsi"/>
        </w:rPr>
      </w:pPr>
      <w:r w:rsidRPr="006B0B81">
        <w:rPr>
          <w:rFonts w:cstheme="minorHAnsi"/>
        </w:rPr>
        <w:t xml:space="preserve"> - Il Decreto del Ministro del Lavoro e delle Politiche sociali n. 4/2018 recante linee di indirizzo triennali in materia di politiche attive, che definisce i livelli essenziali delle prestazioni dei servizi per il lavoro;</w:t>
      </w:r>
    </w:p>
    <w:p w:rsidR="000214F9" w:rsidRPr="006B0B81" w:rsidRDefault="000214F9" w:rsidP="000214F9">
      <w:pPr>
        <w:spacing w:after="0" w:line="20" w:lineRule="atLeast"/>
        <w:jc w:val="both"/>
        <w:rPr>
          <w:rFonts w:cstheme="minorHAnsi"/>
        </w:rPr>
      </w:pPr>
      <w:r w:rsidRPr="006B0B81">
        <w:rPr>
          <w:rFonts w:cstheme="minorHAnsi"/>
        </w:rPr>
        <w:t xml:space="preserve"> - La legge 27 dicembre 2017, n. 205 “Bilancio di previsione dello Stato per l'anno finanziario 2018 e bilancio pluriennale per il triennio 2018-2020”, art. 1, commi 793 – 799, che stanzia risorse per il rafforzamento dei centri per l’impiego, per la stabilizzazione degli operatori in essi occupati e il reclutamento di ulteriore personale;</w:t>
      </w:r>
    </w:p>
    <w:p w:rsidR="000214F9" w:rsidRPr="006B0B81" w:rsidRDefault="000214F9" w:rsidP="000214F9">
      <w:pPr>
        <w:spacing w:after="0" w:line="20" w:lineRule="atLeast"/>
        <w:jc w:val="both"/>
        <w:rPr>
          <w:rFonts w:cstheme="minorHAnsi"/>
        </w:rPr>
      </w:pPr>
      <w:r w:rsidRPr="006B0B81">
        <w:rPr>
          <w:rFonts w:cstheme="minorHAnsi"/>
        </w:rPr>
        <w:t xml:space="preserve"> - Il “Piano di rafforzamento dei servizi e delle misure di politica attiva del lavoro”, approvato con l’intesa della Conferenza Unificata del 21 dicembre 2017; </w:t>
      </w:r>
    </w:p>
    <w:p w:rsidR="000214F9" w:rsidRPr="006B0B81" w:rsidRDefault="000214F9" w:rsidP="000214F9">
      <w:pPr>
        <w:spacing w:after="0" w:line="20" w:lineRule="atLeast"/>
        <w:jc w:val="both"/>
        <w:rPr>
          <w:rFonts w:cstheme="minorHAnsi"/>
        </w:rPr>
      </w:pPr>
      <w:r w:rsidRPr="006B0B81">
        <w:rPr>
          <w:rFonts w:cstheme="minorHAnsi"/>
        </w:rPr>
        <w:t>- La legge 30 dicembre 2018, n. 145 “Bilancio di previsione dello Stato per l'anno finanziario 2019 e bilancio pluriennale per il triennio 2019-2021”, art. 1, comma 258 che stanzia ulteriori risorse finanziarie per il rafforzamento dei Centri per l’Impiego e per il reclutamento di ulteriori quattromila operatori;</w:t>
      </w:r>
    </w:p>
    <w:p w:rsidR="000214F9" w:rsidRPr="006B0B81" w:rsidRDefault="000214F9" w:rsidP="000214F9">
      <w:pPr>
        <w:spacing w:after="0" w:line="20" w:lineRule="atLeast"/>
        <w:jc w:val="both"/>
        <w:rPr>
          <w:rFonts w:cstheme="minorHAnsi"/>
        </w:rPr>
      </w:pPr>
      <w:r w:rsidRPr="006B0B81">
        <w:rPr>
          <w:rFonts w:cstheme="minorHAnsi"/>
        </w:rPr>
        <w:t xml:space="preserve"> - Il decreto legge 29 gennaio 2019, n. 4, convertito, con modificazioni, dalla legge 28 marzo 2019, n. 26, recante “Disposizioni urgenti in materia di reddito di cittadinanza e di pensioni”, con particolare riferimento a: art. 4 “Patto per il lavoro e Patto per l'inclusione sociale”, art. 6 “Piattaforme digitali per l'attivazione e la gestione dei Patti e disposizioni sui centri di assistenza fiscale”, art. 9 “Assegno di ricollocazione”, art. 12 “Disposizioni finanziarie per l'attuazione del programma del Rdc”; </w:t>
      </w:r>
    </w:p>
    <w:p w:rsidR="000214F9" w:rsidRPr="006B0B81" w:rsidRDefault="000214F9" w:rsidP="000214F9">
      <w:pPr>
        <w:spacing w:after="0" w:line="20" w:lineRule="atLeast"/>
        <w:jc w:val="both"/>
        <w:rPr>
          <w:rFonts w:cstheme="minorHAnsi"/>
        </w:rPr>
      </w:pPr>
      <w:r w:rsidRPr="006B0B81">
        <w:rPr>
          <w:rFonts w:cstheme="minorHAnsi"/>
        </w:rPr>
        <w:t xml:space="preserve">- L’Intesa, ai sensi dell’art. 8, comma 6, della legge 5 giugno 2003, n. 131 sul “Piano straordinario di potenziamento dei centri per l’impiego e delle politiche attive del lavoro”, in attuazione dell’art. 12, comma 3, del decreto legge 29 gennaio 2019 n. 4, convertito, con modificazioni, dalla legge 28 marzo 2019, n. 26, sottoscritta in data 17 aprile 2019 in sede di Conferenza permanente per i rapporti tra Stato e Regioni (di seguito “il Piano”); </w:t>
      </w:r>
    </w:p>
    <w:p w:rsidR="000214F9" w:rsidRPr="006B0B81" w:rsidRDefault="000214F9" w:rsidP="000214F9">
      <w:pPr>
        <w:spacing w:after="0" w:line="20" w:lineRule="atLeast"/>
        <w:jc w:val="both"/>
        <w:rPr>
          <w:rFonts w:cstheme="minorHAnsi"/>
        </w:rPr>
      </w:pPr>
      <w:r w:rsidRPr="006B0B81">
        <w:rPr>
          <w:rFonts w:cstheme="minorHAnsi"/>
        </w:rPr>
        <w:t xml:space="preserve">VISTI ALTRESÌ </w:t>
      </w:r>
    </w:p>
    <w:p w:rsidR="000214F9" w:rsidRPr="006B0B81" w:rsidRDefault="000214F9" w:rsidP="000214F9">
      <w:pPr>
        <w:spacing w:after="0" w:line="20" w:lineRule="atLeast"/>
        <w:jc w:val="both"/>
        <w:rPr>
          <w:rFonts w:cstheme="minorHAnsi"/>
        </w:rPr>
      </w:pPr>
      <w:r w:rsidRPr="006B0B81">
        <w:rPr>
          <w:rFonts w:cstheme="minorHAnsi"/>
        </w:rPr>
        <w:t xml:space="preserve">la Deliberazione della Giunta regionale 24 maggio 2016 n. 275 “Approvazione delle Azioni di Rafforzamento del Sistema dei Servizi per il Lavoro del Lazio 2016-2017"; 9 la Deliberazione della Giunta regionale 15 giugno 2018, n. 296 “Legge 27 dicembre 2017 n. 205 recante “Bilancio di previsione dello Stato per l'anno finanziario 2018 e bilancio pluriennale per il triennio 2018-2020”, attuazione delle disposizioni, di cui ai commi da 793 a 807 dell’art. 1, concernenti il personale dei centri per l’impiego della Città metropolitana di Roma Capitale e delle province del Lazio”; </w:t>
      </w:r>
    </w:p>
    <w:p w:rsidR="000214F9" w:rsidRPr="006B0B81" w:rsidRDefault="000214F9" w:rsidP="000214F9">
      <w:pPr>
        <w:spacing w:after="0" w:line="20" w:lineRule="atLeast"/>
        <w:jc w:val="both"/>
        <w:rPr>
          <w:rFonts w:cstheme="minorHAnsi"/>
        </w:rPr>
      </w:pPr>
      <w:proofErr w:type="gramStart"/>
      <w:r w:rsidRPr="006B0B81">
        <w:rPr>
          <w:rFonts w:cstheme="minorHAnsi"/>
        </w:rPr>
        <w:t>la</w:t>
      </w:r>
      <w:proofErr w:type="gramEnd"/>
      <w:r w:rsidRPr="006B0B81">
        <w:rPr>
          <w:rFonts w:cstheme="minorHAnsi"/>
        </w:rPr>
        <w:t xml:space="preserve"> legge regionale 22 ottobre 2018, n. 7 “Disposizioni per la semplificazione e lo sviluppo regionale”; </w:t>
      </w:r>
    </w:p>
    <w:p w:rsidR="000214F9" w:rsidRPr="006B0B81" w:rsidRDefault="000214F9" w:rsidP="000214F9">
      <w:pPr>
        <w:spacing w:after="0" w:line="20" w:lineRule="atLeast"/>
        <w:jc w:val="both"/>
        <w:rPr>
          <w:rFonts w:cstheme="minorHAnsi"/>
        </w:rPr>
      </w:pPr>
      <w:proofErr w:type="gramStart"/>
      <w:r w:rsidRPr="006B0B81">
        <w:rPr>
          <w:rFonts w:cstheme="minorHAnsi"/>
        </w:rPr>
        <w:t>la</w:t>
      </w:r>
      <w:proofErr w:type="gramEnd"/>
      <w:r w:rsidRPr="006B0B81">
        <w:rPr>
          <w:rFonts w:cstheme="minorHAnsi"/>
        </w:rPr>
        <w:t xml:space="preserve"> Deliberazione della Giunta regionale 30 novembre 2018 n. 746 “Attuazione articolo 67, legge regionale 22 ottobre 2018, n. 7 “Disposizioni per la semplificazione e lo sviluppo regionale”; </w:t>
      </w:r>
    </w:p>
    <w:p w:rsidR="000214F9" w:rsidRPr="006B0B81" w:rsidRDefault="000214F9" w:rsidP="000214F9">
      <w:pPr>
        <w:spacing w:after="0" w:line="20" w:lineRule="atLeast"/>
        <w:jc w:val="both"/>
        <w:rPr>
          <w:rFonts w:cstheme="minorHAnsi"/>
        </w:rPr>
      </w:pPr>
      <w:r w:rsidRPr="006B0B81">
        <w:rPr>
          <w:rFonts w:cstheme="minorHAnsi"/>
        </w:rPr>
        <w:t>CONSIDERATO CHE</w:t>
      </w:r>
    </w:p>
    <w:p w:rsidR="000214F9" w:rsidRPr="006B0B81" w:rsidRDefault="000214F9" w:rsidP="000214F9">
      <w:pPr>
        <w:spacing w:after="0" w:line="20" w:lineRule="atLeast"/>
        <w:jc w:val="both"/>
        <w:rPr>
          <w:rFonts w:cstheme="minorHAnsi"/>
        </w:rPr>
      </w:pPr>
      <w:r w:rsidRPr="006B0B81">
        <w:rPr>
          <w:rFonts w:cstheme="minorHAnsi"/>
        </w:rPr>
        <w:t xml:space="preserve"> - In conformità a quanto previsto dall’art. 12, comma 3 del D.L. 4/2019, convertito, con modificazioni, dalla legge 28 marzo 2019, n. 26, il Piano adottato dalla Conferenza Stato Regioni nel mese di aprile 2019 stabilisce ruolo e ripartizione territoriale dei collaboratori contrattualizzati da Anpal Servizi S.p.A. per supportare i centri per l’impiego regionali nella prima fase di attuazione del Reddito di Cittadinanza; </w:t>
      </w:r>
    </w:p>
    <w:p w:rsidR="000214F9" w:rsidRPr="006B0B81" w:rsidRDefault="000214F9" w:rsidP="000214F9">
      <w:pPr>
        <w:spacing w:after="0" w:line="20" w:lineRule="atLeast"/>
        <w:jc w:val="both"/>
        <w:rPr>
          <w:rFonts w:cstheme="minorHAnsi"/>
        </w:rPr>
      </w:pPr>
      <w:r w:rsidRPr="006B0B81">
        <w:rPr>
          <w:rFonts w:cstheme="minorHAnsi"/>
        </w:rPr>
        <w:t xml:space="preserve">- La richiamata norma demanda a successive convenzioni tra Anpal Servizi S.p.A. e le singole amministrazioni regionali, da stipulare entro trenta giorni dalla data di adozione del Piano, “la definizione delle modalità di intervento con cui opera il personale dell'assistenza tecnica”; </w:t>
      </w:r>
    </w:p>
    <w:p w:rsidR="000214F9" w:rsidRPr="006B0B81" w:rsidRDefault="000214F9" w:rsidP="000214F9">
      <w:pPr>
        <w:spacing w:after="0" w:line="20" w:lineRule="atLeast"/>
        <w:jc w:val="both"/>
        <w:rPr>
          <w:rFonts w:cstheme="minorHAnsi"/>
        </w:rPr>
      </w:pPr>
      <w:r w:rsidRPr="006B0B81">
        <w:rPr>
          <w:rFonts w:cstheme="minorHAnsi"/>
        </w:rPr>
        <w:lastRenderedPageBreak/>
        <w:t xml:space="preserve">Tutto quanto sopra visto e considerato, da intendersi parte integrante e sostanziale del presente atto, le Parti convengono quanto segue </w:t>
      </w:r>
    </w:p>
    <w:p w:rsidR="000214F9" w:rsidRPr="006B0B81" w:rsidRDefault="000214F9" w:rsidP="000214F9">
      <w:pPr>
        <w:spacing w:after="0" w:line="20" w:lineRule="atLeast"/>
        <w:jc w:val="both"/>
        <w:rPr>
          <w:rFonts w:cstheme="minorHAnsi"/>
        </w:rPr>
      </w:pPr>
      <w:r w:rsidRPr="006B0B81">
        <w:rPr>
          <w:rFonts w:cstheme="minorHAnsi"/>
        </w:rPr>
        <w:t xml:space="preserve">Articolo 1 Finalità </w:t>
      </w:r>
    </w:p>
    <w:p w:rsidR="000214F9" w:rsidRPr="006B0B81" w:rsidRDefault="000214F9" w:rsidP="000214F9">
      <w:pPr>
        <w:spacing w:after="0" w:line="20" w:lineRule="atLeast"/>
        <w:jc w:val="both"/>
        <w:rPr>
          <w:rFonts w:cstheme="minorHAnsi"/>
        </w:rPr>
      </w:pPr>
      <w:r w:rsidRPr="006B0B81">
        <w:rPr>
          <w:rFonts w:cstheme="minorHAnsi"/>
        </w:rPr>
        <w:t xml:space="preserve">In conformità con quanto previsto dal Piano straordinario di potenziamento dei centri per l’impiego e delle politiche attive del lavoro, Anpal Servizi S.p.A. collabora con la Regione Lazio per realizzare le politiche attive del lavoro collegate al Reddito di Cittadinanza, erogando le attività di assistenza tecnica per l’attuazione del Piano Regionale che, allegato al presente atto (All. 1), ne costituisce parte integrante e sostanziale. Il Piano Regionale stabilisce le modalità di intervento con le quali sono svolte le attività di assistenza tecnica e quant’altro utile ad agevolare e rendere efficace l’attuazione dello stesso. Le Parti si impegnano ad attuare le attività del Piano Regionale con spirito di leale collaborazione istituzionale. Anpal Servizi S.p.A. si assume tutti gli oneri e le obbligazioni giuridiche derivanti dall’essere datore di lavoro. Spetta ad Anpal Servizi S.p.A. assicurare che il proprio personale operi secondo le modalità e finalità richiamate nelle norme, nel Piano e nel presente atto, con idoneo equipaggiamento (strumentazione informatica). Spetta alla Regione coordinare tutte le attività previste dal Piano Regionale, comprese quelle di assistenza tecnica. </w:t>
      </w:r>
    </w:p>
    <w:p w:rsidR="000214F9" w:rsidRPr="006B0B81" w:rsidRDefault="000214F9" w:rsidP="000214F9">
      <w:pPr>
        <w:spacing w:after="0" w:line="20" w:lineRule="atLeast"/>
        <w:jc w:val="both"/>
        <w:rPr>
          <w:rFonts w:cstheme="minorHAnsi"/>
        </w:rPr>
      </w:pPr>
      <w:r w:rsidRPr="006B0B81">
        <w:rPr>
          <w:rFonts w:cstheme="minorHAnsi"/>
        </w:rPr>
        <w:t xml:space="preserve">Articolo 2 Modalità di collaborazione </w:t>
      </w:r>
    </w:p>
    <w:p w:rsidR="000214F9" w:rsidRPr="006B0B81" w:rsidRDefault="000214F9" w:rsidP="000214F9">
      <w:pPr>
        <w:spacing w:after="0" w:line="20" w:lineRule="atLeast"/>
        <w:jc w:val="both"/>
        <w:rPr>
          <w:rFonts w:cstheme="minorHAnsi"/>
        </w:rPr>
      </w:pPr>
      <w:r w:rsidRPr="006B0B81">
        <w:rPr>
          <w:rFonts w:cstheme="minorHAnsi"/>
        </w:rPr>
        <w:t xml:space="preserve">I collaboratori di Anpal Servizi S.p.A. dovranno svolgere le attività di supporto e assistenza tecnica, affiancando gli operatori dei centri per l’impiego regionali, nell’ambito di tutte le sedi di relativa competenza regionale, secondo le indicazioni della Direzione regionale “Lavoro”. I collaboratori di Anpal Servizi S.p.A. potranno accedere alle sedi dei centri per l’impiego della Regione, utilizzando gli spazi disponibili di volta in volta, che verranno indicati loro dai referenti dei singoli uffici. Le attività dei collaboratori di Anpal Servizi S.p.A. riguardano le: </w:t>
      </w:r>
    </w:p>
    <w:p w:rsidR="000214F9" w:rsidRPr="006B0B81" w:rsidRDefault="000214F9" w:rsidP="000214F9">
      <w:pPr>
        <w:spacing w:after="0" w:line="20" w:lineRule="atLeast"/>
        <w:jc w:val="both"/>
        <w:rPr>
          <w:rFonts w:cstheme="minorHAnsi"/>
        </w:rPr>
      </w:pPr>
      <w:r w:rsidRPr="006B0B81">
        <w:rPr>
          <w:rFonts w:cstheme="minorHAnsi"/>
        </w:rPr>
        <w:t xml:space="preserve">• azioni di affiancamento e di supporto ai centri per l’impiego nelle diverse fasi previste dal Reddito di cittadinanza, al fine di garantire uniformità del servizio; </w:t>
      </w:r>
    </w:p>
    <w:p w:rsidR="000214F9" w:rsidRPr="006B0B81" w:rsidRDefault="000214F9" w:rsidP="000214F9">
      <w:pPr>
        <w:spacing w:after="0" w:line="20" w:lineRule="atLeast"/>
        <w:jc w:val="both"/>
        <w:rPr>
          <w:rFonts w:cstheme="minorHAnsi"/>
        </w:rPr>
      </w:pPr>
      <w:r w:rsidRPr="006B0B81">
        <w:rPr>
          <w:rFonts w:cstheme="minorHAnsi"/>
        </w:rPr>
        <w:t xml:space="preserve">• attività di affiancamento e di assistenza tecnica ai centri per l’impiego per il supporto personalizzato ed individualizzato ai beneficiari del Reddito di cittadinanza garantendo il processo previsto dalla norma; </w:t>
      </w:r>
    </w:p>
    <w:p w:rsidR="000214F9" w:rsidRPr="006B0B81" w:rsidRDefault="000214F9" w:rsidP="000214F9">
      <w:pPr>
        <w:spacing w:after="0" w:line="20" w:lineRule="atLeast"/>
        <w:jc w:val="both"/>
        <w:rPr>
          <w:rFonts w:cstheme="minorHAnsi"/>
        </w:rPr>
      </w:pPr>
      <w:r w:rsidRPr="006B0B81">
        <w:rPr>
          <w:rFonts w:cstheme="minorHAnsi"/>
        </w:rPr>
        <w:t xml:space="preserve">• attività a supporto ed affiancamento ai centri per l’impiego per il raccordo con il sistema delle imprese; </w:t>
      </w:r>
    </w:p>
    <w:p w:rsidR="000214F9" w:rsidRPr="006B0B81" w:rsidRDefault="000214F9" w:rsidP="000214F9">
      <w:pPr>
        <w:spacing w:after="0" w:line="20" w:lineRule="atLeast"/>
        <w:jc w:val="both"/>
        <w:rPr>
          <w:rFonts w:cstheme="minorHAnsi"/>
        </w:rPr>
      </w:pPr>
      <w:r w:rsidRPr="006B0B81">
        <w:rPr>
          <w:rFonts w:cstheme="minorHAnsi"/>
        </w:rPr>
        <w:t xml:space="preserve">• attività di affiancamento e di supporto ai centri per l’impiego finalizzate al raccordo con le strutture di istruzione e formazione per il Patto di formazione; </w:t>
      </w:r>
    </w:p>
    <w:p w:rsidR="000214F9" w:rsidRPr="006B0B81" w:rsidRDefault="000214F9" w:rsidP="000214F9">
      <w:pPr>
        <w:spacing w:after="0" w:line="20" w:lineRule="atLeast"/>
        <w:jc w:val="both"/>
        <w:rPr>
          <w:rFonts w:cstheme="minorHAnsi"/>
        </w:rPr>
      </w:pPr>
      <w:r w:rsidRPr="006B0B81">
        <w:rPr>
          <w:rFonts w:cstheme="minorHAnsi"/>
        </w:rPr>
        <w:t xml:space="preserve">• attività di affiancamento e di supporto ai centri per l’impiego nel rapporto con i Comuni per il Patto di inclusione; </w:t>
      </w:r>
    </w:p>
    <w:p w:rsidR="000214F9" w:rsidRPr="006B0B81" w:rsidRDefault="000214F9" w:rsidP="000214F9">
      <w:pPr>
        <w:spacing w:after="0" w:line="20" w:lineRule="atLeast"/>
        <w:jc w:val="both"/>
        <w:rPr>
          <w:rFonts w:cstheme="minorHAnsi"/>
        </w:rPr>
      </w:pPr>
      <w:r w:rsidRPr="006B0B81">
        <w:rPr>
          <w:rFonts w:cstheme="minorHAnsi"/>
        </w:rPr>
        <w:t xml:space="preserve">• attività di affiancamento e di supporto ai centri per l’impiego per il rispetto dei LEP. In particolare, il collaboratore di Anpal Servizi S.p.A., d’intesa con il responsabile dei centri per l’impiego: </w:t>
      </w:r>
    </w:p>
    <w:p w:rsidR="000214F9" w:rsidRPr="006B0B81" w:rsidRDefault="000214F9" w:rsidP="000214F9">
      <w:pPr>
        <w:spacing w:after="0" w:line="20" w:lineRule="atLeast"/>
        <w:jc w:val="both"/>
        <w:rPr>
          <w:rFonts w:cstheme="minorHAnsi"/>
        </w:rPr>
      </w:pPr>
      <w:r w:rsidRPr="006B0B81">
        <w:rPr>
          <w:rFonts w:cstheme="minorHAnsi"/>
        </w:rPr>
        <w:t xml:space="preserve">• affianca e supporta gli operatori dei centri per l’impiego nella definizione e qualificazione del piano personalizzato previsto dalla norma; </w:t>
      </w:r>
    </w:p>
    <w:p w:rsidR="000214F9" w:rsidRPr="006B0B81" w:rsidRDefault="000214F9" w:rsidP="000214F9">
      <w:pPr>
        <w:spacing w:after="0" w:line="20" w:lineRule="atLeast"/>
        <w:jc w:val="both"/>
        <w:rPr>
          <w:rFonts w:cstheme="minorHAnsi"/>
        </w:rPr>
      </w:pPr>
      <w:r w:rsidRPr="006B0B81">
        <w:rPr>
          <w:rFonts w:cstheme="minorHAnsi"/>
        </w:rPr>
        <w:t xml:space="preserve">• svolge una funzione di affiancamento e assistenza tecnica agli operatori dei centri per l’impiego per il supporto dei beneficiari del Reddito di cittadinanza, sostenendo il percorso di inclusione sociolavorativa improntato alla reciproca responsabilità, per garantire che il beneficiario porti a termine con successo il programma e raggiunga la propria autonomia; </w:t>
      </w:r>
    </w:p>
    <w:p w:rsidR="000214F9" w:rsidRPr="006B0B81" w:rsidRDefault="000214F9" w:rsidP="000214F9">
      <w:pPr>
        <w:spacing w:after="0" w:line="20" w:lineRule="atLeast"/>
        <w:jc w:val="both"/>
        <w:rPr>
          <w:rFonts w:cstheme="minorHAnsi"/>
        </w:rPr>
      </w:pPr>
      <w:r w:rsidRPr="006B0B81">
        <w:rPr>
          <w:rFonts w:cstheme="minorHAnsi"/>
        </w:rPr>
        <w:t xml:space="preserve">• supporta ed affianca gli operatori dei centri per l’impiego nel raccordo con i servizi erogati dai diversi attori del mercato del lavoro a livello locale o regionale in relazione alle esigenze dei beneficiari, valorizzando tutte le opportunità offerte dai servizi nel territorio - a partire dalle esigenze espresse dalle imprese e dalle opportunità offerte dal sistema di istruzione e formazione - per permettere ai beneficiari di individuare e superare gli ostacoli che incontrano nel percorso verso la realizzazione professionale, l’autonomia economica e la piena integrazione sociale nella propria comunità; </w:t>
      </w:r>
    </w:p>
    <w:p w:rsidR="000214F9" w:rsidRPr="006B0B81" w:rsidRDefault="000214F9" w:rsidP="000214F9">
      <w:pPr>
        <w:spacing w:after="0" w:line="20" w:lineRule="atLeast"/>
        <w:jc w:val="both"/>
        <w:rPr>
          <w:rFonts w:cstheme="minorHAnsi"/>
        </w:rPr>
      </w:pPr>
      <w:r w:rsidRPr="006B0B81">
        <w:rPr>
          <w:rFonts w:cstheme="minorHAnsi"/>
        </w:rPr>
        <w:t xml:space="preserve">• collabora con gli operatori dei centri per l’impiego al fine di garantire la realizzazione delle diverse fasi del processo di servizio previsto dalla norma e di assicurare i diritti e i doveri dei beneficiari. Anpal Servizi S.p.A. produce semestralmente alla Regione una relazione sulle attività svolte e sui risultati conseguiti. </w:t>
      </w:r>
    </w:p>
    <w:p w:rsidR="000214F9" w:rsidRPr="006B0B81" w:rsidRDefault="000214F9" w:rsidP="000214F9">
      <w:pPr>
        <w:spacing w:after="0" w:line="20" w:lineRule="atLeast"/>
        <w:jc w:val="both"/>
        <w:rPr>
          <w:rFonts w:cstheme="minorHAnsi"/>
        </w:rPr>
      </w:pPr>
      <w:r w:rsidRPr="006B0B81">
        <w:rPr>
          <w:rFonts w:cstheme="minorHAnsi"/>
        </w:rPr>
        <w:t xml:space="preserve">Dopo la prima relazione, le Parti potranno procedere a ridefinire le attività sulla base dei dati rilevati e dei risultati ottenuti. In ogni caso, le modalità d’intervento si intendono automaticamente adeguate all’evoluzione normativa e ai relativi atti e provvedimenti amministrativi di attuazione. </w:t>
      </w:r>
    </w:p>
    <w:p w:rsidR="000214F9" w:rsidRPr="006B0B81" w:rsidRDefault="000214F9" w:rsidP="000214F9">
      <w:pPr>
        <w:spacing w:after="0" w:line="20" w:lineRule="atLeast"/>
        <w:jc w:val="both"/>
        <w:rPr>
          <w:rFonts w:cstheme="minorHAnsi"/>
        </w:rPr>
      </w:pPr>
      <w:r w:rsidRPr="006B0B81">
        <w:rPr>
          <w:rFonts w:cstheme="minorHAnsi"/>
        </w:rPr>
        <w:t xml:space="preserve">Articolo 3 Cabina di Regia </w:t>
      </w:r>
    </w:p>
    <w:p w:rsidR="000214F9" w:rsidRPr="006B0B81" w:rsidRDefault="000214F9" w:rsidP="000214F9">
      <w:pPr>
        <w:spacing w:after="0" w:line="20" w:lineRule="atLeast"/>
        <w:jc w:val="both"/>
        <w:rPr>
          <w:rFonts w:cstheme="minorHAnsi"/>
        </w:rPr>
      </w:pPr>
      <w:r w:rsidRPr="006B0B81">
        <w:rPr>
          <w:rFonts w:cstheme="minorHAnsi"/>
        </w:rPr>
        <w:t xml:space="preserve">Al fine di verificare e monitorare le attività previste dal Piano Regionale è costituita una Cabina di Regia composta, per la Regione Lazio dal Direttore della Direzione regionale “Lavoro”, o suo delegato, e per Anpal </w:t>
      </w:r>
      <w:r w:rsidRPr="006B0B81">
        <w:rPr>
          <w:rFonts w:cstheme="minorHAnsi"/>
        </w:rPr>
        <w:lastRenderedPageBreak/>
        <w:t xml:space="preserve">Servizi S.p.A. dal responsabile regionale. La Cabina di Regia è il luogo nel quale le Parti condividono ogni informazione inerente alla collaborazione prevista dal Piano Regionale. </w:t>
      </w:r>
    </w:p>
    <w:p w:rsidR="000214F9" w:rsidRPr="006B0B81" w:rsidRDefault="000214F9" w:rsidP="000214F9">
      <w:pPr>
        <w:spacing w:after="0" w:line="20" w:lineRule="atLeast"/>
        <w:jc w:val="both"/>
        <w:rPr>
          <w:rFonts w:cstheme="minorHAnsi"/>
        </w:rPr>
      </w:pPr>
      <w:r w:rsidRPr="006B0B81">
        <w:rPr>
          <w:rFonts w:cstheme="minorHAnsi"/>
        </w:rPr>
        <w:t xml:space="preserve">Articolo 4 Sistemi Informativi </w:t>
      </w:r>
    </w:p>
    <w:p w:rsidR="000214F9" w:rsidRPr="006B0B81" w:rsidRDefault="000214F9" w:rsidP="000214F9">
      <w:pPr>
        <w:spacing w:after="0" w:line="20" w:lineRule="atLeast"/>
        <w:jc w:val="both"/>
        <w:rPr>
          <w:rFonts w:cstheme="minorHAnsi"/>
        </w:rPr>
      </w:pPr>
      <w:r w:rsidRPr="006B0B81">
        <w:rPr>
          <w:rFonts w:cstheme="minorHAnsi"/>
        </w:rPr>
        <w:t xml:space="preserve">La gestione delle attività verrà svolta attraverso i sistemi informativi regionali e nazionali disponibili al momento della sottoscrizione del presente atto, nonché dei successivi sviluppi connessi all’attuazione dell’art. 6 del D.L. 4/2019 convertito, con modificazioni, dalla L.26/2019. Qualsiasi futura implementazione dei sistemi nazionali e delle applicazioni tecniche dovrà essere coerente con le regole di cooperazione applicativa e con i sistemi regionali. L’accesso dell’assistenza tecnica di Anpal Servizi S.p.A. ai sistemi informativi regionali avverrà secondo le modalità di riconoscimento in uso presso la Regione Lazio e secondo profili e livelli di accesso ai dati definiti dalla Regione stessa, limitatamente alle attività connesse all’attuazione delle politiche connesse al Reddito di cittadinanza. </w:t>
      </w:r>
    </w:p>
    <w:p w:rsidR="000214F9" w:rsidRPr="006B0B81" w:rsidRDefault="000214F9" w:rsidP="000214F9">
      <w:pPr>
        <w:spacing w:after="0" w:line="20" w:lineRule="atLeast"/>
        <w:jc w:val="both"/>
        <w:rPr>
          <w:rFonts w:cstheme="minorHAnsi"/>
        </w:rPr>
      </w:pPr>
      <w:r w:rsidRPr="006B0B81">
        <w:rPr>
          <w:rFonts w:cstheme="minorHAnsi"/>
        </w:rPr>
        <w:t xml:space="preserve">Articolo 5 Formazione del personale </w:t>
      </w:r>
    </w:p>
    <w:p w:rsidR="000214F9" w:rsidRPr="006B0B81" w:rsidRDefault="000214F9" w:rsidP="000214F9">
      <w:pPr>
        <w:spacing w:after="0" w:line="20" w:lineRule="atLeast"/>
        <w:jc w:val="both"/>
        <w:rPr>
          <w:rFonts w:cstheme="minorHAnsi"/>
        </w:rPr>
      </w:pPr>
      <w:r w:rsidRPr="006B0B81">
        <w:rPr>
          <w:rFonts w:cstheme="minorHAnsi"/>
        </w:rPr>
        <w:t xml:space="preserve">Anpal Servizi S.p.A. assicura che il personale sia adeguatamente formato rispetto alla materia oggetto del Piano Regionale, al tema della salute e sicurezza sui luoghi di lavoro, all’organizzazione del mercato del lavoro regionale, alle misure di politica attiva regionale e ai sistemi informativi in uso presso i centri per l’impiego. La Società assicura al proprio personale la dotazione di dispositivi funzionali alle attività da espletare. </w:t>
      </w:r>
    </w:p>
    <w:p w:rsidR="000214F9" w:rsidRPr="006B0B81" w:rsidRDefault="000214F9" w:rsidP="000214F9">
      <w:pPr>
        <w:spacing w:after="0" w:line="20" w:lineRule="atLeast"/>
        <w:jc w:val="both"/>
        <w:rPr>
          <w:rFonts w:cstheme="minorHAnsi"/>
        </w:rPr>
      </w:pPr>
      <w:r w:rsidRPr="006B0B81">
        <w:rPr>
          <w:rFonts w:cstheme="minorHAnsi"/>
        </w:rPr>
        <w:t xml:space="preserve"> Articolo 6 Trattamento dei dati personali </w:t>
      </w:r>
    </w:p>
    <w:p w:rsidR="000214F9" w:rsidRPr="006B0B81" w:rsidRDefault="000214F9" w:rsidP="000214F9">
      <w:pPr>
        <w:spacing w:after="0" w:line="20" w:lineRule="atLeast"/>
        <w:jc w:val="both"/>
        <w:rPr>
          <w:rFonts w:cstheme="minorHAnsi"/>
        </w:rPr>
      </w:pPr>
      <w:r w:rsidRPr="006B0B81">
        <w:rPr>
          <w:rFonts w:cstheme="minorHAnsi"/>
        </w:rPr>
        <w:t xml:space="preserve">Titolare dei dati personali è la Regione Lazio, cui unicamente spetta la definizione delle finalità e delle modalità del trattamento. Anpal Servizi S.p.A. opera attraverso il suo personale, quale Responsabile del trattamento e, per gli effetti, non opera alcun trattamento ulteriore o differente rispetto a quelli definiti dalla Regione. Il personale di Anpal Servizi S.p.A. è autorizzato a trattare i dati dell’utenza unicamente per le attività indicate all’articolo 2, con esclusione della possibilità di acquisire i dati e di copiare gli stessi su supporti o applicativi non indicati dalla Regione. Anpal Servizi S.p.A. assicura alla Regione la gestione di tutti gli adempimenti previsti dal Regolamento comunitario 2016/679, tra cui la tenuta del registro dei trattamenti e la formazione specifica dei propri collaboratori. Anpal Servizi S.p.A. comunica al Titolare ogni eventuale sub-responsabile coinvolto nelle operazioni di cui alla presente convenzione. Ulteriori atti individueranno i soggetti del trattamento della presente convenzione, ai sensi del Regolamento (UE) 2016/679. </w:t>
      </w:r>
    </w:p>
    <w:p w:rsidR="000214F9" w:rsidRPr="006B0B81" w:rsidRDefault="000214F9" w:rsidP="000214F9">
      <w:pPr>
        <w:spacing w:after="0" w:line="20" w:lineRule="atLeast"/>
        <w:jc w:val="both"/>
        <w:rPr>
          <w:rFonts w:cstheme="minorHAnsi"/>
        </w:rPr>
      </w:pPr>
      <w:r w:rsidRPr="006B0B81">
        <w:rPr>
          <w:rFonts w:cstheme="minorHAnsi"/>
        </w:rPr>
        <w:t xml:space="preserve">Articolo 7 Durata della Convenzione </w:t>
      </w:r>
    </w:p>
    <w:p w:rsidR="000214F9" w:rsidRPr="006B0B81" w:rsidRDefault="000214F9" w:rsidP="000214F9">
      <w:pPr>
        <w:spacing w:after="0" w:line="20" w:lineRule="atLeast"/>
        <w:jc w:val="both"/>
        <w:rPr>
          <w:rFonts w:cstheme="minorHAnsi"/>
        </w:rPr>
      </w:pPr>
      <w:r w:rsidRPr="006B0B81">
        <w:rPr>
          <w:rFonts w:cstheme="minorHAnsi"/>
        </w:rPr>
        <w:t xml:space="preserve">La presente Convenzione ha effetto dalla data della stipula fino al 31 dicembre 2022. </w:t>
      </w:r>
    </w:p>
    <w:p w:rsidR="000214F9" w:rsidRPr="006B0B81" w:rsidRDefault="000214F9" w:rsidP="000214F9">
      <w:pPr>
        <w:spacing w:after="0" w:line="20" w:lineRule="atLeast"/>
        <w:jc w:val="both"/>
        <w:rPr>
          <w:rFonts w:cstheme="minorHAnsi"/>
        </w:rPr>
      </w:pPr>
      <w:r w:rsidRPr="006B0B81">
        <w:rPr>
          <w:rFonts w:cstheme="minorHAnsi"/>
        </w:rPr>
        <w:t xml:space="preserve">Articolo 8 </w:t>
      </w:r>
    </w:p>
    <w:p w:rsidR="000214F9" w:rsidRPr="006B0B81" w:rsidRDefault="000214F9" w:rsidP="000214F9">
      <w:pPr>
        <w:spacing w:after="0" w:line="20" w:lineRule="atLeast"/>
        <w:jc w:val="both"/>
        <w:rPr>
          <w:rFonts w:cstheme="minorHAnsi"/>
        </w:rPr>
      </w:pPr>
      <w:r w:rsidRPr="006B0B81">
        <w:rPr>
          <w:rFonts w:cstheme="minorHAnsi"/>
        </w:rPr>
        <w:t xml:space="preserve">Eventuali modifiche del Piano </w:t>
      </w:r>
    </w:p>
    <w:p w:rsidR="000214F9" w:rsidRPr="006B0B81" w:rsidRDefault="000214F9" w:rsidP="000214F9">
      <w:pPr>
        <w:spacing w:after="0" w:line="20" w:lineRule="atLeast"/>
        <w:jc w:val="both"/>
        <w:rPr>
          <w:rFonts w:cstheme="minorHAnsi"/>
        </w:rPr>
      </w:pPr>
      <w:r w:rsidRPr="006B0B81">
        <w:rPr>
          <w:rFonts w:cstheme="minorHAnsi"/>
        </w:rPr>
        <w:t xml:space="preserve">Qualora le Parti dovessero ravvisare l’esigenza di apportare modifiche ai contenuti del Piano, di comune accordo procederanno alla sottoscrizione di un’integrazione dello stesso. </w:t>
      </w:r>
    </w:p>
    <w:p w:rsidR="000214F9" w:rsidRPr="006B0B81" w:rsidRDefault="000214F9" w:rsidP="000214F9">
      <w:pPr>
        <w:spacing w:after="0" w:line="20" w:lineRule="atLeast"/>
        <w:jc w:val="both"/>
        <w:rPr>
          <w:rFonts w:cstheme="minorHAnsi"/>
        </w:rPr>
      </w:pPr>
      <w:r w:rsidRPr="006B0B81">
        <w:rPr>
          <w:rFonts w:cstheme="minorHAnsi"/>
        </w:rPr>
        <w:t xml:space="preserve">Articolo 9 Disposizioni finali </w:t>
      </w:r>
    </w:p>
    <w:p w:rsidR="000214F9" w:rsidRPr="006B0B81" w:rsidRDefault="000214F9" w:rsidP="000214F9">
      <w:pPr>
        <w:spacing w:after="0" w:line="20" w:lineRule="atLeast"/>
        <w:jc w:val="both"/>
        <w:rPr>
          <w:rFonts w:cstheme="minorHAnsi"/>
        </w:rPr>
      </w:pPr>
      <w:r w:rsidRPr="006B0B81">
        <w:rPr>
          <w:rFonts w:cstheme="minorHAnsi"/>
        </w:rPr>
        <w:t>Anpal Servizi S.p.A. si impegna a valutare le eventuali segnalazioni della Regione Lazio in ordine a comportamenti dei collaboratori di Anpal Servizi S.p.A. non in linea con il codice comportamentale della Regione Lazio e, in generale, con il codice di comportamento dei dipendenti pubblici e si impegna ad adottare tutte le misure necessarie alla risoluzione delle problematiche segnalate. Per tutto quanto non disciplinato dalla presente Convenzione, si fa riferimento a quanto disposto nella normativa comunitaria, nazionale e regionale. 01/08/2019 - BOLLETTINO UFFICIALE DELLA REGIONE LAZIO - N. 62</w:t>
      </w:r>
    </w:p>
    <w:p w:rsidR="007D66F5" w:rsidRDefault="007D66F5" w:rsidP="000214F9">
      <w:pPr>
        <w:spacing w:after="0" w:line="20" w:lineRule="atLeast"/>
        <w:jc w:val="both"/>
        <w:rPr>
          <w:rFonts w:cstheme="minorHAnsi"/>
        </w:rPr>
      </w:pPr>
    </w:p>
    <w:p w:rsidR="000214F9" w:rsidRDefault="007D66F5" w:rsidP="000214F9">
      <w:pPr>
        <w:spacing w:after="0" w:line="20" w:lineRule="atLeast"/>
        <w:jc w:val="both"/>
        <w:rPr>
          <w:rFonts w:cstheme="minorHAnsi"/>
        </w:rPr>
      </w:pPr>
      <w:r w:rsidRPr="006B0B81">
        <w:rPr>
          <w:rFonts w:cstheme="minorHAnsi"/>
        </w:rPr>
        <w:t xml:space="preserve">PIANO REGIONALE DI ASSISTENZA TECNICA DI ANPAL SERVIZI </w:t>
      </w:r>
    </w:p>
    <w:p w:rsidR="000214F9" w:rsidRPr="006B0B81" w:rsidRDefault="000214F9" w:rsidP="000214F9">
      <w:pPr>
        <w:spacing w:after="0" w:line="20" w:lineRule="atLeast"/>
        <w:jc w:val="both"/>
        <w:rPr>
          <w:rFonts w:cstheme="minorHAnsi"/>
        </w:rPr>
      </w:pPr>
      <w:r w:rsidRPr="006B0B81">
        <w:rPr>
          <w:rFonts w:cstheme="minorHAnsi"/>
        </w:rPr>
        <w:t xml:space="preserve">1 Premessa </w:t>
      </w:r>
    </w:p>
    <w:p w:rsidR="000214F9" w:rsidRPr="006B0B81" w:rsidRDefault="000214F9" w:rsidP="000214F9">
      <w:pPr>
        <w:spacing w:after="0" w:line="20" w:lineRule="atLeast"/>
        <w:jc w:val="both"/>
        <w:rPr>
          <w:rFonts w:cstheme="minorHAnsi"/>
        </w:rPr>
      </w:pPr>
      <w:r w:rsidRPr="006B0B81">
        <w:rPr>
          <w:rFonts w:cstheme="minorHAnsi"/>
        </w:rPr>
        <w:t xml:space="preserve">Il presente Piano costituisce parte integrante della Convenzione che la Regione Lazio stipula con Anpal Servizi per lo sviluppo e l’implementazione del Reddito di cittadinanza. </w:t>
      </w:r>
    </w:p>
    <w:p w:rsidR="000214F9" w:rsidRPr="006B0B81" w:rsidRDefault="000214F9" w:rsidP="000214F9">
      <w:pPr>
        <w:spacing w:after="0" w:line="20" w:lineRule="atLeast"/>
        <w:jc w:val="both"/>
        <w:rPr>
          <w:rFonts w:cstheme="minorHAnsi"/>
        </w:rPr>
      </w:pPr>
      <w:r w:rsidRPr="006B0B81">
        <w:rPr>
          <w:rFonts w:cstheme="minorHAnsi"/>
        </w:rPr>
        <w:t xml:space="preserve">Nello specifico, così come previsto nell’Intesa sottoscritta tra Stato e Regioni il 17 aprile 2019, sono descritte le modalità di intervento con cui l’assistenza tecnica, rivolta al potenziamento dei centri per l’impiego e delle politiche attive del lavoro alla luce dell’introduzione del Reddito di cittadinanza e alla realizzazione di eventuali azioni di sistema, si esplica sul territorio regionale. </w:t>
      </w:r>
    </w:p>
    <w:p w:rsidR="000214F9" w:rsidRPr="006B0B81" w:rsidRDefault="000214F9" w:rsidP="000214F9">
      <w:pPr>
        <w:spacing w:after="0" w:line="20" w:lineRule="atLeast"/>
        <w:jc w:val="both"/>
        <w:rPr>
          <w:rFonts w:cstheme="minorHAnsi"/>
        </w:rPr>
      </w:pPr>
      <w:r w:rsidRPr="006B0B81">
        <w:rPr>
          <w:rFonts w:cstheme="minorHAnsi"/>
        </w:rPr>
        <w:t xml:space="preserve">Il Piano si integra con le azioni previste nell’ambito del Piano operativo di Anpal Servizi 2017-2020, finanziato dal PON SPAO e oggetto di Convenzione stipulata tra Regione Lazio e Anpal Servizi in data 17/01/2018, al fine di garantire la piena sinergia tra le nuove azioni relative all’implementazione del Reddito di cittadinanza, in </w:t>
      </w:r>
      <w:r w:rsidRPr="006B0B81">
        <w:rPr>
          <w:rFonts w:cstheme="minorHAnsi"/>
        </w:rPr>
        <w:lastRenderedPageBreak/>
        <w:t xml:space="preserve">questa sede descritte, e le attività di assistenza tecnica realizzate da Anpal Servizi nei confronti, in particolare, dei servizi per l’impiego, degli istituti di istruzione e formazione e delle imprese. </w:t>
      </w:r>
    </w:p>
    <w:p w:rsidR="000214F9" w:rsidRPr="006B0B81" w:rsidRDefault="000214F9" w:rsidP="000214F9">
      <w:pPr>
        <w:spacing w:after="0" w:line="20" w:lineRule="atLeast"/>
        <w:jc w:val="both"/>
        <w:rPr>
          <w:rFonts w:cstheme="minorHAnsi"/>
        </w:rPr>
      </w:pPr>
      <w:r w:rsidRPr="006B0B81">
        <w:rPr>
          <w:rFonts w:cstheme="minorHAnsi"/>
        </w:rPr>
        <w:t xml:space="preserve">2 Il sistema informativo a supporto della misura del Reddito di cittadinanza </w:t>
      </w:r>
    </w:p>
    <w:p w:rsidR="000214F9" w:rsidRPr="006B0B81" w:rsidRDefault="000214F9" w:rsidP="000214F9">
      <w:pPr>
        <w:spacing w:after="0" w:line="20" w:lineRule="atLeast"/>
        <w:jc w:val="both"/>
        <w:rPr>
          <w:rFonts w:cstheme="minorHAnsi"/>
        </w:rPr>
      </w:pPr>
      <w:r w:rsidRPr="006B0B81">
        <w:rPr>
          <w:rFonts w:cstheme="minorHAnsi"/>
        </w:rPr>
        <w:t xml:space="preserve">Il sistema informativo supporta le fasi del percorso relative al Reddito di cittadinanza come illustrato sinteticamente nella Figura 1. </w:t>
      </w:r>
    </w:p>
    <w:p w:rsidR="000214F9" w:rsidRPr="006B0B81" w:rsidRDefault="000214F9" w:rsidP="000214F9">
      <w:pPr>
        <w:spacing w:after="0" w:line="20" w:lineRule="atLeast"/>
        <w:jc w:val="both"/>
        <w:rPr>
          <w:rFonts w:cstheme="minorHAnsi"/>
        </w:rPr>
      </w:pPr>
      <w:r w:rsidRPr="006B0B81">
        <w:rPr>
          <w:rFonts w:cstheme="minorHAnsi"/>
        </w:rPr>
        <w:t xml:space="preserve">La piattaforma digitale per l’attivazione e la gestione dei Patti per il lavoro istituita presso Anpal, così come previsto all’articolo 6, comma 1, del decreto-legge 28 gennaio 2019, n. 4, convertito con modificazioni in L. 26/2019, si compone di tutti gli strumenti utili per l’attivazione e gestione del Patto per il lavoro a favore dei centri per l’impiego e si compone di due sezioni, una per ciascuna delle finalità di cui all’articolo 3, comma 5: - Il Sistema per la gestione dei flussi dei dati amministrativi e della condizionalità; </w:t>
      </w:r>
    </w:p>
    <w:p w:rsidR="000214F9" w:rsidRPr="006B0B81" w:rsidRDefault="000214F9" w:rsidP="000214F9">
      <w:pPr>
        <w:spacing w:after="0" w:line="20" w:lineRule="atLeast"/>
        <w:jc w:val="both"/>
        <w:rPr>
          <w:rFonts w:cstheme="minorHAnsi"/>
        </w:rPr>
      </w:pPr>
      <w:r w:rsidRPr="006B0B81">
        <w:rPr>
          <w:rFonts w:cstheme="minorHAnsi"/>
        </w:rPr>
        <w:t xml:space="preserve">- Il Sistema per la fruizione continua dei servizi di accompagnamento che prevede la registrazione dei beneficiari per l’assolvimento dell’obbligo di cui al decreto legge 28 gennaio 2019, n. 4, convertito, con modificazioni, dalla legge 28 marzo 2019, n. 26, art 4, comma 8 per la ricerca attiva del lavoro. </w:t>
      </w:r>
    </w:p>
    <w:p w:rsidR="000214F9" w:rsidRDefault="000214F9" w:rsidP="000214F9">
      <w:pPr>
        <w:spacing w:after="0" w:line="20" w:lineRule="atLeast"/>
        <w:jc w:val="both"/>
        <w:rPr>
          <w:rFonts w:cstheme="minorHAnsi"/>
        </w:rPr>
      </w:pPr>
      <w:r w:rsidRPr="006B0B81">
        <w:rPr>
          <w:rFonts w:cstheme="minorHAnsi"/>
        </w:rPr>
        <w:t>3 Il percorso del Reddito di cittadinanza</w:t>
      </w:r>
    </w:p>
    <w:p w:rsidR="000214F9" w:rsidRDefault="000214F9" w:rsidP="000214F9">
      <w:pPr>
        <w:spacing w:after="0" w:line="20" w:lineRule="atLeast"/>
        <w:jc w:val="both"/>
        <w:rPr>
          <w:rFonts w:cstheme="minorHAnsi"/>
        </w:rPr>
      </w:pPr>
      <w:r w:rsidRPr="006B0B81">
        <w:rPr>
          <w:rFonts w:cstheme="minorHAnsi"/>
        </w:rPr>
        <w:t xml:space="preserve">Le azioni necessarie per la gestione delle attività rivolte ai beneficiari del Reddito di cittadinanza possono essere ricomprese nelle seguenti fasi principali, in attuazione della normativa vigente: </w:t>
      </w:r>
    </w:p>
    <w:p w:rsidR="000214F9" w:rsidRDefault="000214F9" w:rsidP="000214F9">
      <w:pPr>
        <w:spacing w:after="0" w:line="20" w:lineRule="atLeast"/>
        <w:jc w:val="both"/>
        <w:rPr>
          <w:rFonts w:cstheme="minorHAnsi"/>
        </w:rPr>
      </w:pPr>
      <w:r w:rsidRPr="006B0B81">
        <w:rPr>
          <w:rFonts w:cstheme="minorHAnsi"/>
        </w:rPr>
        <w:t xml:space="preserve">- Fase 1: Registrazione nel sistema nazionale on-line; </w:t>
      </w:r>
    </w:p>
    <w:p w:rsidR="000214F9" w:rsidRDefault="000214F9" w:rsidP="000214F9">
      <w:pPr>
        <w:spacing w:after="0" w:line="20" w:lineRule="atLeast"/>
        <w:jc w:val="both"/>
        <w:rPr>
          <w:rFonts w:cstheme="minorHAnsi"/>
        </w:rPr>
      </w:pPr>
      <w:r w:rsidRPr="006B0B81">
        <w:rPr>
          <w:rFonts w:cstheme="minorHAnsi"/>
        </w:rPr>
        <w:t xml:space="preserve">- Fase2: Convocazione; </w:t>
      </w:r>
    </w:p>
    <w:p w:rsidR="000214F9" w:rsidRDefault="000214F9" w:rsidP="000214F9">
      <w:pPr>
        <w:spacing w:after="0" w:line="20" w:lineRule="atLeast"/>
        <w:jc w:val="both"/>
        <w:rPr>
          <w:rFonts w:cstheme="minorHAnsi"/>
        </w:rPr>
      </w:pPr>
      <w:r w:rsidRPr="006B0B81">
        <w:rPr>
          <w:rFonts w:cstheme="minorHAnsi"/>
        </w:rPr>
        <w:t xml:space="preserve">- Fase 3: Primo appuntamento; </w:t>
      </w:r>
    </w:p>
    <w:p w:rsidR="000214F9" w:rsidRDefault="000214F9" w:rsidP="000214F9">
      <w:pPr>
        <w:spacing w:after="0" w:line="20" w:lineRule="atLeast"/>
        <w:jc w:val="both"/>
        <w:rPr>
          <w:rFonts w:cstheme="minorHAnsi"/>
        </w:rPr>
      </w:pPr>
      <w:r w:rsidRPr="006B0B81">
        <w:rPr>
          <w:rFonts w:cstheme="minorHAnsi"/>
        </w:rPr>
        <w:t xml:space="preserve">- Fase 4: Percorso per la sottoscrizione del Patto per il Lavoro; </w:t>
      </w:r>
    </w:p>
    <w:p w:rsidR="000214F9" w:rsidRDefault="000214F9" w:rsidP="000214F9">
      <w:pPr>
        <w:spacing w:after="0" w:line="20" w:lineRule="atLeast"/>
        <w:jc w:val="both"/>
        <w:rPr>
          <w:rFonts w:cstheme="minorHAnsi"/>
        </w:rPr>
      </w:pPr>
      <w:r w:rsidRPr="006B0B81">
        <w:rPr>
          <w:rFonts w:cstheme="minorHAnsi"/>
        </w:rPr>
        <w:t>- Fase 5: Elaborazione e sottoscrizione del Patto per il lavoro;</w:t>
      </w:r>
    </w:p>
    <w:p w:rsidR="000214F9" w:rsidRDefault="000214F9" w:rsidP="000214F9">
      <w:pPr>
        <w:spacing w:after="0" w:line="20" w:lineRule="atLeast"/>
        <w:jc w:val="both"/>
        <w:rPr>
          <w:rFonts w:cstheme="minorHAnsi"/>
        </w:rPr>
      </w:pPr>
      <w:r w:rsidRPr="006B0B81">
        <w:rPr>
          <w:rFonts w:cstheme="minorHAnsi"/>
        </w:rPr>
        <w:t xml:space="preserve"> - Fase 6: Attuazione del Patto per il Lavoro; </w:t>
      </w:r>
    </w:p>
    <w:p w:rsidR="000214F9" w:rsidRDefault="000214F9" w:rsidP="000214F9">
      <w:pPr>
        <w:spacing w:after="0" w:line="20" w:lineRule="atLeast"/>
        <w:jc w:val="both"/>
        <w:rPr>
          <w:rFonts w:cstheme="minorHAnsi"/>
        </w:rPr>
      </w:pPr>
      <w:r w:rsidRPr="006B0B81">
        <w:rPr>
          <w:rFonts w:cstheme="minorHAnsi"/>
        </w:rPr>
        <w:t xml:space="preserve">- Fase 7: Realizzazione delle attività relative alla fruizione dell’assegno di ricollocazione; </w:t>
      </w:r>
    </w:p>
    <w:p w:rsidR="000214F9" w:rsidRDefault="000214F9" w:rsidP="000214F9">
      <w:pPr>
        <w:spacing w:after="0" w:line="20" w:lineRule="atLeast"/>
        <w:jc w:val="both"/>
        <w:rPr>
          <w:rFonts w:cstheme="minorHAnsi"/>
        </w:rPr>
      </w:pPr>
      <w:r w:rsidRPr="006B0B81">
        <w:rPr>
          <w:rFonts w:cstheme="minorHAnsi"/>
        </w:rPr>
        <w:t xml:space="preserve">- Fase 8: Verifica della consultazione del sistema nazionale on-line per l’incontro domanda-offerta; </w:t>
      </w:r>
    </w:p>
    <w:p w:rsidR="000214F9" w:rsidRDefault="000214F9" w:rsidP="000214F9">
      <w:pPr>
        <w:spacing w:after="0" w:line="20" w:lineRule="atLeast"/>
        <w:jc w:val="both"/>
        <w:rPr>
          <w:rFonts w:cstheme="minorHAnsi"/>
        </w:rPr>
      </w:pPr>
      <w:r w:rsidRPr="006B0B81">
        <w:rPr>
          <w:rFonts w:cstheme="minorHAnsi"/>
        </w:rPr>
        <w:t>- Fase 9: Offerta congrua di lavoro.</w:t>
      </w:r>
    </w:p>
    <w:p w:rsidR="000214F9" w:rsidRDefault="000214F9" w:rsidP="000214F9">
      <w:pPr>
        <w:spacing w:after="0" w:line="20" w:lineRule="atLeast"/>
        <w:jc w:val="both"/>
        <w:rPr>
          <w:rFonts w:cstheme="minorHAnsi"/>
        </w:rPr>
      </w:pPr>
      <w:r w:rsidRPr="006B0B81">
        <w:rPr>
          <w:rFonts w:cstheme="minorHAnsi"/>
        </w:rPr>
        <w:t xml:space="preserve"> Di seguito si riportano: </w:t>
      </w:r>
    </w:p>
    <w:p w:rsidR="000214F9" w:rsidRDefault="000214F9" w:rsidP="000214F9">
      <w:pPr>
        <w:spacing w:after="0" w:line="20" w:lineRule="atLeast"/>
        <w:jc w:val="both"/>
        <w:rPr>
          <w:rFonts w:cstheme="minorHAnsi"/>
        </w:rPr>
      </w:pPr>
      <w:r w:rsidRPr="006B0B81">
        <w:rPr>
          <w:rFonts w:cstheme="minorHAnsi"/>
        </w:rPr>
        <w:t xml:space="preserve">- Le azioni relative ad ogni singola fase con il relativo schema logico per l’adempimento degli obblighi e la verifica del mantenimento del Reddito di cittadinanza; </w:t>
      </w:r>
    </w:p>
    <w:p w:rsidR="000214F9" w:rsidRDefault="000214F9" w:rsidP="000214F9">
      <w:pPr>
        <w:spacing w:after="0" w:line="20" w:lineRule="atLeast"/>
        <w:jc w:val="both"/>
        <w:rPr>
          <w:rFonts w:cstheme="minorHAnsi"/>
        </w:rPr>
      </w:pPr>
      <w:r w:rsidRPr="006B0B81">
        <w:rPr>
          <w:rFonts w:cstheme="minorHAnsi"/>
        </w:rPr>
        <w:t xml:space="preserve">- Le professionalità necessarie e le modalità di assistenza tecnica ai centri per l’impiego. </w:t>
      </w:r>
    </w:p>
    <w:p w:rsidR="000214F9" w:rsidRDefault="000214F9" w:rsidP="000214F9">
      <w:pPr>
        <w:spacing w:after="0" w:line="20" w:lineRule="atLeast"/>
        <w:jc w:val="both"/>
        <w:rPr>
          <w:rFonts w:cstheme="minorHAnsi"/>
        </w:rPr>
      </w:pPr>
      <w:r w:rsidRPr="006B0B81">
        <w:rPr>
          <w:rFonts w:cstheme="minorHAnsi"/>
        </w:rPr>
        <w:t xml:space="preserve">3.1 Le fasi del percorso </w:t>
      </w:r>
    </w:p>
    <w:p w:rsidR="000214F9" w:rsidRDefault="000214F9" w:rsidP="000214F9">
      <w:pPr>
        <w:spacing w:after="0" w:line="20" w:lineRule="atLeast"/>
        <w:jc w:val="both"/>
        <w:rPr>
          <w:rFonts w:cstheme="minorHAnsi"/>
        </w:rPr>
      </w:pPr>
      <w:r w:rsidRPr="006B0B81">
        <w:rPr>
          <w:rFonts w:cstheme="minorHAnsi"/>
        </w:rPr>
        <w:t xml:space="preserve">Le fasi per la presa in carico da parte dei centri per l’impiego dei beneficiari del Reddito di cittadinanza - che ai sensi dell’articolo 1, comma 1 del DL n. 4/2019, convertito con modificazioni in L. 26/2019, costituisce un LEP - devono essere coerenti con quanto sancito nel DM n. 4/2018, che specifica i livelli essenziali delle prestazioni dei servizi per il lavoro. </w:t>
      </w:r>
    </w:p>
    <w:p w:rsidR="000214F9" w:rsidRDefault="000214F9" w:rsidP="000214F9">
      <w:pPr>
        <w:spacing w:after="0" w:line="20" w:lineRule="atLeast"/>
        <w:jc w:val="both"/>
        <w:rPr>
          <w:rFonts w:cstheme="minorHAnsi"/>
        </w:rPr>
      </w:pPr>
      <w:r w:rsidRPr="006B0B81">
        <w:rPr>
          <w:rFonts w:cstheme="minorHAnsi"/>
        </w:rPr>
        <w:t>Di seguito, si riporta lo schema logico del percorso finalizzato alla presa in carico degli utenti beneficiari del reddito, con l’esplicitazione delle relative fasi.</w:t>
      </w:r>
    </w:p>
    <w:p w:rsidR="000214F9" w:rsidRPr="00837511" w:rsidRDefault="000214F9" w:rsidP="000214F9">
      <w:pPr>
        <w:spacing w:after="0" w:line="20" w:lineRule="atLeast"/>
        <w:jc w:val="both"/>
        <w:rPr>
          <w:rFonts w:cstheme="minorHAnsi"/>
          <w:b/>
        </w:rPr>
      </w:pPr>
      <w:r w:rsidRPr="00837511">
        <w:rPr>
          <w:rFonts w:cstheme="minorHAnsi"/>
          <w:b/>
        </w:rPr>
        <w:t>NB</w:t>
      </w:r>
    </w:p>
    <w:p w:rsidR="000214F9" w:rsidRPr="00837511" w:rsidRDefault="000214F9" w:rsidP="000214F9">
      <w:pPr>
        <w:spacing w:after="0" w:line="20" w:lineRule="atLeast"/>
        <w:jc w:val="both"/>
        <w:rPr>
          <w:rFonts w:cstheme="minorHAnsi"/>
          <w:b/>
        </w:rPr>
      </w:pPr>
      <w:r w:rsidRPr="00837511">
        <w:rPr>
          <w:rFonts w:cstheme="minorHAnsi"/>
          <w:b/>
        </w:rPr>
        <w:t>PER LO SCHEMA DI FA RINVIO ALLA LETTURA INTEGRALE DEL TESTO</w:t>
      </w:r>
    </w:p>
    <w:p w:rsidR="000214F9" w:rsidRPr="006B0B81" w:rsidRDefault="000214F9" w:rsidP="000214F9">
      <w:pPr>
        <w:spacing w:after="0" w:line="20" w:lineRule="atLeast"/>
        <w:jc w:val="both"/>
        <w:rPr>
          <w:rFonts w:cstheme="minorHAnsi"/>
        </w:rPr>
      </w:pPr>
      <w:r w:rsidRPr="006B0B81">
        <w:rPr>
          <w:rFonts w:cstheme="minorHAnsi"/>
        </w:rPr>
        <w:t xml:space="preserve"> </w:t>
      </w:r>
    </w:p>
    <w:p w:rsidR="000214F9" w:rsidRPr="006B0B81" w:rsidRDefault="000214F9" w:rsidP="000214F9">
      <w:pPr>
        <w:spacing w:after="0" w:line="20" w:lineRule="atLeast"/>
        <w:jc w:val="both"/>
        <w:rPr>
          <w:rFonts w:cstheme="minorHAnsi"/>
        </w:rPr>
      </w:pPr>
      <w:r w:rsidRPr="006B0B81">
        <w:rPr>
          <w:rFonts w:cstheme="minorHAnsi"/>
        </w:rPr>
        <w:t xml:space="preserve">Per erogare l’assistenza tecnica ai centri per l’impiego, Anpal Servizi si avvarrà di n. 273 Navigator selezionati sulla base di quanto indicato dal DL 4/2019 convertito in L 26/2019. </w:t>
      </w:r>
    </w:p>
    <w:p w:rsidR="000214F9" w:rsidRPr="006B0B81" w:rsidRDefault="000214F9" w:rsidP="000214F9">
      <w:pPr>
        <w:spacing w:after="0" w:line="20" w:lineRule="atLeast"/>
        <w:jc w:val="both"/>
        <w:rPr>
          <w:rFonts w:cstheme="minorHAnsi"/>
        </w:rPr>
      </w:pPr>
      <w:r w:rsidRPr="006B0B81">
        <w:rPr>
          <w:rFonts w:cstheme="minorHAnsi"/>
        </w:rPr>
        <w:t xml:space="preserve">In particolare, i Navigator, dovranno svolgere le attività di assistenza tecnica, supportando gli operatori dei centri per l’impiego, nell’ambito di tutte le sedi di relativa competenza regionale, nell’attuazione del presente Piano, secondo le indicazioni della Direzione Regionale e d’intesa con il responsabile dei centri per l’impiego. La realizzazione delle fasi del percorso per l’attuazione del Reddito di cittadinanza sarà gestita dalla Regione e dai suoi centri per l’impiego in collaborazione con altri attori del mercato del lavoro e con l’assistenza tecnica di Anpal Servizi, secondo lo schema logico. </w:t>
      </w:r>
    </w:p>
    <w:p w:rsidR="000214F9" w:rsidRPr="006B0B81" w:rsidRDefault="000214F9" w:rsidP="000214F9">
      <w:pPr>
        <w:spacing w:after="0" w:line="20" w:lineRule="atLeast"/>
        <w:jc w:val="both"/>
        <w:rPr>
          <w:rFonts w:cstheme="minorHAnsi"/>
        </w:rPr>
      </w:pPr>
      <w:r w:rsidRPr="006B0B81">
        <w:rPr>
          <w:rFonts w:cstheme="minorHAnsi"/>
        </w:rPr>
        <w:t xml:space="preserve">In particolare, il Navigator svolge: </w:t>
      </w:r>
    </w:p>
    <w:p w:rsidR="000214F9" w:rsidRPr="006B0B81" w:rsidRDefault="000214F9" w:rsidP="000214F9">
      <w:pPr>
        <w:spacing w:after="0" w:line="20" w:lineRule="atLeast"/>
        <w:jc w:val="both"/>
        <w:rPr>
          <w:rFonts w:cstheme="minorHAnsi"/>
        </w:rPr>
      </w:pPr>
      <w:r w:rsidRPr="006B0B81">
        <w:rPr>
          <w:rFonts w:cstheme="minorHAnsi"/>
        </w:rPr>
        <w:t xml:space="preserve">• azioni di affiancamento e supporto ai centri per l’impiego nelle diverse fasi previste dal Reddito di cittadinanza, al fine di garantire uniformità del servizio; </w:t>
      </w:r>
    </w:p>
    <w:p w:rsidR="000214F9" w:rsidRPr="006B0B81" w:rsidRDefault="000214F9" w:rsidP="000214F9">
      <w:pPr>
        <w:spacing w:after="0" w:line="20" w:lineRule="atLeast"/>
        <w:jc w:val="both"/>
        <w:rPr>
          <w:rFonts w:cstheme="minorHAnsi"/>
        </w:rPr>
      </w:pPr>
      <w:r w:rsidRPr="006B0B81">
        <w:rPr>
          <w:rFonts w:cstheme="minorHAnsi"/>
        </w:rPr>
        <w:t xml:space="preserve">• attività di affiancamento e assistenza tecnica ai centri per l’impiego per il supporto personalizzato ed individualizzato ai beneficiari del Reddito di cittadinanza garantendo il processo previsto dalla norma; </w:t>
      </w:r>
    </w:p>
    <w:p w:rsidR="000214F9" w:rsidRPr="006B0B81" w:rsidRDefault="000214F9" w:rsidP="000214F9">
      <w:pPr>
        <w:spacing w:after="0" w:line="20" w:lineRule="atLeast"/>
        <w:jc w:val="both"/>
        <w:rPr>
          <w:rFonts w:cstheme="minorHAnsi"/>
        </w:rPr>
      </w:pPr>
      <w:r w:rsidRPr="006B0B81">
        <w:rPr>
          <w:rFonts w:cstheme="minorHAnsi"/>
        </w:rPr>
        <w:t xml:space="preserve">• attività a supporto ed affiancamento ai centri per l’impiego per il raccordo con il sistema delle imprese; </w:t>
      </w:r>
    </w:p>
    <w:p w:rsidR="000214F9" w:rsidRPr="006B0B81" w:rsidRDefault="000214F9" w:rsidP="000214F9">
      <w:pPr>
        <w:spacing w:after="0" w:line="20" w:lineRule="atLeast"/>
        <w:jc w:val="both"/>
        <w:rPr>
          <w:rFonts w:cstheme="minorHAnsi"/>
        </w:rPr>
      </w:pPr>
      <w:r w:rsidRPr="006B0B81">
        <w:rPr>
          <w:rFonts w:cstheme="minorHAnsi"/>
        </w:rPr>
        <w:lastRenderedPageBreak/>
        <w:t xml:space="preserve">• attività di affiancamento e di supporto ai centri per l’impiego finalizzate al raccordo con le strutture di istruzione e formazione per il Patto di formazione; </w:t>
      </w:r>
    </w:p>
    <w:p w:rsidR="000214F9" w:rsidRPr="006B0B81" w:rsidRDefault="000214F9" w:rsidP="000214F9">
      <w:pPr>
        <w:spacing w:after="0" w:line="20" w:lineRule="atLeast"/>
        <w:jc w:val="both"/>
        <w:rPr>
          <w:rFonts w:cstheme="minorHAnsi"/>
        </w:rPr>
      </w:pPr>
      <w:r w:rsidRPr="006B0B81">
        <w:rPr>
          <w:rFonts w:cstheme="minorHAnsi"/>
        </w:rPr>
        <w:t xml:space="preserve">• attività di affiancamento e di supporto ai centri per l’impiego nel rapporto con i Comuni per il Patto di inclusione; </w:t>
      </w:r>
    </w:p>
    <w:p w:rsidR="000214F9" w:rsidRPr="006B0B81" w:rsidRDefault="000214F9" w:rsidP="000214F9">
      <w:pPr>
        <w:spacing w:after="0" w:line="20" w:lineRule="atLeast"/>
        <w:jc w:val="both"/>
        <w:rPr>
          <w:rFonts w:cstheme="minorHAnsi"/>
        </w:rPr>
      </w:pPr>
      <w:r w:rsidRPr="006B0B81">
        <w:rPr>
          <w:rFonts w:cstheme="minorHAnsi"/>
        </w:rPr>
        <w:t>• attività di affiancamento e di supporto ai centri per l’impiego per il rispetto dei LEP</w:t>
      </w:r>
    </w:p>
    <w:p w:rsidR="000214F9" w:rsidRPr="006B0B81" w:rsidRDefault="000214F9" w:rsidP="000214F9">
      <w:pPr>
        <w:spacing w:after="0" w:line="20" w:lineRule="atLeast"/>
        <w:jc w:val="both"/>
        <w:rPr>
          <w:rFonts w:cstheme="minorHAnsi"/>
        </w:rPr>
      </w:pPr>
      <w:r w:rsidRPr="006B0B81">
        <w:rPr>
          <w:rFonts w:cstheme="minorHAnsi"/>
        </w:rPr>
        <w:t xml:space="preserve">In particolare, il Navigator, d’intesa con il responsabile dei centri per l’impiego: </w:t>
      </w:r>
    </w:p>
    <w:p w:rsidR="000214F9" w:rsidRPr="006B0B81" w:rsidRDefault="000214F9" w:rsidP="000214F9">
      <w:pPr>
        <w:spacing w:after="0" w:line="20" w:lineRule="atLeast"/>
        <w:jc w:val="both"/>
        <w:rPr>
          <w:rFonts w:cstheme="minorHAnsi"/>
        </w:rPr>
      </w:pPr>
      <w:r w:rsidRPr="006B0B81">
        <w:rPr>
          <w:rFonts w:cstheme="minorHAnsi"/>
        </w:rPr>
        <w:t xml:space="preserve">• affianca e supporta gli operatori dei centri per l’impiego nella definizione e qualificazione del piano personalizzato previsto dalla norma (cfr. Fase 6 del percorso); </w:t>
      </w:r>
    </w:p>
    <w:p w:rsidR="000214F9" w:rsidRPr="006B0B81" w:rsidRDefault="000214F9" w:rsidP="000214F9">
      <w:pPr>
        <w:spacing w:after="0" w:line="20" w:lineRule="atLeast"/>
        <w:jc w:val="both"/>
        <w:rPr>
          <w:rFonts w:cstheme="minorHAnsi"/>
        </w:rPr>
      </w:pPr>
      <w:r w:rsidRPr="006B0B81">
        <w:rPr>
          <w:rFonts w:cstheme="minorHAnsi"/>
        </w:rPr>
        <w:t xml:space="preserve">• svolge una funzione di affiancamento e assistenza tecnica agli operatori dei centri per l’impiego per il supporto ai beneficiari del Reddito di cittadinanza sostenendo il percorso di inclusione socio-lavorativa, improntato alla reciproca responsabilità per garantire che il beneficiario porti a termine con successo il programma e raggiunga la propria autonomia (cfr. Fase 5 del percorso); </w:t>
      </w:r>
    </w:p>
    <w:p w:rsidR="000214F9" w:rsidRPr="006B0B81" w:rsidRDefault="000214F9" w:rsidP="000214F9">
      <w:pPr>
        <w:spacing w:after="0" w:line="20" w:lineRule="atLeast"/>
        <w:jc w:val="both"/>
        <w:rPr>
          <w:rFonts w:cstheme="minorHAnsi"/>
        </w:rPr>
      </w:pPr>
      <w:r w:rsidRPr="006B0B81">
        <w:rPr>
          <w:rFonts w:cstheme="minorHAnsi"/>
        </w:rPr>
        <w:t xml:space="preserve">• supporta ed affianca gli operatori dei centri per l’impiego nel raccordo con i servizi erogati dai diversi attori del mercato del lavoro a livello locale o regionale in relazione alle esigenze dei beneficiari, valorizzando tutte le opportunità offerte dai servizi nel territorio - a partire dalle esigenze espresse dalle imprese e dalle opportunità offerte dal sistema di istruzione e formazione - per permettere ai beneficiari di individuare e superare gli ostacoli che incontrano nel percorso verso la realizzazione professionale, l’autonomia economica e la piena integrazione sociale nella propria comunità (cfr. Fasi 6 e 9 del percorso); </w:t>
      </w:r>
    </w:p>
    <w:p w:rsidR="000214F9" w:rsidRPr="006B0B81" w:rsidRDefault="000214F9" w:rsidP="000214F9">
      <w:pPr>
        <w:spacing w:after="0" w:line="20" w:lineRule="atLeast"/>
        <w:jc w:val="both"/>
        <w:rPr>
          <w:rFonts w:cstheme="minorHAnsi"/>
        </w:rPr>
      </w:pPr>
      <w:r w:rsidRPr="006B0B81">
        <w:rPr>
          <w:rFonts w:cstheme="minorHAnsi"/>
        </w:rPr>
        <w:t xml:space="preserve">• collabora con gli operatori dei centri per l’impiego al fine di garantire la realizzazione delle diverse fasi del processo di servizio previsto dalla norma e di assicurare i diritti e i doveri dei beneficiari. </w:t>
      </w:r>
    </w:p>
    <w:p w:rsidR="000214F9" w:rsidRPr="006B0B81" w:rsidRDefault="000214F9" w:rsidP="000214F9">
      <w:pPr>
        <w:spacing w:after="0" w:line="20" w:lineRule="atLeast"/>
        <w:jc w:val="both"/>
        <w:rPr>
          <w:rFonts w:cstheme="minorHAnsi"/>
        </w:rPr>
      </w:pPr>
    </w:p>
    <w:p w:rsidR="000214F9" w:rsidRDefault="000214F9" w:rsidP="000214F9">
      <w:pPr>
        <w:spacing w:after="0" w:line="20" w:lineRule="atLeast"/>
        <w:jc w:val="both"/>
        <w:rPr>
          <w:rFonts w:cstheme="minorHAnsi"/>
        </w:rPr>
      </w:pPr>
      <w:r w:rsidRPr="006B0B81">
        <w:rPr>
          <w:rFonts w:cstheme="minorHAnsi"/>
        </w:rPr>
        <w:t xml:space="preserve">Di seguito si riporta una matrice che descrive nel dettaglio le fasi n. 2, 3, 4, 5, 6, 7 e 9 del percorso del Reddito di cittadinanza, nelle quali interviene la figura del Navigator, evidenziando le seguenti caratteristiche: </w:t>
      </w:r>
    </w:p>
    <w:p w:rsidR="000214F9" w:rsidRDefault="000214F9" w:rsidP="000214F9">
      <w:pPr>
        <w:spacing w:after="0" w:line="20" w:lineRule="atLeast"/>
        <w:jc w:val="both"/>
        <w:rPr>
          <w:rFonts w:cstheme="minorHAnsi"/>
        </w:rPr>
      </w:pPr>
      <w:r w:rsidRPr="006B0B81">
        <w:rPr>
          <w:rFonts w:cstheme="minorHAnsi"/>
        </w:rPr>
        <w:t>- Strumenti utilizzati;</w:t>
      </w:r>
    </w:p>
    <w:p w:rsidR="000214F9" w:rsidRDefault="000214F9" w:rsidP="000214F9">
      <w:pPr>
        <w:spacing w:after="0" w:line="20" w:lineRule="atLeast"/>
        <w:jc w:val="both"/>
        <w:rPr>
          <w:rFonts w:cstheme="minorHAnsi"/>
        </w:rPr>
      </w:pPr>
      <w:r w:rsidRPr="006B0B81">
        <w:rPr>
          <w:rFonts w:cstheme="minorHAnsi"/>
        </w:rPr>
        <w:t xml:space="preserve"> - Compiti del beneficiario; </w:t>
      </w:r>
    </w:p>
    <w:p w:rsidR="000214F9" w:rsidRDefault="000214F9" w:rsidP="000214F9">
      <w:pPr>
        <w:spacing w:after="0" w:line="20" w:lineRule="atLeast"/>
        <w:jc w:val="both"/>
        <w:rPr>
          <w:rFonts w:cstheme="minorHAnsi"/>
        </w:rPr>
      </w:pPr>
      <w:r w:rsidRPr="006B0B81">
        <w:rPr>
          <w:rFonts w:cstheme="minorHAnsi"/>
        </w:rPr>
        <w:t xml:space="preserve">- Compiti dei centri per l’impiego; </w:t>
      </w:r>
    </w:p>
    <w:p w:rsidR="000214F9" w:rsidRDefault="000214F9" w:rsidP="000214F9">
      <w:pPr>
        <w:spacing w:after="0" w:line="20" w:lineRule="atLeast"/>
        <w:jc w:val="both"/>
        <w:rPr>
          <w:rFonts w:cstheme="minorHAnsi"/>
        </w:rPr>
      </w:pPr>
      <w:r w:rsidRPr="006B0B81">
        <w:rPr>
          <w:rFonts w:cstheme="minorHAnsi"/>
        </w:rPr>
        <w:t xml:space="preserve">- Assistenza tecnica di Anpal Servizi con riferimento ai Navigator. </w:t>
      </w:r>
    </w:p>
    <w:p w:rsidR="000214F9" w:rsidRDefault="000214F9" w:rsidP="000214F9">
      <w:pPr>
        <w:spacing w:after="0" w:line="20" w:lineRule="atLeast"/>
        <w:jc w:val="both"/>
        <w:rPr>
          <w:rFonts w:cstheme="minorHAnsi"/>
        </w:rPr>
      </w:pPr>
      <w:r w:rsidRPr="006B0B81">
        <w:rPr>
          <w:rFonts w:cstheme="minorHAnsi"/>
        </w:rPr>
        <w:t xml:space="preserve">Lo schema quadro propone l’intera gamma delle attività che i Navigator possono svolgere a supporto e in assistenza ai centri per l’impiego nell’attuazione delle politiche attive connesse alla fruizione del Reddito di cittadinanza. </w:t>
      </w:r>
    </w:p>
    <w:p w:rsidR="000214F9" w:rsidRDefault="000214F9" w:rsidP="000214F9">
      <w:pPr>
        <w:spacing w:after="0" w:line="20" w:lineRule="atLeast"/>
        <w:jc w:val="both"/>
        <w:rPr>
          <w:rFonts w:cstheme="minorHAnsi"/>
        </w:rPr>
      </w:pPr>
      <w:r w:rsidRPr="006B0B81">
        <w:rPr>
          <w:rFonts w:cstheme="minorHAnsi"/>
        </w:rPr>
        <w:t xml:space="preserve">Di seguito le attività che potranno essere realizzate dai navigator in assistenza agli operatori dei Centri per L’Impiego; tali attività potranno essere ulteriormente specificate in sede di Cabina di regia di cui all’art. 3 della Convenzione in funzione delle reali esigenze espresse dalla Regione Lazio nelle diverse fasi di gestione della misura. </w:t>
      </w:r>
    </w:p>
    <w:p w:rsidR="0077666E" w:rsidRDefault="0077666E" w:rsidP="0077666E">
      <w:pPr>
        <w:spacing w:after="0" w:line="20" w:lineRule="atLeast"/>
        <w:jc w:val="both"/>
        <w:rPr>
          <w:rFonts w:cstheme="minorHAnsi"/>
        </w:rPr>
      </w:pPr>
      <w:r w:rsidRPr="006B0B81">
        <w:rPr>
          <w:rFonts w:cstheme="minorHAnsi"/>
        </w:rPr>
        <w:t xml:space="preserve">NAVIGATOR ASSEGNATI </w:t>
      </w:r>
    </w:p>
    <w:p w:rsidR="0077666E" w:rsidRDefault="0077666E" w:rsidP="0077666E">
      <w:pPr>
        <w:spacing w:after="0" w:line="20" w:lineRule="atLeast"/>
        <w:jc w:val="both"/>
        <w:rPr>
          <w:rFonts w:cstheme="minorHAnsi"/>
        </w:rPr>
      </w:pPr>
      <w:r w:rsidRPr="006B0B81">
        <w:rPr>
          <w:rFonts w:cstheme="minorHAnsi"/>
        </w:rPr>
        <w:t xml:space="preserve">FROSINONE 21 CPI ANAGNI 2 CPI CASSINO 5 CPI FROSINONE 10 CPI SORA 4 </w:t>
      </w:r>
    </w:p>
    <w:p w:rsidR="0077666E" w:rsidRDefault="0077666E" w:rsidP="0077666E">
      <w:pPr>
        <w:spacing w:after="0" w:line="20" w:lineRule="atLeast"/>
        <w:jc w:val="both"/>
        <w:rPr>
          <w:rFonts w:cstheme="minorHAnsi"/>
        </w:rPr>
      </w:pPr>
      <w:r w:rsidRPr="006B0B81">
        <w:rPr>
          <w:rFonts w:cstheme="minorHAnsi"/>
        </w:rPr>
        <w:t xml:space="preserve">LATINA 30 </w:t>
      </w:r>
      <w:r>
        <w:rPr>
          <w:rFonts w:cstheme="minorHAnsi"/>
        </w:rPr>
        <w:t xml:space="preserve">  </w:t>
      </w:r>
      <w:r w:rsidRPr="006B0B81">
        <w:rPr>
          <w:rFonts w:cstheme="minorHAnsi"/>
        </w:rPr>
        <w:t xml:space="preserve">CPI CISTERNA DI LATINA 7 CPI FONDI 6 CPI FORMIA 6 CPI LATINA 7 CPI SEZZE SCALO 4 </w:t>
      </w:r>
    </w:p>
    <w:p w:rsidR="0077666E" w:rsidRDefault="0077666E" w:rsidP="0077666E">
      <w:pPr>
        <w:spacing w:after="0" w:line="20" w:lineRule="atLeast"/>
        <w:jc w:val="both"/>
        <w:rPr>
          <w:rFonts w:cstheme="minorHAnsi"/>
        </w:rPr>
      </w:pPr>
      <w:r w:rsidRPr="006B0B81">
        <w:rPr>
          <w:rFonts w:cstheme="minorHAnsi"/>
        </w:rPr>
        <w:t>RIETI 12 CPI POGGIO MIRTETO 4 CPI RIETI 8</w:t>
      </w:r>
    </w:p>
    <w:p w:rsidR="0077666E" w:rsidRDefault="0077666E" w:rsidP="0077666E">
      <w:pPr>
        <w:spacing w:after="0" w:line="20" w:lineRule="atLeast"/>
        <w:jc w:val="both"/>
        <w:rPr>
          <w:rFonts w:cstheme="minorHAnsi"/>
        </w:rPr>
      </w:pPr>
      <w:r w:rsidRPr="006B0B81">
        <w:rPr>
          <w:rFonts w:cstheme="minorHAnsi"/>
        </w:rPr>
        <w:t xml:space="preserve"> ROMA 195 CPI ALBANO LAZIALE 5 CPI ANZIO 8 CPI BRACCIANO 2 CPI CERVETERI 5 CPI CIVITAVECCHIA 5 CPI COLLEFERRO 6 CPI FRASCATI 5 CPI GUIDONIA 7 CPI MARINO 4 CPI MONTEROTONDO 8 CPI MORLUPO 7 CPI PALESTRINA 6 CPI POMEZIA 6 CPI ROMA CINECITTÀ 44 CPI ROMA OSTIA 17 CPI ROMA PRIMAVALLE 16 CPI ROMA TIBURTINO 16 CPI ROMA TORRE ANGELA 13 CPI SUBIACO 3 CPI TIVOLI 6 CPI VELLETRI 6 </w:t>
      </w:r>
    </w:p>
    <w:p w:rsidR="0077666E" w:rsidRDefault="0077666E" w:rsidP="0077666E">
      <w:pPr>
        <w:spacing w:after="0" w:line="20" w:lineRule="atLeast"/>
        <w:jc w:val="both"/>
        <w:rPr>
          <w:rFonts w:cstheme="minorHAnsi"/>
        </w:rPr>
      </w:pPr>
      <w:r w:rsidRPr="006B0B81">
        <w:rPr>
          <w:rFonts w:cstheme="minorHAnsi"/>
        </w:rPr>
        <w:t>VITERBO 15 CPI CIVITA CASTELLANA 4 CPI TARQUINIA 3 CPI VITERBO 8 TOTALE COMPLESSIVO 273</w:t>
      </w:r>
    </w:p>
    <w:p w:rsidR="00C147B0" w:rsidRDefault="00C147B0" w:rsidP="0077666E">
      <w:pPr>
        <w:spacing w:after="0" w:line="20" w:lineRule="atLeast"/>
        <w:jc w:val="both"/>
        <w:rPr>
          <w:rFonts w:cstheme="minorHAnsi"/>
        </w:rPr>
      </w:pPr>
    </w:p>
    <w:p w:rsidR="00C147B0" w:rsidRPr="002C1A83" w:rsidRDefault="00C147B0" w:rsidP="00C147B0">
      <w:pPr>
        <w:spacing w:after="0" w:line="20" w:lineRule="atLeast"/>
        <w:jc w:val="both"/>
      </w:pPr>
      <w:r w:rsidRPr="002C1A83">
        <w:rPr>
          <w:b/>
        </w:rPr>
        <w:t xml:space="preserve">Determinazione 6 agosto 2019, n. G10759, </w:t>
      </w:r>
      <w:r w:rsidRPr="002C1A83">
        <w:t xml:space="preserve"> Determinazione a contrarre per l'affidamento, ai sensi dell'art. 63, comma 2, lett. c), del D.lgs n. 50/2016, al Gruppo Poste Italiane S.p.A. per lo svolgimento del ruolo di Soggetto Erogatore nell'ambito dell'Iniziativa RIESCO, a valere sull'Asse 1 – Occupazione – Priorità di investimento 8.i – Obiettivo specifico 8.5 e sull' Asse 2 – Inclusione sociale lotta alla Povertà – Priorità di investimento 9.i – Obiettivo specifico 9.2 – Azione Cardine 42 del POR Lazio FSE 2014-2020. (BUR n. 68 del 22.8.19)</w:t>
      </w:r>
    </w:p>
    <w:p w:rsidR="00C147B0" w:rsidRPr="002C1A83" w:rsidRDefault="00C147B0" w:rsidP="00C147B0">
      <w:pPr>
        <w:spacing w:after="0" w:line="20" w:lineRule="atLeast"/>
        <w:jc w:val="both"/>
        <w:rPr>
          <w:b/>
        </w:rPr>
      </w:pPr>
      <w:r w:rsidRPr="002C1A83">
        <w:rPr>
          <w:b/>
        </w:rPr>
        <w:t xml:space="preserve">PREMESSA </w:t>
      </w:r>
    </w:p>
    <w:p w:rsidR="00C147B0" w:rsidRPr="002C1A83" w:rsidRDefault="00C147B0" w:rsidP="00C147B0">
      <w:pPr>
        <w:spacing w:after="0" w:line="20" w:lineRule="atLeast"/>
        <w:jc w:val="both"/>
      </w:pPr>
      <w:r w:rsidRPr="002C1A83">
        <w:lastRenderedPageBreak/>
        <w:t>Negli ultimi anni il concetto di innovazione sociale si è imposto come tema centrale all’interno delle strategie comunitarie quale strumento per far fronte alla crisi finanziaria, economica e sociale esplosa dal 2008 in tutti i paesi europei.</w:t>
      </w:r>
    </w:p>
    <w:p w:rsidR="00C147B0" w:rsidRPr="002C1A83" w:rsidRDefault="00C147B0" w:rsidP="00C147B0">
      <w:pPr>
        <w:spacing w:after="0" w:line="20" w:lineRule="atLeast"/>
        <w:jc w:val="both"/>
      </w:pPr>
      <w:r w:rsidRPr="002C1A83">
        <w:t>L’innovazione sociale può costituire una leva per immaginare e valorizzare nuove esperienze e modelli per combattere le povertà e per promuovere, insieme ai cittadini, un nuovo tipo di sviluppo.</w:t>
      </w:r>
    </w:p>
    <w:p w:rsidR="00C147B0" w:rsidRPr="002C1A83" w:rsidRDefault="00C147B0" w:rsidP="00C147B0">
      <w:pPr>
        <w:spacing w:after="0" w:line="20" w:lineRule="atLeast"/>
        <w:jc w:val="both"/>
      </w:pPr>
      <w:r w:rsidRPr="002C1A83">
        <w:t>Nel quadro degli interventi di promozione dell'inclusione sociale e di contrasto alla povertà della strategia Europa 2020 e nell’ottica di rafforzare le opportunità di inserimento e/o reinserimento occupazionale all’interno dei percorsi di attivazione a valere sul POR FSE 2014- 2020, la Regione Lazio, attraverso l’Autorità di Gestione del POR FSE Lazio 2014-2020, ha adottato uno strumento innovativo e sperimentale ad hoc, finalizzato al sostegno dei processi di attivazione sociale e professionale della popolazione regionale, con un’attenzione specifica alle fasce più deboli e maggiormente a rischio progressivo di emarginazione.</w:t>
      </w:r>
    </w:p>
    <w:p w:rsidR="00C147B0" w:rsidRPr="002C1A83" w:rsidRDefault="00C147B0" w:rsidP="00C147B0">
      <w:pPr>
        <w:spacing w:after="0" w:line="20" w:lineRule="atLeast"/>
        <w:jc w:val="both"/>
      </w:pPr>
      <w:r w:rsidRPr="002C1A83">
        <w:t>In tale contesto, la sperimentazione del “RIF - Reddito di Inclusione Formativa” per un intervento di cittadinanza ed empowerment, attuato mediante uno strumento tecnologico di natura finanziaria, ovvero una carta di pagamento ricaricabile, ha inteso affiancarsi alle  politiche di sostegno all’accesso a percorsi concreti di miglioramento della qualità della vita, come dispositivo innovativo e indispensabile per sostenere fasce di popolazione più fragili, motivandole ad investire sul talento, sulla formazione e sulla cultura e, contestualmente, favorire le condizioni per nuove opportunità di inclusione sociale, lavorativa e professionale.</w:t>
      </w:r>
    </w:p>
    <w:p w:rsidR="00C147B0" w:rsidRPr="002C1A83" w:rsidRDefault="00C147B0" w:rsidP="00C147B0">
      <w:pPr>
        <w:spacing w:after="0" w:line="20" w:lineRule="atLeast"/>
        <w:jc w:val="both"/>
      </w:pPr>
      <w:r w:rsidRPr="002C1A83">
        <w:t>In considerazione della natura sperimentale dell’intervento di cui trattasi, la Regione Lazio non ha ritenuto opportuno investire in costi fissi connessi alla realizzazione di una piattaforma dedicata per la gestione ma, al fine di garantire l’accelerazione delle azioni e il successo complessivo dell’iniziativa, ha inteso avvalersi di operatori qualificati, che operano anche sul mercato dei prodotti finanziari e in possesso di know how, di una piattaforma dedicata utilizzabile per la gestione dell’intervento stesso e che ne garantiscano capillarità sul territorio.</w:t>
      </w:r>
    </w:p>
    <w:p w:rsidR="00C147B0" w:rsidRPr="002C1A83" w:rsidRDefault="00C147B0" w:rsidP="00C147B0">
      <w:pPr>
        <w:spacing w:after="0" w:line="20" w:lineRule="atLeast"/>
        <w:jc w:val="both"/>
        <w:rPr>
          <w:b/>
        </w:rPr>
      </w:pPr>
      <w:r w:rsidRPr="002C1A83">
        <w:rPr>
          <w:b/>
        </w:rPr>
        <w:t>IL RAPPORTO CON POSTE ITALIANE SPA</w:t>
      </w:r>
    </w:p>
    <w:p w:rsidR="00C147B0" w:rsidRPr="002C1A83" w:rsidRDefault="00C147B0" w:rsidP="00C147B0">
      <w:pPr>
        <w:spacing w:after="0" w:line="20" w:lineRule="atLeast"/>
        <w:jc w:val="both"/>
      </w:pPr>
      <w:r w:rsidRPr="002C1A83">
        <w:t>l’Amministrazione regionale ha attivato un’azione esplorativa nei confronti di Poste Italiane S.p.A richiedendo, l’attestazione dei requisiti tecnico-organizzativi per lo svolgimento del ruolo di soggetto erogatore nell’ambito dell’Iniziativa RIESCO specificando le modalità di realizzazione delle stesse in forma singola o associate; - Viene individuato  il costituendo Raggruppamento tra Poste Italiane S.p.A. e Postel S.p.A, Poste Welfare Servizi S.r.l. e Postepay S.p.a. quale possibile Soggetto Erogatore nell’ambito dell’Iniziativa RIESCO.</w:t>
      </w:r>
    </w:p>
    <w:p w:rsidR="00C147B0" w:rsidRPr="002C1A83" w:rsidRDefault="00C147B0" w:rsidP="00C147B0">
      <w:pPr>
        <w:spacing w:after="0" w:line="20" w:lineRule="atLeast"/>
        <w:jc w:val="both"/>
        <w:rPr>
          <w:b/>
        </w:rPr>
      </w:pPr>
      <w:r w:rsidRPr="002C1A83">
        <w:rPr>
          <w:b/>
        </w:rPr>
        <w:t xml:space="preserve">LA DISPOSIZIONE </w:t>
      </w:r>
    </w:p>
    <w:p w:rsidR="00C147B0" w:rsidRPr="002C1A83" w:rsidRDefault="00C147B0" w:rsidP="00C147B0">
      <w:pPr>
        <w:spacing w:after="0" w:line="20" w:lineRule="atLeast"/>
        <w:jc w:val="both"/>
      </w:pPr>
      <w:r w:rsidRPr="002C1A83">
        <w:t xml:space="preserve">Viene </w:t>
      </w:r>
      <w:proofErr w:type="gramStart"/>
      <w:r w:rsidRPr="002C1A83">
        <w:t>notificato  il</w:t>
      </w:r>
      <w:proofErr w:type="gramEnd"/>
      <w:r w:rsidRPr="002C1A83">
        <w:t xml:space="preserve"> presente atto a Poste Italiane S.p.A. e Postel S.p.A, Poste Welfare Servizi S.r.l. e Postepay S.p.a., nelle more del buon esito delle verifiche da attivare sulla documentazione obbligatoria da presentare ai fini del perfezionamento della procedura di affidamento dell’incarico per lo svolgimento del ruolo di Soggetto Erogatore nell’ambito dell’Iniziativa RIESCO.</w:t>
      </w:r>
    </w:p>
    <w:p w:rsidR="00C147B0" w:rsidRPr="002C1A83" w:rsidRDefault="00C147B0" w:rsidP="0077666E">
      <w:pPr>
        <w:spacing w:after="0" w:line="20" w:lineRule="atLeast"/>
        <w:jc w:val="both"/>
        <w:rPr>
          <w:rFonts w:cstheme="minorHAnsi"/>
        </w:rPr>
      </w:pPr>
    </w:p>
    <w:p w:rsidR="00FF7E92" w:rsidRPr="009B3050" w:rsidRDefault="00FF7E92" w:rsidP="00FF7E92">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9B3050">
        <w:rPr>
          <w:rFonts w:cstheme="minorHAnsi"/>
          <w:b/>
        </w:rPr>
        <w:t>SANITÀ</w:t>
      </w:r>
    </w:p>
    <w:p w:rsidR="00FF7E92" w:rsidRPr="006B0B81" w:rsidRDefault="00FF7E92" w:rsidP="00FF7E92">
      <w:pPr>
        <w:spacing w:after="0" w:line="20" w:lineRule="atLeast"/>
        <w:jc w:val="both"/>
        <w:rPr>
          <w:rFonts w:cstheme="minorHAnsi"/>
        </w:rPr>
      </w:pPr>
    </w:p>
    <w:p w:rsidR="00C07B50" w:rsidRPr="00983BF8" w:rsidRDefault="00C07B50" w:rsidP="00C07B50">
      <w:pPr>
        <w:autoSpaceDE w:val="0"/>
        <w:autoSpaceDN w:val="0"/>
        <w:adjustRightInd w:val="0"/>
        <w:spacing w:after="0" w:line="20" w:lineRule="atLeast"/>
        <w:jc w:val="both"/>
        <w:rPr>
          <w:rFonts w:cstheme="minorHAnsi"/>
        </w:rPr>
      </w:pPr>
      <w:r w:rsidRPr="00983BF8">
        <w:rPr>
          <w:rFonts w:cstheme="minorHAnsi"/>
          <w:b/>
        </w:rPr>
        <w:t>DCA 23 luglio 2019, n. U00295</w:t>
      </w:r>
      <w:r w:rsidRPr="00983BF8">
        <w:rPr>
          <w:rFonts w:cstheme="minorHAnsi"/>
        </w:rPr>
        <w:t>, Aggiornamento "Allegato A" del DCA 313/2013 concernente "Approvazione Nomenclatore Tariffario Regionale per Prestazioni di Assistenza Specialistica Ambulatoriale. D.M. 18.10.2012". Estensione dell'erogabilità di alcune prestazioni. (BUR n. 65 del 13.8.19)</w:t>
      </w:r>
    </w:p>
    <w:p w:rsidR="00C07B50" w:rsidRPr="00D835A7" w:rsidRDefault="00C07B50" w:rsidP="00C07B50">
      <w:pPr>
        <w:autoSpaceDE w:val="0"/>
        <w:autoSpaceDN w:val="0"/>
        <w:adjustRightInd w:val="0"/>
        <w:spacing w:after="0" w:line="20" w:lineRule="atLeast"/>
        <w:jc w:val="both"/>
        <w:rPr>
          <w:rFonts w:cstheme="minorHAnsi"/>
          <w:b/>
        </w:rPr>
      </w:pPr>
      <w:r w:rsidRPr="00D835A7">
        <w:rPr>
          <w:rFonts w:cstheme="minorHAnsi"/>
          <w:b/>
        </w:rPr>
        <w:t>Note</w:t>
      </w:r>
    </w:p>
    <w:p w:rsidR="00C07B50" w:rsidRPr="00983BF8" w:rsidRDefault="00C07B50" w:rsidP="00C07B50">
      <w:pPr>
        <w:autoSpaceDE w:val="0"/>
        <w:autoSpaceDN w:val="0"/>
        <w:adjustRightInd w:val="0"/>
        <w:spacing w:after="0" w:line="20" w:lineRule="atLeast"/>
        <w:jc w:val="both"/>
        <w:rPr>
          <w:rFonts w:cstheme="minorHAnsi"/>
        </w:rPr>
      </w:pPr>
      <w:r w:rsidRPr="00983BF8">
        <w:rPr>
          <w:rFonts w:cstheme="minorHAnsi"/>
        </w:rPr>
        <w:t xml:space="preserve">Viene aggiornato l’allegato A del Nomenclatore Tariffario Regionale per la Specialistica Ambulatoriale approvato con il Decreto del Commissario </w:t>
      </w:r>
      <w:r w:rsidRPr="00983BF8">
        <w:rPr>
          <w:rFonts w:cstheme="minorHAnsi"/>
          <w:i/>
          <w:iCs/>
        </w:rPr>
        <w:t xml:space="preserve">ad acta </w:t>
      </w:r>
      <w:r w:rsidRPr="00983BF8">
        <w:rPr>
          <w:rFonts w:cstheme="minorHAnsi"/>
        </w:rPr>
        <w:t>n. U00313 del 4 luglio 2013 relativamente alle prestazioni di specialistica ambulatoriale per le quali è estesa l’erogabilità alle strutture private, accreditate nelle relative branche e contrattualizzate con il SSR, prevedendo la modifica dei valori riportati nel campo “Tipo” da E a C.</w:t>
      </w:r>
    </w:p>
    <w:p w:rsidR="00C07B50" w:rsidRDefault="00C07B50" w:rsidP="00FF7E92">
      <w:pPr>
        <w:spacing w:after="0" w:line="20" w:lineRule="atLeast"/>
        <w:jc w:val="both"/>
        <w:rPr>
          <w:rFonts w:cstheme="minorHAnsi"/>
          <w:b/>
        </w:rPr>
      </w:pPr>
    </w:p>
    <w:p w:rsidR="008B4F6D" w:rsidRPr="00983BF8" w:rsidRDefault="008B4F6D" w:rsidP="008B4F6D">
      <w:pPr>
        <w:autoSpaceDE w:val="0"/>
        <w:autoSpaceDN w:val="0"/>
        <w:adjustRightInd w:val="0"/>
        <w:spacing w:after="0" w:line="20" w:lineRule="atLeast"/>
        <w:jc w:val="both"/>
        <w:rPr>
          <w:rFonts w:cstheme="minorHAnsi"/>
        </w:rPr>
      </w:pPr>
      <w:r w:rsidRPr="008B4F6D">
        <w:rPr>
          <w:rFonts w:cstheme="minorHAnsi"/>
          <w:b/>
        </w:rPr>
        <w:t>DCA 25 luglio 2019, n. U00302</w:t>
      </w:r>
      <w:r w:rsidRPr="00983BF8">
        <w:rPr>
          <w:rFonts w:cstheme="minorHAnsi"/>
        </w:rPr>
        <w:t>, Piano regionale per il governo delle Liste di Attesa 2019-2021.</w:t>
      </w:r>
      <w:r>
        <w:rPr>
          <w:rFonts w:cstheme="minorHAnsi"/>
        </w:rPr>
        <w:t xml:space="preserve"> </w:t>
      </w:r>
      <w:r w:rsidRPr="00983BF8">
        <w:rPr>
          <w:rFonts w:cstheme="minorHAnsi"/>
        </w:rPr>
        <w:t>(BUR n. 65 del 13.8.19)</w:t>
      </w:r>
    </w:p>
    <w:p w:rsidR="008B4F6D" w:rsidRPr="008B4F6D" w:rsidRDefault="008B4F6D" w:rsidP="008B4F6D">
      <w:pPr>
        <w:autoSpaceDE w:val="0"/>
        <w:autoSpaceDN w:val="0"/>
        <w:adjustRightInd w:val="0"/>
        <w:spacing w:after="0" w:line="20" w:lineRule="atLeast"/>
        <w:jc w:val="both"/>
        <w:rPr>
          <w:rFonts w:cstheme="minorHAnsi"/>
          <w:b/>
        </w:rPr>
      </w:pPr>
      <w:r w:rsidRPr="008B4F6D">
        <w:rPr>
          <w:rFonts w:cstheme="minorHAnsi"/>
          <w:b/>
        </w:rPr>
        <w:t>Note</w:t>
      </w:r>
    </w:p>
    <w:p w:rsidR="008B4F6D" w:rsidRPr="00983BF8" w:rsidRDefault="008B4F6D" w:rsidP="008B4F6D">
      <w:pPr>
        <w:autoSpaceDE w:val="0"/>
        <w:autoSpaceDN w:val="0"/>
        <w:adjustRightInd w:val="0"/>
        <w:spacing w:after="0" w:line="20" w:lineRule="atLeast"/>
        <w:jc w:val="both"/>
        <w:rPr>
          <w:rFonts w:cstheme="minorHAnsi"/>
          <w:color w:val="000000"/>
        </w:rPr>
      </w:pPr>
      <w:proofErr w:type="gramStart"/>
      <w:r w:rsidRPr="00983BF8">
        <w:rPr>
          <w:rFonts w:cstheme="minorHAnsi"/>
          <w:color w:val="000000"/>
        </w:rPr>
        <w:lastRenderedPageBreak/>
        <w:t>Viene  adottato</w:t>
      </w:r>
      <w:proofErr w:type="gramEnd"/>
      <w:r w:rsidRPr="00983BF8">
        <w:rPr>
          <w:rFonts w:cstheme="minorHAnsi"/>
          <w:color w:val="000000"/>
        </w:rPr>
        <w:t xml:space="preserve">  il Piano di governo regionale delle liste di attesa 2019-2021, parte integrante e sostanziale del presente atto (allegato 1);</w:t>
      </w:r>
    </w:p>
    <w:p w:rsidR="008B4F6D" w:rsidRPr="00983BF8" w:rsidRDefault="008B4F6D" w:rsidP="008B4F6D">
      <w:pPr>
        <w:autoSpaceDE w:val="0"/>
        <w:autoSpaceDN w:val="0"/>
        <w:adjustRightInd w:val="0"/>
        <w:spacing w:after="0" w:line="20" w:lineRule="atLeast"/>
        <w:jc w:val="both"/>
        <w:rPr>
          <w:rFonts w:cstheme="minorHAnsi"/>
          <w:color w:val="000000"/>
        </w:rPr>
      </w:pPr>
      <w:r w:rsidRPr="00983BF8">
        <w:rPr>
          <w:rFonts w:cstheme="minorHAnsi"/>
          <w:color w:val="000000"/>
        </w:rPr>
        <w:t xml:space="preserve">Viene </w:t>
      </w:r>
      <w:proofErr w:type="gramStart"/>
      <w:r w:rsidRPr="00983BF8">
        <w:rPr>
          <w:rFonts w:cstheme="minorHAnsi"/>
          <w:color w:val="000000"/>
        </w:rPr>
        <w:t>dato  mandato</w:t>
      </w:r>
      <w:proofErr w:type="gramEnd"/>
      <w:r w:rsidRPr="00983BF8">
        <w:rPr>
          <w:rFonts w:cstheme="minorHAnsi"/>
          <w:color w:val="000000"/>
        </w:rPr>
        <w:t xml:space="preserve"> alle aziende ed enti regionali e del servizio sanitario di dare attuazione a quanto previsto dal presente atto, ciascuno per quanto di competenza;</w:t>
      </w:r>
    </w:p>
    <w:p w:rsidR="008B4F6D" w:rsidRPr="00983BF8" w:rsidRDefault="008B4F6D" w:rsidP="008B4F6D">
      <w:pPr>
        <w:autoSpaceDE w:val="0"/>
        <w:autoSpaceDN w:val="0"/>
        <w:adjustRightInd w:val="0"/>
        <w:spacing w:after="0" w:line="20" w:lineRule="atLeast"/>
        <w:jc w:val="both"/>
        <w:rPr>
          <w:rFonts w:cstheme="minorHAnsi"/>
          <w:color w:val="000000"/>
        </w:rPr>
      </w:pPr>
      <w:r w:rsidRPr="00983BF8">
        <w:rPr>
          <w:rFonts w:cstheme="minorHAnsi"/>
          <w:color w:val="000000"/>
        </w:rPr>
        <w:t xml:space="preserve">Viene </w:t>
      </w:r>
      <w:proofErr w:type="gramStart"/>
      <w:r w:rsidRPr="00983BF8">
        <w:rPr>
          <w:rFonts w:cstheme="minorHAnsi"/>
          <w:color w:val="000000"/>
        </w:rPr>
        <w:t>dato  mandato</w:t>
      </w:r>
      <w:proofErr w:type="gramEnd"/>
      <w:r w:rsidRPr="00983BF8">
        <w:rPr>
          <w:rFonts w:cstheme="minorHAnsi"/>
          <w:color w:val="000000"/>
        </w:rPr>
        <w:t xml:space="preserve"> al Direttore della Direzione Regionale Salute e Integrazione Sociosanitaria di individuare, con proprio provvedimento, gli interventi previsti dall’allegato piano di governo regionale delle liste d’attesa, da finanziare per un importo di Euro 3.000.000,00 tramite il fondo regionale per la realizzazione di progetti sperimentali per l’abbattimento delle liste d’attesa di cui all’art. 148, comma 4 della L.R. 28 aprile 2006, n. 4 e smi.</w:t>
      </w:r>
    </w:p>
    <w:p w:rsidR="008B4F6D" w:rsidRDefault="008B4F6D" w:rsidP="00466B5C">
      <w:pPr>
        <w:autoSpaceDE w:val="0"/>
        <w:autoSpaceDN w:val="0"/>
        <w:adjustRightInd w:val="0"/>
        <w:spacing w:after="0" w:line="20" w:lineRule="atLeast"/>
        <w:jc w:val="both"/>
        <w:rPr>
          <w:rFonts w:cstheme="minorHAnsi"/>
        </w:rPr>
      </w:pPr>
    </w:p>
    <w:p w:rsidR="008B4F6D" w:rsidRPr="00FD24FB" w:rsidRDefault="008B4F6D" w:rsidP="008B4F6D">
      <w:pPr>
        <w:autoSpaceDE w:val="0"/>
        <w:autoSpaceDN w:val="0"/>
        <w:adjustRightInd w:val="0"/>
        <w:spacing w:after="0" w:line="20" w:lineRule="atLeast"/>
        <w:jc w:val="both"/>
        <w:rPr>
          <w:rFonts w:cstheme="minorHAnsi"/>
        </w:rPr>
      </w:pPr>
      <w:r w:rsidRPr="008B4F6D">
        <w:rPr>
          <w:rFonts w:cstheme="minorHAnsi"/>
          <w:b/>
        </w:rPr>
        <w:t>DCA  25 luglio 2019, n. U00303</w:t>
      </w:r>
      <w:r w:rsidRPr="00FD24FB">
        <w:rPr>
          <w:rFonts w:cstheme="minorHAnsi"/>
        </w:rPr>
        <w:t>, Adozione del piano di rientro "Piano di riorganizzazione, riqualificazione e sviluppo del Servizio Sanitario Regionale 2019-2021" ai sensi e per gli effetti dell'art. 2, comma 88 della L. 191/2009.</w:t>
      </w:r>
      <w:r>
        <w:rPr>
          <w:rFonts w:cstheme="minorHAnsi"/>
        </w:rPr>
        <w:t xml:space="preserve"> </w:t>
      </w:r>
      <w:r w:rsidRPr="00983BF8">
        <w:rPr>
          <w:rFonts w:cstheme="minorHAnsi"/>
        </w:rPr>
        <w:t>(BUR n. 65 del 13.8.19)</w:t>
      </w:r>
    </w:p>
    <w:p w:rsidR="008B4F6D" w:rsidRPr="008B4F6D" w:rsidRDefault="008B4F6D" w:rsidP="008B4F6D">
      <w:pPr>
        <w:autoSpaceDE w:val="0"/>
        <w:autoSpaceDN w:val="0"/>
        <w:adjustRightInd w:val="0"/>
        <w:spacing w:after="0" w:line="20" w:lineRule="atLeast"/>
        <w:jc w:val="both"/>
        <w:rPr>
          <w:rFonts w:cstheme="minorHAnsi"/>
          <w:b/>
        </w:rPr>
      </w:pPr>
      <w:r w:rsidRPr="008B4F6D">
        <w:rPr>
          <w:rFonts w:cstheme="minorHAnsi"/>
          <w:b/>
        </w:rPr>
        <w:t xml:space="preserve">Note </w:t>
      </w:r>
    </w:p>
    <w:p w:rsidR="008B4F6D" w:rsidRPr="008B4F6D" w:rsidRDefault="008B4F6D" w:rsidP="008B4F6D">
      <w:pPr>
        <w:autoSpaceDE w:val="0"/>
        <w:autoSpaceDN w:val="0"/>
        <w:adjustRightInd w:val="0"/>
        <w:spacing w:after="0" w:line="20" w:lineRule="atLeast"/>
        <w:jc w:val="both"/>
        <w:rPr>
          <w:rFonts w:cstheme="minorHAnsi"/>
        </w:rPr>
      </w:pPr>
      <w:proofErr w:type="gramStart"/>
      <w:r w:rsidRPr="008B4F6D">
        <w:rPr>
          <w:rFonts w:cstheme="minorHAnsi"/>
        </w:rPr>
        <w:t>Viene  adottato</w:t>
      </w:r>
      <w:proofErr w:type="gramEnd"/>
      <w:r w:rsidRPr="008B4F6D">
        <w:rPr>
          <w:rFonts w:cstheme="minorHAnsi"/>
        </w:rPr>
        <w:t xml:space="preserve"> e il piano di rientro, denominato “</w:t>
      </w:r>
      <w:r w:rsidRPr="008B4F6D">
        <w:rPr>
          <w:rFonts w:cstheme="minorHAnsi"/>
          <w:iCs/>
        </w:rPr>
        <w:t>Piano di riorganizzazione, riqualificazione e sviluppo del Servizio Sanitario Regionale 2019-2021</w:t>
      </w:r>
      <w:r w:rsidRPr="008B4F6D">
        <w:rPr>
          <w:rFonts w:cstheme="minorHAnsi"/>
        </w:rPr>
        <w:t>”, ai sensi dell’art.2 comma 88, secondo periodo, L. 191/2009, di cui al documento allegato che costituisce parte integrante e sostanziale del presente decreto.</w:t>
      </w:r>
    </w:p>
    <w:p w:rsidR="008B4F6D" w:rsidRPr="008B4F6D" w:rsidRDefault="008B4F6D" w:rsidP="008B4F6D">
      <w:pPr>
        <w:autoSpaceDE w:val="0"/>
        <w:autoSpaceDN w:val="0"/>
        <w:adjustRightInd w:val="0"/>
        <w:spacing w:after="0" w:line="20" w:lineRule="atLeast"/>
        <w:jc w:val="both"/>
        <w:rPr>
          <w:rFonts w:cstheme="minorHAnsi"/>
        </w:rPr>
      </w:pPr>
      <w:r w:rsidRPr="008B4F6D">
        <w:rPr>
          <w:rFonts w:cstheme="minorHAnsi"/>
        </w:rPr>
        <w:t>In ottica di leale collaborazione con i Ministeri vigilanti, il presente piano,</w:t>
      </w:r>
    </w:p>
    <w:p w:rsidR="008B4F6D" w:rsidRDefault="008B4F6D" w:rsidP="008B4F6D">
      <w:pPr>
        <w:autoSpaceDE w:val="0"/>
        <w:autoSpaceDN w:val="0"/>
        <w:adjustRightInd w:val="0"/>
        <w:spacing w:after="0" w:line="20" w:lineRule="atLeast"/>
        <w:jc w:val="both"/>
        <w:rPr>
          <w:rFonts w:cstheme="minorHAnsi"/>
        </w:rPr>
      </w:pPr>
      <w:proofErr w:type="gramStart"/>
      <w:r w:rsidRPr="008B4F6D">
        <w:rPr>
          <w:rFonts w:cstheme="minorHAnsi"/>
        </w:rPr>
        <w:t>quale</w:t>
      </w:r>
      <w:proofErr w:type="gramEnd"/>
      <w:r w:rsidRPr="008B4F6D">
        <w:rPr>
          <w:rFonts w:cstheme="minorHAnsi"/>
        </w:rPr>
        <w:t xml:space="preserve"> aggiornamento del documento inviato lo scorso 28 marzo 2019, potrà essere soggetto ad eventuali adattamenti e/o correzioni, ove ritenuti necessari, per effetto dell’esame dello stesso da parte dei Ministeri</w:t>
      </w:r>
      <w:r>
        <w:rPr>
          <w:rFonts w:cstheme="minorHAnsi"/>
        </w:rPr>
        <w:t>.</w:t>
      </w:r>
    </w:p>
    <w:p w:rsidR="00D04FCC" w:rsidRPr="00520846" w:rsidRDefault="00D04FCC" w:rsidP="008B4F6D">
      <w:pPr>
        <w:autoSpaceDE w:val="0"/>
        <w:autoSpaceDN w:val="0"/>
        <w:adjustRightInd w:val="0"/>
        <w:spacing w:after="0" w:line="20" w:lineRule="atLeast"/>
        <w:jc w:val="both"/>
        <w:rPr>
          <w:rFonts w:cstheme="minorHAnsi"/>
        </w:rPr>
      </w:pPr>
    </w:p>
    <w:p w:rsidR="00D04FCC" w:rsidRPr="00520846" w:rsidRDefault="00D04FCC" w:rsidP="00D04FCC">
      <w:pPr>
        <w:autoSpaceDE w:val="0"/>
        <w:autoSpaceDN w:val="0"/>
        <w:adjustRightInd w:val="0"/>
        <w:spacing w:after="0" w:line="20" w:lineRule="atLeast"/>
        <w:jc w:val="both"/>
      </w:pPr>
      <w:r w:rsidRPr="00520846">
        <w:rPr>
          <w:b/>
        </w:rPr>
        <w:t>DCA 26 luglio 2019, n. U</w:t>
      </w:r>
      <w:proofErr w:type="gramStart"/>
      <w:r w:rsidRPr="00520846">
        <w:rPr>
          <w:b/>
        </w:rPr>
        <w:t>00306</w:t>
      </w:r>
      <w:r w:rsidRPr="00520846">
        <w:t>,  Definizione</w:t>
      </w:r>
      <w:proofErr w:type="gramEnd"/>
      <w:r w:rsidRPr="00520846">
        <w:t xml:space="preserve"> delle discipline/attività affini e complementari. (BUR n. 66 del 16.8.19)</w:t>
      </w:r>
    </w:p>
    <w:p w:rsidR="00D04FCC" w:rsidRPr="00520846" w:rsidRDefault="00D04FCC" w:rsidP="00D04FCC">
      <w:pPr>
        <w:autoSpaceDE w:val="0"/>
        <w:autoSpaceDN w:val="0"/>
        <w:adjustRightInd w:val="0"/>
        <w:spacing w:after="0" w:line="20" w:lineRule="atLeast"/>
        <w:jc w:val="both"/>
        <w:rPr>
          <w:b/>
        </w:rPr>
      </w:pPr>
      <w:r w:rsidRPr="00520846">
        <w:rPr>
          <w:b/>
        </w:rPr>
        <w:t>Note</w:t>
      </w:r>
    </w:p>
    <w:p w:rsidR="00D04FCC" w:rsidRPr="00520846" w:rsidRDefault="00D04FCC" w:rsidP="00D04FCC">
      <w:pPr>
        <w:autoSpaceDE w:val="0"/>
        <w:autoSpaceDN w:val="0"/>
        <w:adjustRightInd w:val="0"/>
        <w:spacing w:after="0" w:line="20" w:lineRule="atLeast"/>
        <w:jc w:val="both"/>
      </w:pPr>
      <w:r w:rsidRPr="00520846">
        <w:t xml:space="preserve">Viene </w:t>
      </w:r>
      <w:proofErr w:type="gramStart"/>
      <w:r w:rsidRPr="00520846">
        <w:t>approvato  l’allegato</w:t>
      </w:r>
      <w:proofErr w:type="gramEnd"/>
      <w:r w:rsidRPr="00520846">
        <w:t xml:space="preserve"> documento inerente la definizione delle attività affini e complementari utili al raggiungimento delle soglie di sottoscrivibilità dei contratti previste al paragrafo 2.5 dell’Allegato I al D.M. n. 70/2015, opportunamente integrata.</w:t>
      </w:r>
    </w:p>
    <w:p w:rsidR="00D04FCC" w:rsidRPr="00520846" w:rsidRDefault="00D04FCC" w:rsidP="00D04FCC">
      <w:pPr>
        <w:autoSpaceDE w:val="0"/>
        <w:autoSpaceDN w:val="0"/>
        <w:adjustRightInd w:val="0"/>
        <w:spacing w:after="0" w:line="20" w:lineRule="atLeast"/>
        <w:jc w:val="both"/>
      </w:pPr>
      <w:r w:rsidRPr="00520846">
        <w:t>Sono escluse dal presente provvedimento le strutture che erogano esclusivamente prestazioni di riabilitazione e lungodegenza, in assenza di attività per acuti, anche in considerazione di quanto specificatamente previsto dal punto 2.6 del D.M. 70/2015</w:t>
      </w:r>
    </w:p>
    <w:p w:rsidR="00D04FCC" w:rsidRPr="00520846" w:rsidRDefault="00D04FCC" w:rsidP="008B4F6D">
      <w:pPr>
        <w:autoSpaceDE w:val="0"/>
        <w:autoSpaceDN w:val="0"/>
        <w:adjustRightInd w:val="0"/>
        <w:spacing w:after="0" w:line="20" w:lineRule="atLeast"/>
        <w:jc w:val="both"/>
        <w:rPr>
          <w:rFonts w:cstheme="minorHAnsi"/>
        </w:rPr>
      </w:pPr>
    </w:p>
    <w:p w:rsidR="00520846" w:rsidRPr="00520846" w:rsidRDefault="00520846" w:rsidP="00520846">
      <w:pPr>
        <w:autoSpaceDE w:val="0"/>
        <w:autoSpaceDN w:val="0"/>
        <w:adjustRightInd w:val="0"/>
        <w:spacing w:after="0" w:line="20" w:lineRule="atLeast"/>
        <w:jc w:val="both"/>
      </w:pPr>
      <w:r w:rsidRPr="00520846">
        <w:rPr>
          <w:b/>
        </w:rPr>
        <w:t>DCA 30 luglio 2019, n. U</w:t>
      </w:r>
      <w:proofErr w:type="gramStart"/>
      <w:r w:rsidRPr="00520846">
        <w:rPr>
          <w:b/>
        </w:rPr>
        <w:t>00319</w:t>
      </w:r>
      <w:r w:rsidRPr="00520846">
        <w:t>,  D.M.</w:t>
      </w:r>
      <w:proofErr w:type="gramEnd"/>
      <w:r w:rsidRPr="00520846">
        <w:t xml:space="preserve"> 12 febbraio 2019 "Ripartizione del Fondo di 60 milioni di euro per la riduzione della quota fissa per ricetta di prestazioni di specialistica ambulatoriale" pubblicato sulla G.U. del 3 marzo 2019. Individuazione delle categorie vulnerabili per la riduzione della quota fissa sulla ricetta di specialistica ambulatoriale. (BUR n. 66 del 16.8.19)</w:t>
      </w:r>
    </w:p>
    <w:p w:rsidR="00520846" w:rsidRPr="00520846" w:rsidRDefault="00520846" w:rsidP="00520846">
      <w:pPr>
        <w:autoSpaceDE w:val="0"/>
        <w:autoSpaceDN w:val="0"/>
        <w:adjustRightInd w:val="0"/>
        <w:spacing w:after="0" w:line="20" w:lineRule="atLeast"/>
        <w:jc w:val="both"/>
        <w:rPr>
          <w:b/>
        </w:rPr>
      </w:pPr>
      <w:r w:rsidRPr="00520846">
        <w:rPr>
          <w:b/>
        </w:rPr>
        <w:t>Note</w:t>
      </w:r>
    </w:p>
    <w:p w:rsidR="00520846" w:rsidRPr="00520846" w:rsidRDefault="00520846" w:rsidP="00520846">
      <w:pPr>
        <w:autoSpaceDE w:val="0"/>
        <w:autoSpaceDN w:val="0"/>
        <w:adjustRightInd w:val="0"/>
        <w:spacing w:after="0" w:line="20" w:lineRule="atLeast"/>
        <w:jc w:val="both"/>
      </w:pPr>
      <w:r w:rsidRPr="00520846">
        <w:t xml:space="preserve">Con l’atto di organizzazione n. G02338 del 4 marzo 2019 è stata disposta </w:t>
      </w:r>
      <w:proofErr w:type="gramStart"/>
      <w:r w:rsidRPr="00520846">
        <w:t>l’ Istituzione</w:t>
      </w:r>
      <w:proofErr w:type="gramEnd"/>
      <w:r w:rsidRPr="00520846">
        <w:t xml:space="preserve"> gruppo di lavoro per l’individuazione delle iniziative per la riduzione della quota fissa ricetta </w:t>
      </w:r>
    </w:p>
    <w:p w:rsidR="00520846" w:rsidRPr="00520846" w:rsidRDefault="00520846" w:rsidP="00520846">
      <w:pPr>
        <w:autoSpaceDE w:val="0"/>
        <w:autoSpaceDN w:val="0"/>
        <w:adjustRightInd w:val="0"/>
        <w:spacing w:after="0" w:line="20" w:lineRule="atLeast"/>
        <w:jc w:val="both"/>
      </w:pPr>
      <w:r w:rsidRPr="00520846">
        <w:t>Il gruppo di lavoro ha formulato una proposta di alcune categorie di soggetti vulnerabili da condividere con le OO.SS.</w:t>
      </w:r>
    </w:p>
    <w:p w:rsidR="00520846" w:rsidRPr="00520846" w:rsidRDefault="00520846" w:rsidP="00520846">
      <w:pPr>
        <w:autoSpaceDE w:val="0"/>
        <w:autoSpaceDN w:val="0"/>
        <w:adjustRightInd w:val="0"/>
        <w:spacing w:after="0" w:line="20" w:lineRule="atLeast"/>
        <w:jc w:val="both"/>
      </w:pPr>
      <w:r w:rsidRPr="00520846">
        <w:t xml:space="preserve"> Con l’accordo siglato in data 30 luglio 2019, tra la Regione Lazio e le OO.SS. CGIL, CISL e UIL per l’abrogazione della quota fissa sulla ricetta sono state indicate le seguenti categorie vulnerabili: </w:t>
      </w:r>
    </w:p>
    <w:p w:rsidR="00520846" w:rsidRPr="00520846" w:rsidRDefault="00520846" w:rsidP="00520846">
      <w:pPr>
        <w:autoSpaceDE w:val="0"/>
        <w:autoSpaceDN w:val="0"/>
        <w:adjustRightInd w:val="0"/>
        <w:spacing w:after="0" w:line="20" w:lineRule="atLeast"/>
        <w:jc w:val="both"/>
      </w:pPr>
      <w:r w:rsidRPr="00520846">
        <w:t xml:space="preserve">a) i soggetti di età maggiore o uguale a 60 anni (e inferiore a 65 anni) con reddito familiare IRPEF inferiore ad € 36.151,98; </w:t>
      </w:r>
    </w:p>
    <w:p w:rsidR="00520846" w:rsidRPr="00520846" w:rsidRDefault="00520846" w:rsidP="00520846">
      <w:pPr>
        <w:autoSpaceDE w:val="0"/>
        <w:autoSpaceDN w:val="0"/>
        <w:adjustRightInd w:val="0"/>
        <w:spacing w:after="0" w:line="20" w:lineRule="atLeast"/>
        <w:jc w:val="both"/>
      </w:pPr>
      <w:r w:rsidRPr="00520846">
        <w:t xml:space="preserve">b) minori ospitati in strutture residenziali assistenziali; </w:t>
      </w:r>
    </w:p>
    <w:p w:rsidR="00520846" w:rsidRPr="00520846" w:rsidRDefault="00520846" w:rsidP="00520846">
      <w:pPr>
        <w:autoSpaceDE w:val="0"/>
        <w:autoSpaceDN w:val="0"/>
        <w:adjustRightInd w:val="0"/>
        <w:spacing w:after="0" w:line="20" w:lineRule="atLeast"/>
        <w:jc w:val="both"/>
      </w:pPr>
      <w:r w:rsidRPr="00520846">
        <w:t xml:space="preserve">c) minori in affidamento familiare; </w:t>
      </w:r>
    </w:p>
    <w:p w:rsidR="00520846" w:rsidRPr="00520846" w:rsidRDefault="00520846" w:rsidP="00520846">
      <w:pPr>
        <w:autoSpaceDE w:val="0"/>
        <w:autoSpaceDN w:val="0"/>
        <w:adjustRightInd w:val="0"/>
        <w:spacing w:after="0" w:line="20" w:lineRule="atLeast"/>
        <w:jc w:val="both"/>
      </w:pPr>
      <w:r w:rsidRPr="00520846">
        <w:t xml:space="preserve">d) cittadini ENI; </w:t>
      </w:r>
    </w:p>
    <w:p w:rsidR="00520846" w:rsidRPr="00520846" w:rsidRDefault="00520846" w:rsidP="00520846">
      <w:pPr>
        <w:autoSpaceDE w:val="0"/>
        <w:autoSpaceDN w:val="0"/>
        <w:adjustRightInd w:val="0"/>
        <w:spacing w:after="0" w:line="20" w:lineRule="atLeast"/>
        <w:jc w:val="both"/>
      </w:pPr>
      <w:r w:rsidRPr="00520846">
        <w:t>e) donne vittime di violenza e figli minori a carico, accolti in strutture residenziali</w:t>
      </w:r>
    </w:p>
    <w:p w:rsidR="00520846" w:rsidRPr="00520846" w:rsidRDefault="00520846" w:rsidP="00520846">
      <w:pPr>
        <w:autoSpaceDE w:val="0"/>
        <w:autoSpaceDN w:val="0"/>
        <w:adjustRightInd w:val="0"/>
        <w:spacing w:after="0" w:line="20" w:lineRule="atLeast"/>
        <w:jc w:val="both"/>
      </w:pPr>
      <w:r w:rsidRPr="00520846">
        <w:t xml:space="preserve">Viene pertanto recepita la proposta, e </w:t>
      </w:r>
      <w:proofErr w:type="gramStart"/>
      <w:r w:rsidRPr="00520846">
        <w:t>dato  mandato</w:t>
      </w:r>
      <w:proofErr w:type="gramEnd"/>
      <w:r w:rsidRPr="00520846">
        <w:t xml:space="preserve"> alla Direzione Regionale Salute e Integrazione Sociosanitaria ed alla società LazioCrea S.p.a. di adottare gli atti necessari a garantire l’attuazione di quanto previsto dal presente provvedimento.</w:t>
      </w:r>
    </w:p>
    <w:p w:rsidR="00520846" w:rsidRDefault="00520846" w:rsidP="00520846">
      <w:pPr>
        <w:autoSpaceDE w:val="0"/>
        <w:autoSpaceDN w:val="0"/>
        <w:adjustRightInd w:val="0"/>
        <w:spacing w:after="0" w:line="20" w:lineRule="atLeast"/>
        <w:jc w:val="both"/>
        <w:rPr>
          <w:b/>
          <w:color w:val="FF0000"/>
        </w:rPr>
      </w:pPr>
    </w:p>
    <w:p w:rsidR="007A5543" w:rsidRDefault="007A5543" w:rsidP="007A5543">
      <w:pPr>
        <w:spacing w:after="0" w:line="20" w:lineRule="atLeast"/>
        <w:jc w:val="both"/>
        <w:rPr>
          <w:rFonts w:cstheme="minorHAnsi"/>
        </w:rPr>
      </w:pPr>
      <w:r w:rsidRPr="006B0B81">
        <w:rPr>
          <w:rFonts w:cstheme="minorHAnsi"/>
          <w:b/>
        </w:rPr>
        <w:t>DCA 1 agosto 2019, n. U</w:t>
      </w:r>
      <w:proofErr w:type="gramStart"/>
      <w:r w:rsidRPr="006B0B81">
        <w:rPr>
          <w:rFonts w:cstheme="minorHAnsi"/>
          <w:b/>
        </w:rPr>
        <w:t>00322</w:t>
      </w:r>
      <w:r w:rsidRPr="006B0B81">
        <w:rPr>
          <w:rFonts w:cstheme="minorHAnsi"/>
        </w:rPr>
        <w:t>,  Approvazione</w:t>
      </w:r>
      <w:proofErr w:type="gramEnd"/>
      <w:r w:rsidRPr="006B0B81">
        <w:rPr>
          <w:rFonts w:cstheme="minorHAnsi"/>
        </w:rPr>
        <w:t xml:space="preserve"> dell'Atto Aziendale della ASL Roma 4.</w:t>
      </w:r>
      <w:r>
        <w:rPr>
          <w:rFonts w:cstheme="minorHAnsi"/>
        </w:rPr>
        <w:t xml:space="preserve"> (BUR n. 65 del 13.8.19)</w:t>
      </w:r>
    </w:p>
    <w:p w:rsidR="007A5543" w:rsidRPr="009B3050" w:rsidRDefault="007A5543" w:rsidP="007A5543">
      <w:pPr>
        <w:spacing w:after="0" w:line="20" w:lineRule="atLeast"/>
        <w:jc w:val="both"/>
        <w:rPr>
          <w:rFonts w:cstheme="minorHAnsi"/>
          <w:b/>
        </w:rPr>
      </w:pPr>
      <w:r w:rsidRPr="009B3050">
        <w:rPr>
          <w:rFonts w:cstheme="minorHAnsi"/>
          <w:b/>
        </w:rPr>
        <w:lastRenderedPageBreak/>
        <w:t>Note</w:t>
      </w:r>
    </w:p>
    <w:p w:rsidR="007A5543" w:rsidRDefault="007A5543" w:rsidP="007A5543">
      <w:pPr>
        <w:spacing w:after="0" w:line="20" w:lineRule="atLeast"/>
        <w:jc w:val="both"/>
        <w:rPr>
          <w:rFonts w:cstheme="minorHAnsi"/>
        </w:rPr>
      </w:pPr>
      <w:proofErr w:type="gramStart"/>
      <w:r w:rsidRPr="006B0B81">
        <w:rPr>
          <w:rFonts w:cstheme="minorHAnsi"/>
        </w:rPr>
        <w:t>Viene  approvato</w:t>
      </w:r>
      <w:proofErr w:type="gramEnd"/>
      <w:r w:rsidRPr="006B0B81">
        <w:rPr>
          <w:rFonts w:cstheme="minorHAnsi"/>
        </w:rPr>
        <w:t xml:space="preserve">  l’Atto Aziendale ASL Roma 4 adottato dal Commissario Straordinario con la deliberazione n. 1131 del 16.07.2019, che sostituisce il precedente Atto Aziendale approvato con il DCA n. U00114/2015, la cui copia, custodita presso gli Uffici della Direzione Regionale Salute e Integrazione Socio Sanitaria, sarà pubblicata sul BURL unitamente al presente provvedimento</w:t>
      </w:r>
      <w:r>
        <w:rPr>
          <w:rFonts w:cstheme="minorHAnsi"/>
        </w:rPr>
        <w:t>.</w:t>
      </w:r>
    </w:p>
    <w:p w:rsidR="001721FE" w:rsidRPr="001721FE" w:rsidRDefault="001721FE" w:rsidP="007A5543">
      <w:pPr>
        <w:spacing w:after="0" w:line="20" w:lineRule="atLeast"/>
        <w:jc w:val="both"/>
        <w:rPr>
          <w:rFonts w:cstheme="minorHAnsi"/>
          <w:b/>
        </w:rPr>
      </w:pPr>
      <w:r w:rsidRPr="001721FE">
        <w:rPr>
          <w:rFonts w:cstheme="minorHAnsi"/>
          <w:b/>
        </w:rPr>
        <w:t>NB</w:t>
      </w:r>
    </w:p>
    <w:p w:rsidR="001721FE" w:rsidRPr="001721FE" w:rsidRDefault="001721FE" w:rsidP="007A5543">
      <w:pPr>
        <w:spacing w:after="0" w:line="20" w:lineRule="atLeast"/>
        <w:jc w:val="both"/>
        <w:rPr>
          <w:rFonts w:cstheme="minorHAnsi"/>
          <w:b/>
        </w:rPr>
      </w:pPr>
      <w:r w:rsidRPr="001721FE">
        <w:rPr>
          <w:rFonts w:cstheme="minorHAnsi"/>
          <w:b/>
        </w:rPr>
        <w:t>SI FA RINVIO ALLA LETTURA INTEGRALE DEL TESTO</w:t>
      </w:r>
    </w:p>
    <w:p w:rsidR="00457A53" w:rsidRDefault="00457A53" w:rsidP="007A5543">
      <w:pPr>
        <w:spacing w:after="0" w:line="20" w:lineRule="atLeast"/>
        <w:jc w:val="both"/>
        <w:rPr>
          <w:rFonts w:cstheme="minorHAnsi"/>
        </w:rPr>
      </w:pPr>
    </w:p>
    <w:p w:rsidR="00457A53" w:rsidRPr="00457A53" w:rsidRDefault="00457A53" w:rsidP="00457A53">
      <w:pPr>
        <w:spacing w:after="0" w:line="20" w:lineRule="atLeast"/>
        <w:jc w:val="both"/>
      </w:pPr>
      <w:r w:rsidRPr="00457A53">
        <w:rPr>
          <w:b/>
        </w:rPr>
        <w:t xml:space="preserve">DGR 30 luglio 2019, n. </w:t>
      </w:r>
      <w:proofErr w:type="gramStart"/>
      <w:r w:rsidRPr="00457A53">
        <w:rPr>
          <w:b/>
        </w:rPr>
        <w:t>521</w:t>
      </w:r>
      <w:r w:rsidRPr="00457A53">
        <w:t>,  Obiettivi</w:t>
      </w:r>
      <w:proofErr w:type="gramEnd"/>
      <w:r w:rsidRPr="00457A53">
        <w:t xml:space="preserve"> di mandato dei direttori generali delle Aziende sanitarie disciplinato da contratto di prestazione d’opera intellettuale stipulato in conformità all’apposito schema approvato dalla Giunta regionale ed il relativo trattamento economico. (BUR n. 66 del 16.8.19)</w:t>
      </w:r>
    </w:p>
    <w:p w:rsidR="00457A53" w:rsidRPr="00457A53" w:rsidRDefault="00457A53" w:rsidP="00457A53">
      <w:pPr>
        <w:spacing w:after="0" w:line="20" w:lineRule="atLeast"/>
        <w:jc w:val="both"/>
        <w:rPr>
          <w:b/>
        </w:rPr>
      </w:pPr>
      <w:r w:rsidRPr="00457A53">
        <w:rPr>
          <w:b/>
        </w:rPr>
        <w:t>Note</w:t>
      </w:r>
    </w:p>
    <w:p w:rsidR="00457A53" w:rsidRPr="00457A53" w:rsidRDefault="00457A53" w:rsidP="00457A53">
      <w:pPr>
        <w:spacing w:after="0" w:line="20" w:lineRule="atLeast"/>
        <w:jc w:val="both"/>
      </w:pPr>
      <w:r w:rsidRPr="00457A53">
        <w:t xml:space="preserve">Vengono </w:t>
      </w:r>
      <w:proofErr w:type="gramStart"/>
      <w:r w:rsidRPr="00457A53">
        <w:t>approvati  gli</w:t>
      </w:r>
      <w:proofErr w:type="gramEnd"/>
      <w:r w:rsidRPr="00457A53">
        <w:t xml:space="preserve"> obiettivi da assegnare ai direttori generali alla stipula del contratto, concernenti i seguenti ambiti: </w:t>
      </w:r>
    </w:p>
    <w:p w:rsidR="00457A53" w:rsidRPr="00457A53" w:rsidRDefault="00457A53" w:rsidP="00D52790">
      <w:pPr>
        <w:pStyle w:val="Paragrafoelenco"/>
        <w:numPr>
          <w:ilvl w:val="0"/>
          <w:numId w:val="5"/>
        </w:numPr>
        <w:spacing w:after="0" w:line="20" w:lineRule="atLeast"/>
        <w:jc w:val="both"/>
      </w:pPr>
      <w:proofErr w:type="gramStart"/>
      <w:r w:rsidRPr="00457A53">
        <w:t>tempi</w:t>
      </w:r>
      <w:proofErr w:type="gramEnd"/>
      <w:r w:rsidRPr="00457A53">
        <w:t xml:space="preserve"> di attesa delle prestazioni sanitarie; </w:t>
      </w:r>
    </w:p>
    <w:p w:rsidR="00457A53" w:rsidRPr="00457A53" w:rsidRDefault="00457A53" w:rsidP="00D52790">
      <w:pPr>
        <w:pStyle w:val="Paragrafoelenco"/>
        <w:numPr>
          <w:ilvl w:val="0"/>
          <w:numId w:val="5"/>
        </w:numPr>
        <w:spacing w:after="0" w:line="20" w:lineRule="atLeast"/>
        <w:jc w:val="both"/>
      </w:pPr>
      <w:proofErr w:type="gramStart"/>
      <w:r w:rsidRPr="00457A53">
        <w:t>piano</w:t>
      </w:r>
      <w:proofErr w:type="gramEnd"/>
      <w:r w:rsidRPr="00457A53">
        <w:t xml:space="preserve"> economico finanziario; </w:t>
      </w:r>
    </w:p>
    <w:p w:rsidR="00457A53" w:rsidRPr="00457A53" w:rsidRDefault="00457A53" w:rsidP="00D52790">
      <w:pPr>
        <w:pStyle w:val="Paragrafoelenco"/>
        <w:numPr>
          <w:ilvl w:val="0"/>
          <w:numId w:val="5"/>
        </w:numPr>
        <w:spacing w:after="0" w:line="20" w:lineRule="atLeast"/>
        <w:jc w:val="both"/>
      </w:pPr>
      <w:proofErr w:type="gramStart"/>
      <w:r w:rsidRPr="00457A53">
        <w:t>piano</w:t>
      </w:r>
      <w:proofErr w:type="gramEnd"/>
      <w:r w:rsidRPr="00457A53">
        <w:t xml:space="preserve"> regionale cronicità; </w:t>
      </w:r>
    </w:p>
    <w:p w:rsidR="00457A53" w:rsidRPr="00457A53" w:rsidRDefault="00457A53" w:rsidP="00D52790">
      <w:pPr>
        <w:pStyle w:val="Paragrafoelenco"/>
        <w:numPr>
          <w:ilvl w:val="0"/>
          <w:numId w:val="5"/>
        </w:numPr>
        <w:spacing w:after="0" w:line="20" w:lineRule="atLeast"/>
        <w:jc w:val="both"/>
      </w:pPr>
      <w:proofErr w:type="gramStart"/>
      <w:r w:rsidRPr="00457A53">
        <w:t>iniziative</w:t>
      </w:r>
      <w:proofErr w:type="gramEnd"/>
      <w:r w:rsidRPr="00457A53">
        <w:t xml:space="preserve"> sovraziendali; </w:t>
      </w:r>
    </w:p>
    <w:p w:rsidR="00457A53" w:rsidRPr="00457A53" w:rsidRDefault="00457A53" w:rsidP="00D52790">
      <w:pPr>
        <w:pStyle w:val="Paragrafoelenco"/>
        <w:numPr>
          <w:ilvl w:val="0"/>
          <w:numId w:val="5"/>
        </w:numPr>
        <w:spacing w:after="0" w:line="20" w:lineRule="atLeast"/>
        <w:jc w:val="both"/>
      </w:pPr>
      <w:proofErr w:type="gramStart"/>
      <w:r w:rsidRPr="00457A53">
        <w:t>prevenzione</w:t>
      </w:r>
      <w:proofErr w:type="gramEnd"/>
      <w:r w:rsidRPr="00457A53">
        <w:t xml:space="preserve">; </w:t>
      </w:r>
    </w:p>
    <w:p w:rsidR="00457A53" w:rsidRPr="00BC079D" w:rsidRDefault="00457A53" w:rsidP="00D52790">
      <w:pPr>
        <w:pStyle w:val="Paragrafoelenco"/>
        <w:numPr>
          <w:ilvl w:val="0"/>
          <w:numId w:val="5"/>
        </w:numPr>
        <w:spacing w:after="0" w:line="20" w:lineRule="atLeast"/>
        <w:jc w:val="both"/>
      </w:pPr>
      <w:proofErr w:type="gramStart"/>
      <w:r w:rsidRPr="00457A53">
        <w:t>appropriatezza</w:t>
      </w:r>
      <w:proofErr w:type="gramEnd"/>
      <w:r w:rsidRPr="00457A53">
        <w:t xml:space="preserve"> </w:t>
      </w:r>
      <w:r w:rsidRPr="00BC079D">
        <w:t xml:space="preserve">organizzativa e qualità dell’assistenza. </w:t>
      </w:r>
    </w:p>
    <w:p w:rsidR="001721FE" w:rsidRPr="00BC079D" w:rsidRDefault="001721FE" w:rsidP="001721FE">
      <w:pPr>
        <w:spacing w:after="0" w:line="20" w:lineRule="atLeast"/>
        <w:jc w:val="both"/>
      </w:pPr>
    </w:p>
    <w:p w:rsidR="001721FE" w:rsidRPr="00BC079D" w:rsidRDefault="001721FE" w:rsidP="001721FE">
      <w:pPr>
        <w:autoSpaceDE w:val="0"/>
        <w:autoSpaceDN w:val="0"/>
        <w:adjustRightInd w:val="0"/>
        <w:spacing w:after="0" w:line="20" w:lineRule="atLeast"/>
        <w:jc w:val="both"/>
      </w:pPr>
      <w:r w:rsidRPr="00BC079D">
        <w:rPr>
          <w:b/>
        </w:rPr>
        <w:t>DCA 1 agosto 2019, n. U</w:t>
      </w:r>
      <w:proofErr w:type="gramStart"/>
      <w:r w:rsidRPr="00BC079D">
        <w:rPr>
          <w:b/>
        </w:rPr>
        <w:t>00323</w:t>
      </w:r>
      <w:r w:rsidRPr="00BC079D">
        <w:t>,  Definizione</w:t>
      </w:r>
      <w:proofErr w:type="gramEnd"/>
      <w:r w:rsidRPr="00BC079D">
        <w:t xml:space="preserve"> del livello massimo di finanziamento per l'anno 2019 per le prestazioni, erogate da strutture private accreditate con onere a carico del SSR, di riabilitazione territoriale intensiva, estensiva e di mantenimento rivolta a persone con disabilità fisica, psichica e sensoriale. (BUR n. 67 del 20.8.19</w:t>
      </w:r>
      <w:r w:rsidR="00BD6350">
        <w:t>).</w:t>
      </w:r>
    </w:p>
    <w:p w:rsidR="001721FE" w:rsidRPr="00BC079D" w:rsidRDefault="001721FE" w:rsidP="001721FE">
      <w:pPr>
        <w:autoSpaceDE w:val="0"/>
        <w:autoSpaceDN w:val="0"/>
        <w:adjustRightInd w:val="0"/>
        <w:spacing w:after="0" w:line="20" w:lineRule="atLeast"/>
        <w:jc w:val="both"/>
        <w:rPr>
          <w:b/>
        </w:rPr>
      </w:pPr>
      <w:r w:rsidRPr="00BC079D">
        <w:rPr>
          <w:b/>
        </w:rPr>
        <w:t>Note</w:t>
      </w:r>
    </w:p>
    <w:p w:rsidR="001721FE" w:rsidRPr="00BC079D" w:rsidRDefault="001721FE" w:rsidP="001721FE">
      <w:pPr>
        <w:autoSpaceDE w:val="0"/>
        <w:autoSpaceDN w:val="0"/>
        <w:adjustRightInd w:val="0"/>
        <w:spacing w:after="0" w:line="20" w:lineRule="atLeast"/>
        <w:jc w:val="both"/>
      </w:pPr>
      <w:proofErr w:type="gramStart"/>
      <w:r w:rsidRPr="00BC079D">
        <w:t>Viene  assegnato</w:t>
      </w:r>
      <w:proofErr w:type="gramEnd"/>
      <w:r w:rsidRPr="00BC079D">
        <w:t xml:space="preserve">  alle Aziende Sanitarie del Lazio il livello massimo di finanziamento pari a complessivi euro 219.932.000,00 per l’anno 2019 (Allegato A), per le strutture accreditate per l’erogazione di prestazioni di Riabilitazione territoriale intensiva, estensiva e di mantenimento rivolta a persone con disabilità fisica, psichica e sensoriale.</w:t>
      </w:r>
    </w:p>
    <w:p w:rsidR="001721FE" w:rsidRPr="00BC079D" w:rsidRDefault="001721FE" w:rsidP="001721FE">
      <w:pPr>
        <w:autoSpaceDE w:val="0"/>
        <w:autoSpaceDN w:val="0"/>
        <w:adjustRightInd w:val="0"/>
        <w:spacing w:after="0" w:line="20" w:lineRule="atLeast"/>
        <w:jc w:val="both"/>
      </w:pPr>
    </w:p>
    <w:p w:rsidR="001721FE" w:rsidRPr="00BC079D" w:rsidRDefault="001721FE" w:rsidP="001721FE">
      <w:pPr>
        <w:autoSpaceDE w:val="0"/>
        <w:autoSpaceDN w:val="0"/>
        <w:adjustRightInd w:val="0"/>
        <w:spacing w:after="0" w:line="20" w:lineRule="atLeast"/>
        <w:jc w:val="both"/>
      </w:pPr>
      <w:r w:rsidRPr="00BC079D">
        <w:rPr>
          <w:b/>
        </w:rPr>
        <w:t>DCA 1 agosto 2019, n. U</w:t>
      </w:r>
      <w:proofErr w:type="gramStart"/>
      <w:r w:rsidRPr="00BC079D">
        <w:rPr>
          <w:b/>
        </w:rPr>
        <w:t>00324</w:t>
      </w:r>
      <w:r w:rsidRPr="00BC079D">
        <w:t>,  Indicatori</w:t>
      </w:r>
      <w:proofErr w:type="gramEnd"/>
      <w:r w:rsidRPr="00BC079D">
        <w:t xml:space="preserve"> di appropriatezza farmaceutica regionali. (BUR n. 67 del 20.8.19)</w:t>
      </w:r>
    </w:p>
    <w:p w:rsidR="001721FE" w:rsidRPr="00BC079D" w:rsidRDefault="001721FE" w:rsidP="001721FE">
      <w:pPr>
        <w:autoSpaceDE w:val="0"/>
        <w:autoSpaceDN w:val="0"/>
        <w:adjustRightInd w:val="0"/>
        <w:spacing w:after="0" w:line="20" w:lineRule="atLeast"/>
        <w:jc w:val="both"/>
        <w:rPr>
          <w:b/>
        </w:rPr>
      </w:pPr>
      <w:r w:rsidRPr="00BC079D">
        <w:rPr>
          <w:b/>
        </w:rPr>
        <w:t>Note</w:t>
      </w:r>
    </w:p>
    <w:p w:rsidR="001721FE" w:rsidRPr="00BC079D" w:rsidRDefault="001721FE" w:rsidP="001721FE">
      <w:pPr>
        <w:autoSpaceDE w:val="0"/>
        <w:autoSpaceDN w:val="0"/>
        <w:adjustRightInd w:val="0"/>
        <w:spacing w:after="0" w:line="20" w:lineRule="atLeast"/>
        <w:jc w:val="both"/>
      </w:pPr>
      <w:r w:rsidRPr="00BC079D">
        <w:t xml:space="preserve">Viene recepito il documento “Indicatori di appropriatezza farmaceutica regionali -2019/2020”. </w:t>
      </w:r>
    </w:p>
    <w:p w:rsidR="001721FE" w:rsidRPr="00BC079D" w:rsidRDefault="001721FE" w:rsidP="001721FE">
      <w:pPr>
        <w:autoSpaceDE w:val="0"/>
        <w:autoSpaceDN w:val="0"/>
        <w:adjustRightInd w:val="0"/>
        <w:spacing w:after="0" w:line="20" w:lineRule="atLeast"/>
        <w:jc w:val="both"/>
      </w:pPr>
      <w:r w:rsidRPr="00BC079D">
        <w:t xml:space="preserve">Viene </w:t>
      </w:r>
      <w:proofErr w:type="gramStart"/>
      <w:r w:rsidRPr="00BC079D">
        <w:t>dato  mandato</w:t>
      </w:r>
      <w:proofErr w:type="gramEnd"/>
      <w:r w:rsidRPr="00BC079D">
        <w:t xml:space="preserve"> ai Direttori Generali delle Aziende Sanitarie, delle Aziende Ospedaliere, dei Policlinici Universitari e degli Istituti di Ricovero e Cura a Carattere Scientifico, di adottare i provvedimenti necessari alla completa diffusione e osservanza del presente decreto in tutte le strutture di competenza</w:t>
      </w:r>
    </w:p>
    <w:p w:rsidR="001721FE" w:rsidRPr="00BC079D" w:rsidRDefault="001721FE" w:rsidP="001721FE">
      <w:pPr>
        <w:autoSpaceDE w:val="0"/>
        <w:autoSpaceDN w:val="0"/>
        <w:adjustRightInd w:val="0"/>
        <w:spacing w:after="0" w:line="20" w:lineRule="atLeast"/>
        <w:jc w:val="both"/>
      </w:pPr>
      <w:r w:rsidRPr="00BC079D">
        <w:t xml:space="preserve">Viene disposto di monitorare attraverso i servizi farmaceutici aziendali e le CAP Distrettuali, l’applicazione del documento per la verifica dell’efficacia e dell’appropriatezza. </w:t>
      </w:r>
    </w:p>
    <w:p w:rsidR="001721FE" w:rsidRPr="00BC079D" w:rsidRDefault="001721FE" w:rsidP="001721FE">
      <w:pPr>
        <w:autoSpaceDE w:val="0"/>
        <w:autoSpaceDN w:val="0"/>
        <w:adjustRightInd w:val="0"/>
        <w:spacing w:after="0" w:line="20" w:lineRule="atLeast"/>
        <w:jc w:val="both"/>
      </w:pPr>
    </w:p>
    <w:p w:rsidR="001721FE" w:rsidRPr="00BC079D" w:rsidRDefault="001721FE" w:rsidP="001721FE">
      <w:pPr>
        <w:autoSpaceDE w:val="0"/>
        <w:autoSpaceDN w:val="0"/>
        <w:adjustRightInd w:val="0"/>
        <w:spacing w:after="0" w:line="20" w:lineRule="atLeast"/>
        <w:jc w:val="both"/>
      </w:pPr>
      <w:r w:rsidRPr="00BC079D">
        <w:rPr>
          <w:b/>
        </w:rPr>
        <w:t xml:space="preserve">DGR 2 agosto 2019, n. </w:t>
      </w:r>
      <w:proofErr w:type="gramStart"/>
      <w:r w:rsidRPr="00BC079D">
        <w:rPr>
          <w:b/>
        </w:rPr>
        <w:t>574,</w:t>
      </w:r>
      <w:r w:rsidRPr="00BC079D">
        <w:t xml:space="preserve">  Revoca</w:t>
      </w:r>
      <w:proofErr w:type="gramEnd"/>
      <w:r w:rsidRPr="00BC079D">
        <w:t xml:space="preserve"> della DGR n.174 del 10/07/2013. Approvazione "Linee di indirizzo regionali recanti i criteri e le procedure per il conferimento degli incarichi di direzione di struttura complessa del ruolo sanitario nelle Aziende ed Enti del Servizio Sanitario Regionale in applicazione dell'art. 4 del D.L. n. 158/2012, convertito dalla Legge n. 189/2012". Integrazione al Protocollo d'intesa tra Regione Lazio e il Comando Regionale Lazio della Guardia di Finanza approvato con DGR n. 287 del 06/06/2017. (BUR n. 67 del 20.8.19)</w:t>
      </w:r>
    </w:p>
    <w:p w:rsidR="001721FE" w:rsidRPr="00BC079D" w:rsidRDefault="001721FE" w:rsidP="001721FE">
      <w:pPr>
        <w:autoSpaceDE w:val="0"/>
        <w:autoSpaceDN w:val="0"/>
        <w:adjustRightInd w:val="0"/>
        <w:spacing w:after="0" w:line="20" w:lineRule="atLeast"/>
        <w:jc w:val="both"/>
        <w:rPr>
          <w:b/>
        </w:rPr>
      </w:pPr>
      <w:r w:rsidRPr="00BC079D">
        <w:rPr>
          <w:b/>
        </w:rPr>
        <w:t>Note</w:t>
      </w:r>
    </w:p>
    <w:p w:rsidR="001721FE" w:rsidRPr="00BC079D" w:rsidRDefault="001721FE" w:rsidP="001721FE">
      <w:pPr>
        <w:autoSpaceDE w:val="0"/>
        <w:autoSpaceDN w:val="0"/>
        <w:adjustRightInd w:val="0"/>
        <w:spacing w:after="0" w:line="20" w:lineRule="atLeast"/>
        <w:jc w:val="both"/>
      </w:pPr>
      <w:r w:rsidRPr="00BC079D">
        <w:t>Viene revocata la DGR n.174 del 10 luglio 2013 concernente “direttiva regionale sui criteri e sulle procedure per il conferimento degli incarichi di Direzione di Struttura Complessa nelle Aziende ed Enti del servizio Sanitario Regionale”.</w:t>
      </w:r>
    </w:p>
    <w:p w:rsidR="001721FE" w:rsidRPr="00BC079D" w:rsidRDefault="001721FE" w:rsidP="001721FE">
      <w:pPr>
        <w:autoSpaceDE w:val="0"/>
        <w:autoSpaceDN w:val="0"/>
        <w:adjustRightInd w:val="0"/>
        <w:spacing w:after="0" w:line="20" w:lineRule="atLeast"/>
        <w:jc w:val="both"/>
      </w:pPr>
      <w:r w:rsidRPr="00BC079D">
        <w:t>Vengono approvate le “Linee di indirizzo regionali recanti i criteri e le procedure per il conferimento degli incarichi di direzione di struttura complessa del ruolo sanitario nelle Aziende ed Enti del Servizio Sanitario Regionale in applicazione dell’art. 4 del D.L. n. 158/2012</w:t>
      </w:r>
    </w:p>
    <w:p w:rsidR="001721FE" w:rsidRPr="00BC079D" w:rsidRDefault="001721FE" w:rsidP="001721FE">
      <w:pPr>
        <w:spacing w:after="0" w:line="20" w:lineRule="atLeast"/>
        <w:jc w:val="both"/>
      </w:pPr>
      <w:r w:rsidRPr="00BC079D">
        <w:lastRenderedPageBreak/>
        <w:t>Viene dato atto che il Protocollo d’intesa tra la Regione Lazio e il Comando Regionale della Guardia di Finanza stipulato in data 8/6/2017, nello spirito di proseguire nella proficua collaborazione istituzionale già avviata, ricomprende tra le attività disciplinate nello stesso anche le fasi prodromiche relative alle procedure di conferimento di incarico di direttore di Unità Operativa Complessa</w:t>
      </w:r>
      <w:r w:rsidR="00BC079D" w:rsidRPr="00BC079D">
        <w:t>.</w:t>
      </w:r>
    </w:p>
    <w:p w:rsidR="00AB63AE" w:rsidRDefault="00AB63AE" w:rsidP="00AB63AE">
      <w:pPr>
        <w:spacing w:after="0" w:line="20" w:lineRule="atLeast"/>
        <w:jc w:val="both"/>
      </w:pPr>
    </w:p>
    <w:p w:rsidR="00AB63AE" w:rsidRPr="00AB63AE" w:rsidRDefault="00AB63AE" w:rsidP="00AB63AE">
      <w:pPr>
        <w:spacing w:after="0" w:line="20" w:lineRule="atLeast"/>
        <w:jc w:val="both"/>
      </w:pPr>
      <w:r w:rsidRPr="00AB63AE">
        <w:rPr>
          <w:b/>
        </w:rPr>
        <w:t>DCA 7 agosto 2019, n. U</w:t>
      </w:r>
      <w:proofErr w:type="gramStart"/>
      <w:r w:rsidRPr="00AB63AE">
        <w:rPr>
          <w:b/>
        </w:rPr>
        <w:t>00352</w:t>
      </w:r>
      <w:r w:rsidRPr="00AB63AE">
        <w:t>,  Istituzione</w:t>
      </w:r>
      <w:proofErr w:type="gramEnd"/>
      <w:r w:rsidRPr="00AB63AE">
        <w:t xml:space="preserve"> del Coordinamento Regionale della Rete Nefrologica Ospedale – Territorio, ex lettera i, comma 5, art.1 DM 70/2015. (BUR n. 69 del 27.8.19)</w:t>
      </w:r>
    </w:p>
    <w:p w:rsidR="00AB63AE" w:rsidRPr="00AB63AE" w:rsidRDefault="00AB63AE" w:rsidP="00AB63AE">
      <w:pPr>
        <w:spacing w:after="0" w:line="20" w:lineRule="atLeast"/>
        <w:jc w:val="both"/>
        <w:rPr>
          <w:b/>
        </w:rPr>
      </w:pPr>
      <w:r w:rsidRPr="00AB63AE">
        <w:rPr>
          <w:b/>
        </w:rPr>
        <w:t xml:space="preserve">PREMESSA </w:t>
      </w:r>
    </w:p>
    <w:p w:rsidR="00AB63AE" w:rsidRPr="00AB63AE" w:rsidRDefault="00AB63AE" w:rsidP="00AB63AE">
      <w:pPr>
        <w:spacing w:after="0" w:line="20" w:lineRule="atLeast"/>
        <w:jc w:val="both"/>
      </w:pPr>
      <w:r w:rsidRPr="00AB63AE">
        <w:t xml:space="preserve">La Legge Regionale del 30 aprile 1979 n. 39 recante “Norme per l’esercizio dell’emodialisi nel Lazio” e prevede la presenza di una Commissione Regionale di Vigilanza composta da due funzionari medici della Regione, da due medici esperti in emodialisi, e da due rappresentanti dell’associazione nazionale emodializzati con le seguenti funzioni: </w:t>
      </w:r>
    </w:p>
    <w:p w:rsidR="00AB63AE" w:rsidRPr="00AB63AE" w:rsidRDefault="00AB63AE" w:rsidP="00AB63AE">
      <w:pPr>
        <w:spacing w:after="0" w:line="20" w:lineRule="atLeast"/>
        <w:jc w:val="both"/>
      </w:pPr>
      <w:r w:rsidRPr="00AB63AE">
        <w:t xml:space="preserve">1) accertare che i servizi di emodialisi ubicati presso le strutture private e quelli di emodialisi domiciliari e ad assistenza limitata siano in possesso dei requisiti previsti dalla presente legge; </w:t>
      </w:r>
    </w:p>
    <w:p w:rsidR="00AB63AE" w:rsidRPr="00AB63AE" w:rsidRDefault="00AB63AE" w:rsidP="00AB63AE">
      <w:pPr>
        <w:spacing w:after="0" w:line="20" w:lineRule="atLeast"/>
        <w:jc w:val="both"/>
      </w:pPr>
      <w:r w:rsidRPr="00AB63AE">
        <w:t xml:space="preserve">2) esprimere pareri e proposte per la formulazione del piano di cui all’articolo 17; </w:t>
      </w:r>
    </w:p>
    <w:p w:rsidR="00AB63AE" w:rsidRPr="00AB63AE" w:rsidRDefault="00AB63AE" w:rsidP="00AB63AE">
      <w:pPr>
        <w:spacing w:after="0" w:line="20" w:lineRule="atLeast"/>
        <w:jc w:val="both"/>
      </w:pPr>
      <w:r w:rsidRPr="00AB63AE">
        <w:t xml:space="preserve">3) procedere alla valutazione statistica dei dati risultanti dalle schede di cui all’articolo 2; </w:t>
      </w:r>
    </w:p>
    <w:p w:rsidR="00AB63AE" w:rsidRPr="00AB63AE" w:rsidRDefault="00AB63AE" w:rsidP="00AB63AE">
      <w:pPr>
        <w:spacing w:after="0" w:line="20" w:lineRule="atLeast"/>
        <w:jc w:val="both"/>
      </w:pPr>
      <w:r w:rsidRPr="00AB63AE">
        <w:t>4) proporre i provvedimenti conseguenti all’attività di vigilanza.</w:t>
      </w:r>
    </w:p>
    <w:p w:rsidR="00AB63AE" w:rsidRPr="00AB63AE" w:rsidRDefault="00AB63AE" w:rsidP="00AB63AE">
      <w:pPr>
        <w:spacing w:after="0" w:line="20" w:lineRule="atLeast"/>
        <w:jc w:val="both"/>
        <w:rPr>
          <w:b/>
        </w:rPr>
      </w:pPr>
      <w:r w:rsidRPr="00AB63AE">
        <w:rPr>
          <w:b/>
        </w:rPr>
        <w:t xml:space="preserve">LA DISPOSIZIONE </w:t>
      </w:r>
    </w:p>
    <w:p w:rsidR="00AB63AE" w:rsidRPr="00AB63AE" w:rsidRDefault="00AB63AE" w:rsidP="00AB63AE">
      <w:pPr>
        <w:spacing w:after="0" w:line="20" w:lineRule="atLeast"/>
        <w:jc w:val="both"/>
      </w:pPr>
      <w:r w:rsidRPr="00AB63AE">
        <w:t>Viene istituito il Coordinamento Regionale della Rete Nefrologica Ospedale-Territorio che, oltre alle funzioni previste per la Commissione di Vigilanza</w:t>
      </w:r>
      <w:r w:rsidR="00BC079D">
        <w:t xml:space="preserve"> </w:t>
      </w:r>
      <w:r w:rsidRPr="00AB63AE">
        <w:t xml:space="preserve">ha anche il compito di formulare proposte sui seguenti temi: </w:t>
      </w:r>
    </w:p>
    <w:p w:rsidR="00AB63AE" w:rsidRPr="00AB63AE" w:rsidRDefault="00AB63AE" w:rsidP="00AB63AE">
      <w:pPr>
        <w:spacing w:after="0" w:line="20" w:lineRule="atLeast"/>
        <w:jc w:val="both"/>
      </w:pPr>
      <w:r w:rsidRPr="00AB63AE">
        <w:t xml:space="preserve">- il modello di rete clinico assistenziale integrata per le cure nefrologiche e delle attività di trapianto; </w:t>
      </w:r>
    </w:p>
    <w:p w:rsidR="00AB63AE" w:rsidRPr="00AB63AE" w:rsidRDefault="00AB63AE" w:rsidP="00AB63AE">
      <w:pPr>
        <w:spacing w:after="0" w:line="20" w:lineRule="atLeast"/>
        <w:jc w:val="both"/>
      </w:pPr>
      <w:r w:rsidRPr="00AB63AE">
        <w:sym w:font="Symbol" w:char="F02D"/>
      </w:r>
      <w:r w:rsidRPr="00AB63AE">
        <w:t xml:space="preserve"> </w:t>
      </w:r>
      <w:proofErr w:type="gramStart"/>
      <w:r w:rsidRPr="00AB63AE">
        <w:t>l’integrazione</w:t>
      </w:r>
      <w:proofErr w:type="gramEnd"/>
      <w:r w:rsidRPr="00AB63AE">
        <w:t xml:space="preserve"> ospedale – territorio; </w:t>
      </w:r>
    </w:p>
    <w:p w:rsidR="00AB63AE" w:rsidRPr="00AB63AE" w:rsidRDefault="00AB63AE" w:rsidP="00AB63AE">
      <w:pPr>
        <w:spacing w:after="0" w:line="20" w:lineRule="atLeast"/>
        <w:jc w:val="both"/>
      </w:pPr>
      <w:r w:rsidRPr="00AB63AE">
        <w:sym w:font="Symbol" w:char="F02D"/>
      </w:r>
      <w:r w:rsidRPr="00AB63AE">
        <w:t xml:space="preserve"> </w:t>
      </w:r>
      <w:proofErr w:type="gramStart"/>
      <w:r w:rsidRPr="00AB63AE">
        <w:t>il</w:t>
      </w:r>
      <w:proofErr w:type="gramEnd"/>
      <w:r w:rsidRPr="00AB63AE">
        <w:t xml:space="preserve"> coordinamento dei programmi di prevenzione; </w:t>
      </w:r>
    </w:p>
    <w:p w:rsidR="00AB63AE" w:rsidRPr="00AB63AE" w:rsidRDefault="00AB63AE" w:rsidP="00AB63AE">
      <w:pPr>
        <w:spacing w:after="0" w:line="20" w:lineRule="atLeast"/>
        <w:jc w:val="both"/>
      </w:pPr>
      <w:r w:rsidRPr="00AB63AE">
        <w:sym w:font="Symbol" w:char="F02D"/>
      </w:r>
      <w:r w:rsidRPr="00AB63AE">
        <w:t xml:space="preserve"> </w:t>
      </w:r>
      <w:proofErr w:type="gramStart"/>
      <w:r w:rsidRPr="00AB63AE">
        <w:t>le</w:t>
      </w:r>
      <w:proofErr w:type="gramEnd"/>
      <w:r w:rsidRPr="00AB63AE">
        <w:t xml:space="preserve"> attività e gli esiti; </w:t>
      </w:r>
    </w:p>
    <w:p w:rsidR="00AB63AE" w:rsidRPr="00AB63AE" w:rsidRDefault="00AB63AE" w:rsidP="00AB63AE">
      <w:pPr>
        <w:spacing w:after="0" w:line="20" w:lineRule="atLeast"/>
        <w:jc w:val="both"/>
      </w:pPr>
      <w:r w:rsidRPr="00AB63AE">
        <w:sym w:font="Symbol" w:char="F02D"/>
      </w:r>
      <w:r w:rsidRPr="00AB63AE">
        <w:t xml:space="preserve"> </w:t>
      </w:r>
      <w:proofErr w:type="gramStart"/>
      <w:r w:rsidRPr="00AB63AE">
        <w:t>l’efficientamento</w:t>
      </w:r>
      <w:proofErr w:type="gramEnd"/>
      <w:r w:rsidRPr="00AB63AE">
        <w:t xml:space="preserve"> dell’utilizzo delle risorse; </w:t>
      </w:r>
    </w:p>
    <w:p w:rsidR="00AB63AE" w:rsidRPr="00AB63AE" w:rsidRDefault="00AB63AE" w:rsidP="00AB63AE">
      <w:pPr>
        <w:spacing w:after="0" w:line="20" w:lineRule="atLeast"/>
        <w:jc w:val="both"/>
      </w:pPr>
      <w:r w:rsidRPr="00AB63AE">
        <w:sym w:font="Symbol" w:char="F02D"/>
      </w:r>
      <w:r w:rsidRPr="00AB63AE">
        <w:t xml:space="preserve"> </w:t>
      </w:r>
      <w:proofErr w:type="gramStart"/>
      <w:r w:rsidRPr="00AB63AE">
        <w:t>l’appropriatezza</w:t>
      </w:r>
      <w:proofErr w:type="gramEnd"/>
      <w:r w:rsidRPr="00AB63AE">
        <w:t xml:space="preserve"> delle cure incluso l’ottimale utilizzo della dialisi peritoneale</w:t>
      </w:r>
    </w:p>
    <w:p w:rsidR="00AB63AE" w:rsidRPr="00AB63AE" w:rsidRDefault="00AB63AE" w:rsidP="00AB63AE">
      <w:pPr>
        <w:spacing w:after="0" w:line="20" w:lineRule="atLeast"/>
        <w:jc w:val="both"/>
      </w:pPr>
      <w:r w:rsidRPr="00AB63AE">
        <w:t>Viene definita la composizione del Coordinamento Regionale della Rete Nefrologica OspedaleTerritorio così come indicato:</w:t>
      </w:r>
    </w:p>
    <w:p w:rsidR="00AB63AE" w:rsidRPr="00AB63AE" w:rsidRDefault="00AB63AE" w:rsidP="00AB63AE">
      <w:pPr>
        <w:spacing w:after="0" w:line="20" w:lineRule="atLeast"/>
        <w:jc w:val="both"/>
      </w:pPr>
      <w:r w:rsidRPr="00AB63AE">
        <w:t xml:space="preserve"> </w:t>
      </w:r>
      <w:r w:rsidRPr="00AB63AE">
        <w:sym w:font="Symbol" w:char="F02D"/>
      </w:r>
      <w:r w:rsidRPr="00AB63AE">
        <w:t xml:space="preserve"> Dirigente Area Rete Ospedaliera e Specialistica</w:t>
      </w:r>
    </w:p>
    <w:p w:rsidR="00AB63AE" w:rsidRPr="00AB63AE" w:rsidRDefault="00AB63AE" w:rsidP="00AB63AE">
      <w:pPr>
        <w:spacing w:after="0" w:line="20" w:lineRule="atLeast"/>
        <w:jc w:val="both"/>
      </w:pPr>
      <w:r w:rsidRPr="00AB63AE">
        <w:t xml:space="preserve"> </w:t>
      </w:r>
      <w:r w:rsidRPr="00AB63AE">
        <w:sym w:font="Symbol" w:char="F02D"/>
      </w:r>
      <w:r w:rsidRPr="00AB63AE">
        <w:t xml:space="preserve"> Dirigente Area Rete Integrata del Territorio </w:t>
      </w:r>
    </w:p>
    <w:p w:rsidR="00AB63AE" w:rsidRPr="00AB63AE" w:rsidRDefault="00AB63AE" w:rsidP="00AB63AE">
      <w:pPr>
        <w:spacing w:after="0" w:line="20" w:lineRule="atLeast"/>
        <w:jc w:val="both"/>
      </w:pPr>
      <w:r w:rsidRPr="00AB63AE">
        <w:sym w:font="Symbol" w:char="F02D"/>
      </w:r>
      <w:r w:rsidRPr="00AB63AE">
        <w:t xml:space="preserve"> Dirigente Area Sistemi Informativi </w:t>
      </w:r>
    </w:p>
    <w:p w:rsidR="00AB63AE" w:rsidRPr="00AB63AE" w:rsidRDefault="00AB63AE" w:rsidP="00AB63AE">
      <w:pPr>
        <w:spacing w:after="0" w:line="20" w:lineRule="atLeast"/>
        <w:jc w:val="both"/>
      </w:pPr>
      <w:r w:rsidRPr="00AB63AE">
        <w:sym w:font="Symbol" w:char="F02D"/>
      </w:r>
      <w:r w:rsidRPr="00AB63AE">
        <w:t xml:space="preserve"> Dirigente Area Prevenzione e Promozione della Salute </w:t>
      </w:r>
    </w:p>
    <w:p w:rsidR="00AB63AE" w:rsidRPr="00AB63AE" w:rsidRDefault="00AB63AE" w:rsidP="00AB63AE">
      <w:pPr>
        <w:spacing w:after="0" w:line="20" w:lineRule="atLeast"/>
        <w:jc w:val="both"/>
      </w:pPr>
      <w:r w:rsidRPr="00AB63AE">
        <w:sym w:font="Symbol" w:char="F02D"/>
      </w:r>
      <w:r w:rsidRPr="00AB63AE">
        <w:t xml:space="preserve"> Direttore del Centro Regionale Trapianti </w:t>
      </w:r>
    </w:p>
    <w:p w:rsidR="00AB63AE" w:rsidRPr="00AB63AE" w:rsidRDefault="00AB63AE" w:rsidP="00AB63AE">
      <w:pPr>
        <w:spacing w:after="0" w:line="20" w:lineRule="atLeast"/>
        <w:jc w:val="both"/>
      </w:pPr>
      <w:r w:rsidRPr="00AB63AE">
        <w:sym w:font="Symbol" w:char="F02D"/>
      </w:r>
      <w:r w:rsidRPr="00AB63AE">
        <w:t xml:space="preserve"> Un Rappresentante del Dipartimento di Epidemiologia del Servizio Sanitario Regionale </w:t>
      </w:r>
    </w:p>
    <w:p w:rsidR="00AB63AE" w:rsidRPr="00AB63AE" w:rsidRDefault="00AB63AE" w:rsidP="00AB63AE">
      <w:pPr>
        <w:spacing w:after="0" w:line="20" w:lineRule="atLeast"/>
        <w:jc w:val="both"/>
      </w:pPr>
      <w:r w:rsidRPr="00AB63AE">
        <w:sym w:font="Symbol" w:char="F02D"/>
      </w:r>
      <w:r w:rsidRPr="00AB63AE">
        <w:t xml:space="preserve"> Un Rappresentante della Società Italiana di Nefrologia (SIN) </w:t>
      </w:r>
    </w:p>
    <w:p w:rsidR="00AB63AE" w:rsidRPr="00AB63AE" w:rsidRDefault="00AB63AE" w:rsidP="00AB63AE">
      <w:pPr>
        <w:spacing w:after="0" w:line="20" w:lineRule="atLeast"/>
        <w:jc w:val="both"/>
      </w:pPr>
      <w:r w:rsidRPr="00AB63AE">
        <w:sym w:font="Symbol" w:char="F02D"/>
      </w:r>
      <w:r w:rsidRPr="00AB63AE">
        <w:t xml:space="preserve"> Due Rappresentanti delle Associazioni dei Pazienti maggiormente rappresentative</w:t>
      </w:r>
    </w:p>
    <w:p w:rsidR="00AB63AE" w:rsidRPr="00AB63AE" w:rsidRDefault="00AB63AE" w:rsidP="00AB63AE">
      <w:pPr>
        <w:spacing w:after="0" w:line="20" w:lineRule="atLeast"/>
        <w:jc w:val="both"/>
      </w:pPr>
      <w:r w:rsidRPr="00AB63AE">
        <w:t xml:space="preserve"> </w:t>
      </w:r>
      <w:r w:rsidRPr="00AB63AE">
        <w:sym w:font="Symbol" w:char="F02D"/>
      </w:r>
      <w:r w:rsidRPr="00AB63AE">
        <w:t xml:space="preserve"> Due Direttori di UOC Nefrologia e Dialisi Regionali </w:t>
      </w:r>
    </w:p>
    <w:p w:rsidR="00AB63AE" w:rsidRDefault="00AB63AE" w:rsidP="00AB63AE">
      <w:pPr>
        <w:spacing w:after="0" w:line="20" w:lineRule="atLeast"/>
        <w:jc w:val="both"/>
      </w:pPr>
      <w:r w:rsidRPr="00AB63AE">
        <w:sym w:font="Symbol" w:char="F02D"/>
      </w:r>
      <w:r w:rsidRPr="00AB63AE">
        <w:t xml:space="preserve"> Un Rappresentante dell’Ordine dei Medici.</w:t>
      </w:r>
    </w:p>
    <w:p w:rsidR="0095783B" w:rsidRDefault="0095783B" w:rsidP="00AB63AE">
      <w:pPr>
        <w:spacing w:after="0" w:line="20" w:lineRule="atLeast"/>
        <w:jc w:val="both"/>
      </w:pPr>
    </w:p>
    <w:p w:rsidR="00BD6350" w:rsidRDefault="0095783B" w:rsidP="00BD6350">
      <w:pPr>
        <w:spacing w:after="0" w:line="20" w:lineRule="atLeast"/>
        <w:jc w:val="both"/>
      </w:pPr>
      <w:r w:rsidRPr="0095783B">
        <w:rPr>
          <w:b/>
        </w:rPr>
        <w:t>DCA 7 agosto 2019, n. U</w:t>
      </w:r>
      <w:proofErr w:type="gramStart"/>
      <w:r w:rsidRPr="0095783B">
        <w:rPr>
          <w:b/>
        </w:rPr>
        <w:t>00355</w:t>
      </w:r>
      <w:r w:rsidRPr="0095783B">
        <w:t>,  Definizione</w:t>
      </w:r>
      <w:proofErr w:type="gramEnd"/>
      <w:r w:rsidRPr="0095783B">
        <w:t xml:space="preserve"> del livello massimo di finanziamento per le prestazioni di assistenza ospedaliera di riabilitazione post-acuzie, ad integrazione del livello di finanziamento assegnato con DCA 151/2019. Decreto del Commissario ad Acta 7 agosto 2019, n. U00355 Definizione del livello massimo di finanziamento per le prestazioni di assistenza ospedaliera di riabilitazione post-acuzie, ad integrazione del livello di finanziamento assegnato con DCA 151/2019.</w:t>
      </w:r>
      <w:r w:rsidR="00BD6350">
        <w:t xml:space="preserve"> </w:t>
      </w:r>
      <w:r w:rsidR="00BD6350" w:rsidRPr="00AB63AE">
        <w:t>(BUR n. 69 del 27.8.19)</w:t>
      </w:r>
    </w:p>
    <w:p w:rsidR="0095783B" w:rsidRPr="0095783B" w:rsidRDefault="0095783B" w:rsidP="0095783B">
      <w:pPr>
        <w:autoSpaceDE w:val="0"/>
        <w:autoSpaceDN w:val="0"/>
        <w:adjustRightInd w:val="0"/>
        <w:spacing w:after="0" w:line="20" w:lineRule="atLeast"/>
        <w:jc w:val="both"/>
        <w:rPr>
          <w:rFonts w:cstheme="minorHAnsi"/>
          <w:b/>
        </w:rPr>
      </w:pPr>
      <w:r w:rsidRPr="0095783B">
        <w:rPr>
          <w:rFonts w:cstheme="minorHAnsi"/>
          <w:b/>
        </w:rPr>
        <w:t>Note</w:t>
      </w:r>
    </w:p>
    <w:p w:rsidR="0095783B" w:rsidRPr="0095783B" w:rsidRDefault="0095783B" w:rsidP="0095783B">
      <w:pPr>
        <w:autoSpaceDE w:val="0"/>
        <w:autoSpaceDN w:val="0"/>
        <w:adjustRightInd w:val="0"/>
        <w:spacing w:after="0" w:line="20" w:lineRule="atLeast"/>
        <w:jc w:val="both"/>
      </w:pPr>
      <w:proofErr w:type="gramStart"/>
      <w:r w:rsidRPr="0095783B">
        <w:t>Viene  determinato</w:t>
      </w:r>
      <w:proofErr w:type="gramEnd"/>
      <w:r w:rsidRPr="0095783B">
        <w:t xml:space="preserve"> il budget per le prestazioni di assistenza ospedaliera di riabilitazione postacuzie per le seguenti strutture: </w:t>
      </w:r>
    </w:p>
    <w:p w:rsidR="0095783B" w:rsidRPr="0095783B" w:rsidRDefault="0095783B" w:rsidP="0095783B">
      <w:pPr>
        <w:autoSpaceDE w:val="0"/>
        <w:autoSpaceDN w:val="0"/>
        <w:adjustRightInd w:val="0"/>
        <w:spacing w:after="0" w:line="20" w:lineRule="atLeast"/>
        <w:jc w:val="both"/>
      </w:pPr>
      <w:proofErr w:type="gramStart"/>
      <w:r w:rsidRPr="0095783B">
        <w:t>o</w:t>
      </w:r>
      <w:proofErr w:type="gramEnd"/>
      <w:r w:rsidRPr="0095783B">
        <w:t xml:space="preserve"> Fondazione Santa Lucia IRCCS con decorrenza dal 01 gennaio 2019 al 31 dicembre 2019 per un importo pari ad € 44.318.747,00; </w:t>
      </w:r>
    </w:p>
    <w:p w:rsidR="0095783B" w:rsidRPr="0095783B" w:rsidRDefault="0095783B" w:rsidP="0095783B">
      <w:pPr>
        <w:autoSpaceDE w:val="0"/>
        <w:autoSpaceDN w:val="0"/>
        <w:adjustRightInd w:val="0"/>
        <w:spacing w:after="0" w:line="20" w:lineRule="atLeast"/>
        <w:jc w:val="both"/>
      </w:pPr>
      <w:proofErr w:type="gramStart"/>
      <w:r w:rsidRPr="0095783B">
        <w:t>o</w:t>
      </w:r>
      <w:proofErr w:type="gramEnd"/>
      <w:r w:rsidRPr="0095783B">
        <w:t xml:space="preserve"> San Raffaele Cassino con decorrenza dal 01 gennaio 2019 al 31 dicembre 2019 per un importo pari ad € 3.362.380,00; </w:t>
      </w:r>
    </w:p>
    <w:p w:rsidR="0095783B" w:rsidRDefault="0095783B" w:rsidP="0095783B">
      <w:pPr>
        <w:autoSpaceDE w:val="0"/>
        <w:autoSpaceDN w:val="0"/>
        <w:adjustRightInd w:val="0"/>
        <w:spacing w:after="0" w:line="20" w:lineRule="atLeast"/>
        <w:jc w:val="both"/>
      </w:pPr>
      <w:proofErr w:type="gramStart"/>
      <w:r w:rsidRPr="0095783B">
        <w:lastRenderedPageBreak/>
        <w:t>o</w:t>
      </w:r>
      <w:proofErr w:type="gramEnd"/>
      <w:r w:rsidRPr="0095783B">
        <w:t xml:space="preserve"> Policlinico Universitario A. Gemelli con decorrenza dalla data di adozione del presente decreto al 31 dicembre 2019, per un importo pari ad € 1.060.320,00.</w:t>
      </w:r>
    </w:p>
    <w:p w:rsidR="00B953F8" w:rsidRDefault="00B953F8" w:rsidP="0095783B">
      <w:pPr>
        <w:autoSpaceDE w:val="0"/>
        <w:autoSpaceDN w:val="0"/>
        <w:adjustRightInd w:val="0"/>
        <w:spacing w:after="0" w:line="20" w:lineRule="atLeast"/>
        <w:jc w:val="both"/>
      </w:pPr>
    </w:p>
    <w:p w:rsidR="00BD6350" w:rsidRDefault="00B953F8" w:rsidP="00BD6350">
      <w:pPr>
        <w:spacing w:after="0" w:line="20" w:lineRule="atLeast"/>
        <w:jc w:val="both"/>
      </w:pPr>
      <w:r w:rsidRPr="00F23649">
        <w:rPr>
          <w:b/>
        </w:rPr>
        <w:t>DGR  6 agosto 2019, n. 610,</w:t>
      </w:r>
      <w:r>
        <w:t xml:space="preserve">  Approvazione dello schema di Protocollo d'Intesa tra Regione Lazio, l'Istituto Nazionale Malattie Infettive "Lazzaro Spallanzani" (INMI) e il Raggruppamento delle Istituzioni di Pubblica Assistenza e Beneficenza Opera Pia Asilo Savoia, Pio Istituto SS. Annunziata e Opera Pia Lascito Giovanni e Margherita Achillini, per la realizzazione di un Centro per lo svolgimento di attività di prevenzione, consulenza e assistenza alle persone a maggior rischio di contagio da virus HIV, secondo il modello denominato "Check Point".</w:t>
      </w:r>
      <w:r w:rsidR="00BD6350">
        <w:t xml:space="preserve"> (BUR n. 70 del 29.8.19)</w:t>
      </w:r>
    </w:p>
    <w:p w:rsidR="00B953F8" w:rsidRPr="00F23649" w:rsidRDefault="00B953F8" w:rsidP="00B953F8">
      <w:pPr>
        <w:spacing w:after="0" w:line="20" w:lineRule="atLeast"/>
        <w:jc w:val="both"/>
        <w:rPr>
          <w:b/>
        </w:rPr>
      </w:pPr>
      <w:r w:rsidRPr="00F23649">
        <w:rPr>
          <w:b/>
        </w:rPr>
        <w:t>Note</w:t>
      </w:r>
    </w:p>
    <w:p w:rsidR="00B953F8" w:rsidRDefault="00B953F8" w:rsidP="00B953F8">
      <w:pPr>
        <w:spacing w:after="0" w:line="20" w:lineRule="atLeast"/>
        <w:jc w:val="both"/>
      </w:pPr>
      <w:r>
        <w:t xml:space="preserve">Viene </w:t>
      </w:r>
      <w:proofErr w:type="gramStart"/>
      <w:r>
        <w:t>individuato  nel</w:t>
      </w:r>
      <w:proofErr w:type="gramEnd"/>
      <w:r>
        <w:t xml:space="preserve"> Raggruppamento delle Istituzioni di Pubblica Assistenza e Beneficenza (II.PP.AA.BB.) Opera Pia Asilo Savoia o Asilo Savoia per l’Infanzia Abbandonata, Pio Istituto SS. Annunziata e Opera Pia Lascito Giovanni e Margherita Achillini il soggetto attuatore per la realizzazione nella città di Roma di un Centro denominato “Check Point Roma” garantendo in particolare:</w:t>
      </w:r>
    </w:p>
    <w:p w:rsidR="00B953F8" w:rsidRDefault="00B953F8" w:rsidP="00B953F8">
      <w:pPr>
        <w:spacing w:after="0" w:line="20" w:lineRule="atLeast"/>
        <w:jc w:val="both"/>
      </w:pPr>
      <w:r>
        <w:t xml:space="preserve"> - la messa a disposizione gratuita di locali idonei alla realizzazione del Check Point, garantendone utenze e manutenzione;</w:t>
      </w:r>
    </w:p>
    <w:p w:rsidR="00B953F8" w:rsidRDefault="00B953F8" w:rsidP="00B953F8">
      <w:pPr>
        <w:spacing w:after="0" w:line="20" w:lineRule="atLeast"/>
        <w:jc w:val="both"/>
      </w:pPr>
      <w:r>
        <w:t xml:space="preserve"> - la individuazione, attraverso avviso pubblico, di una o più associazioni di volontariato per la gestione del servizio di accoglienza e somministrazione di test presso il Check Point, con particolare riferimento a quelle più legate alle comunità di riferimento alle persone più esposte alla contrazione del viru.</w:t>
      </w:r>
    </w:p>
    <w:p w:rsidR="00B953F8" w:rsidRPr="0095783B" w:rsidRDefault="00B953F8" w:rsidP="00BD6350">
      <w:pPr>
        <w:spacing w:after="0" w:line="20" w:lineRule="atLeast"/>
        <w:jc w:val="both"/>
      </w:pPr>
      <w:r>
        <w:t xml:space="preserve">Viene </w:t>
      </w:r>
      <w:proofErr w:type="gramStart"/>
      <w:r>
        <w:t>approvato  lo</w:t>
      </w:r>
      <w:proofErr w:type="gramEnd"/>
      <w:r>
        <w:t xml:space="preserve"> schema di Protocollo d’Intesa tra la Regione Lazio, l’Istituto Nazionale per le Malattie Infettive Lazzaro Spallanzani e il Raggruppamento delle Istituzioni di Pubblica Assisten</w:t>
      </w:r>
      <w:r w:rsidR="00BD6350">
        <w:t>za e Beneficenza (II.PP.AA.BB.)</w:t>
      </w:r>
    </w:p>
    <w:p w:rsidR="00AB63AE" w:rsidRPr="00457A53" w:rsidRDefault="00AB63AE" w:rsidP="00AB63AE">
      <w:pPr>
        <w:spacing w:after="0" w:line="20" w:lineRule="atLeast"/>
        <w:jc w:val="both"/>
      </w:pPr>
    </w:p>
    <w:p w:rsidR="00865F43" w:rsidRPr="00865F43" w:rsidRDefault="00865F43" w:rsidP="00865F43">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865F43">
        <w:rPr>
          <w:rFonts w:cstheme="minorHAnsi"/>
          <w:b/>
        </w:rPr>
        <w:t>TERZO SETTORE</w:t>
      </w:r>
    </w:p>
    <w:p w:rsidR="0086707B" w:rsidRDefault="0086707B" w:rsidP="00FF7E92">
      <w:pPr>
        <w:spacing w:after="0" w:line="20" w:lineRule="atLeast"/>
        <w:jc w:val="both"/>
        <w:rPr>
          <w:rFonts w:cstheme="minorHAnsi"/>
        </w:rPr>
      </w:pPr>
    </w:p>
    <w:p w:rsidR="0086707B" w:rsidRPr="00983BF8" w:rsidRDefault="0086707B" w:rsidP="0086707B">
      <w:pPr>
        <w:autoSpaceDE w:val="0"/>
        <w:autoSpaceDN w:val="0"/>
        <w:adjustRightInd w:val="0"/>
        <w:spacing w:after="0" w:line="20" w:lineRule="atLeast"/>
        <w:jc w:val="both"/>
        <w:rPr>
          <w:rFonts w:cstheme="minorHAnsi"/>
        </w:rPr>
      </w:pPr>
      <w:r w:rsidRPr="00983BF8">
        <w:rPr>
          <w:rFonts w:cstheme="minorHAnsi"/>
          <w:b/>
        </w:rPr>
        <w:t xml:space="preserve">Determinazione 19 luglio 2019, n. G09845, </w:t>
      </w:r>
      <w:r w:rsidRPr="00983BF8">
        <w:rPr>
          <w:rFonts w:cstheme="minorHAnsi"/>
        </w:rPr>
        <w:t>LL. RR 24/1996 e 30/1997 – "LEVANTE SOCIETA' COOPERATIVA SOCIALE" codice fiscale 01152940571, con sede in Rieti, via Giorgio Fenoaltea 3 c.a.p. 02100 - Iscrizione all'albo regionale delle cooperative sociali sezione A. (BUR n. 64 dell’8.8.19)</w:t>
      </w:r>
    </w:p>
    <w:p w:rsidR="0086707B" w:rsidRPr="00983BF8" w:rsidRDefault="0086707B" w:rsidP="0086707B">
      <w:pPr>
        <w:autoSpaceDE w:val="0"/>
        <w:autoSpaceDN w:val="0"/>
        <w:adjustRightInd w:val="0"/>
        <w:spacing w:after="0" w:line="20" w:lineRule="atLeast"/>
        <w:jc w:val="both"/>
        <w:rPr>
          <w:rFonts w:cstheme="minorHAnsi"/>
          <w:b/>
        </w:rPr>
      </w:pPr>
      <w:r w:rsidRPr="00983BF8">
        <w:rPr>
          <w:rFonts w:cstheme="minorHAnsi"/>
          <w:b/>
        </w:rPr>
        <w:t>Note</w:t>
      </w:r>
    </w:p>
    <w:p w:rsidR="0086707B" w:rsidRPr="00983BF8" w:rsidRDefault="0086707B" w:rsidP="0086707B">
      <w:pPr>
        <w:autoSpaceDE w:val="0"/>
        <w:autoSpaceDN w:val="0"/>
        <w:adjustRightInd w:val="0"/>
        <w:spacing w:after="0" w:line="20" w:lineRule="atLeast"/>
        <w:jc w:val="both"/>
        <w:rPr>
          <w:rFonts w:cstheme="minorHAnsi"/>
        </w:rPr>
      </w:pPr>
      <w:r w:rsidRPr="00983BF8">
        <w:rPr>
          <w:rFonts w:cstheme="minorHAnsi"/>
        </w:rPr>
        <w:t>Viene disposta l’iscrizione della suddetta "LEVANTE SOCIETA’ COOPERATIVA SOCIALE” codice fiscale 01152940571, con sede in Rieti, via Giorgio Fenoaltea 3 c.a.p. 02100 nell’albo regionale delle cooperative sociali nella sezione A, a far data del 30 aprile 2019</w:t>
      </w:r>
    </w:p>
    <w:p w:rsidR="0086707B" w:rsidRPr="00983BF8" w:rsidRDefault="0086707B" w:rsidP="0086707B">
      <w:pPr>
        <w:spacing w:after="0" w:line="20" w:lineRule="atLeast"/>
        <w:jc w:val="both"/>
        <w:rPr>
          <w:rFonts w:cstheme="minorHAnsi"/>
        </w:rPr>
      </w:pPr>
    </w:p>
    <w:p w:rsidR="0086707B" w:rsidRPr="00983BF8" w:rsidRDefault="0086707B" w:rsidP="0086707B">
      <w:pPr>
        <w:autoSpaceDE w:val="0"/>
        <w:autoSpaceDN w:val="0"/>
        <w:adjustRightInd w:val="0"/>
        <w:spacing w:after="0" w:line="20" w:lineRule="atLeast"/>
        <w:jc w:val="both"/>
        <w:rPr>
          <w:rFonts w:cstheme="minorHAnsi"/>
        </w:rPr>
      </w:pPr>
      <w:r w:rsidRPr="00983BF8">
        <w:rPr>
          <w:rFonts w:cstheme="minorHAnsi"/>
          <w:b/>
        </w:rPr>
        <w:t xml:space="preserve">Determinazione 19 luglio 2019, n. G09846, </w:t>
      </w:r>
      <w:r w:rsidRPr="00983BF8">
        <w:rPr>
          <w:rFonts w:cstheme="minorHAnsi"/>
        </w:rPr>
        <w:t>LL. RR 24/1996 e 30/1997 – "ATHENA SOCIETA' COOPERATIVA SOCIALE ETICA" codice fiscale 14958211006, con sede in Tivoli (Rm), viale Giuseppe Mazzini, 11 c.a.p. 00019 - Iscrizione all'albo regionale delle cooperative sociali sezione A. (BUR n. 64 dell’8.8.19)</w:t>
      </w:r>
    </w:p>
    <w:p w:rsidR="0086707B" w:rsidRPr="00983BF8" w:rsidRDefault="0086707B" w:rsidP="0086707B">
      <w:pPr>
        <w:autoSpaceDE w:val="0"/>
        <w:autoSpaceDN w:val="0"/>
        <w:adjustRightInd w:val="0"/>
        <w:spacing w:after="0" w:line="20" w:lineRule="atLeast"/>
        <w:jc w:val="both"/>
        <w:rPr>
          <w:rFonts w:cstheme="minorHAnsi"/>
          <w:b/>
        </w:rPr>
      </w:pPr>
      <w:r w:rsidRPr="00983BF8">
        <w:rPr>
          <w:rFonts w:cstheme="minorHAnsi"/>
          <w:b/>
        </w:rPr>
        <w:t>Note</w:t>
      </w:r>
    </w:p>
    <w:p w:rsidR="0086707B" w:rsidRDefault="0086707B" w:rsidP="0086707B">
      <w:pPr>
        <w:spacing w:after="0" w:line="20" w:lineRule="atLeast"/>
        <w:jc w:val="both"/>
        <w:rPr>
          <w:rFonts w:cstheme="minorHAnsi"/>
        </w:rPr>
      </w:pPr>
      <w:r w:rsidRPr="00983BF8">
        <w:rPr>
          <w:rFonts w:cstheme="minorHAnsi"/>
        </w:rPr>
        <w:t>Viene disposta l’iscrizione della suddetta "ATHENA SOCIETA’ COOPERATIVA SOCIALE ETICA” codice fiscale 14958211006, con sede in Tivoli (Rm), viale Giuseppe Mazzini, 11 c.a.p. 00019 nell’albo regionale delle cooperative sociali nella sezione A</w:t>
      </w:r>
      <w:r w:rsidR="007D3003">
        <w:rPr>
          <w:rFonts w:cstheme="minorHAnsi"/>
        </w:rPr>
        <w:t>.</w:t>
      </w:r>
    </w:p>
    <w:p w:rsidR="007D3003" w:rsidRDefault="007D3003" w:rsidP="0086707B">
      <w:pPr>
        <w:spacing w:after="0" w:line="20" w:lineRule="atLeast"/>
        <w:jc w:val="both"/>
        <w:rPr>
          <w:rFonts w:cstheme="minorHAnsi"/>
        </w:rPr>
      </w:pPr>
    </w:p>
    <w:p w:rsidR="007D3003" w:rsidRPr="00983BF8" w:rsidRDefault="007D3003" w:rsidP="007D3003">
      <w:pPr>
        <w:autoSpaceDE w:val="0"/>
        <w:autoSpaceDN w:val="0"/>
        <w:adjustRightInd w:val="0"/>
        <w:spacing w:after="0" w:line="20" w:lineRule="atLeast"/>
        <w:jc w:val="both"/>
        <w:rPr>
          <w:rFonts w:cstheme="minorHAnsi"/>
        </w:rPr>
      </w:pPr>
      <w:r w:rsidRPr="00983BF8">
        <w:rPr>
          <w:rFonts w:cstheme="minorHAnsi"/>
          <w:b/>
        </w:rPr>
        <w:t xml:space="preserve">Determinazione 6 agosto 2019, n. G10781, </w:t>
      </w:r>
      <w:r w:rsidRPr="00983BF8">
        <w:rPr>
          <w:rFonts w:cstheme="minorHAnsi"/>
        </w:rPr>
        <w:t>Approvazione dell'Avviso Pubblico denominato "Comunità solidali 2019" - sostegno di progetti di rilevanza locale promossi da organizzazioni di volontariato o associazioni di promozione sociale. - Accordo di programma sottoscritto tra il Ministero del Lavoro e delle Politiche Sociali e la Regione Lazio, ai sensi degli articoli 72 e 73 del d.lgs. 117/2017, Codice del Terzo Settore – Impegno di spesa in favore di creditori diversi della somma complessiva di euro 2.232.600,00, di cui euro 1.786.080,00 sul capitolo H41173 dell'esercizio finanziario 2019 e di euro 446.520,00 sul capitolo H41173 dell'esercizio finanziario 2021 (programma 08</w:t>
      </w:r>
      <w:r w:rsidR="009B6094">
        <w:rPr>
          <w:rFonts w:cstheme="minorHAnsi"/>
        </w:rPr>
        <w:t xml:space="preserve"> </w:t>
      </w:r>
      <w:r w:rsidRPr="00983BF8">
        <w:rPr>
          <w:rFonts w:cstheme="minorHAnsi"/>
        </w:rPr>
        <w:t>della missione 12). (BUR n. 64 dell’8.8.19)</w:t>
      </w:r>
    </w:p>
    <w:p w:rsidR="007D3003" w:rsidRPr="00983BF8" w:rsidRDefault="007D3003" w:rsidP="007D3003">
      <w:pPr>
        <w:autoSpaceDE w:val="0"/>
        <w:autoSpaceDN w:val="0"/>
        <w:adjustRightInd w:val="0"/>
        <w:spacing w:after="0" w:line="20" w:lineRule="atLeast"/>
        <w:jc w:val="both"/>
        <w:rPr>
          <w:rFonts w:cstheme="minorHAnsi"/>
          <w:b/>
          <w:color w:val="000000"/>
        </w:rPr>
      </w:pPr>
      <w:r w:rsidRPr="00983BF8">
        <w:rPr>
          <w:rFonts w:cstheme="minorHAnsi"/>
          <w:b/>
          <w:color w:val="000000"/>
        </w:rPr>
        <w:t>Note</w:t>
      </w:r>
    </w:p>
    <w:p w:rsidR="007D3003" w:rsidRPr="00983BF8" w:rsidRDefault="007D3003" w:rsidP="007D3003">
      <w:pPr>
        <w:autoSpaceDE w:val="0"/>
        <w:autoSpaceDN w:val="0"/>
        <w:adjustRightInd w:val="0"/>
        <w:spacing w:after="0" w:line="20" w:lineRule="atLeast"/>
        <w:jc w:val="both"/>
        <w:rPr>
          <w:rFonts w:cstheme="minorHAnsi"/>
          <w:color w:val="000000"/>
        </w:rPr>
      </w:pPr>
      <w:r w:rsidRPr="00983BF8">
        <w:rPr>
          <w:rFonts w:cstheme="minorHAnsi"/>
          <w:color w:val="000000"/>
        </w:rPr>
        <w:t xml:space="preserve">Viene approvato l’Avviso Pubblico denominato “Comunità solidali” (Allegato 1), sostegno di progetti di rilevanza locale promossi da organizzazioni di volontariato o associazioni di promozione sociale, in base all’accordo di programma sottoscritto tra il Ministero del Lavoro e delle Politiche Sociali e la Regione Lazio ai </w:t>
      </w:r>
      <w:r w:rsidRPr="00983BF8">
        <w:rPr>
          <w:rFonts w:cstheme="minorHAnsi"/>
          <w:color w:val="000000"/>
        </w:rPr>
        <w:lastRenderedPageBreak/>
        <w:t xml:space="preserve">sensi degli articoli 72 e 73 del d.lgs. 117/2017, Codice del Terzo Settore” e gli allegati “Obiettivi generali, Aree prioritarie di intervento e Linee di attività” (Allegato 1 bis) e “Modulistica” (Allegato 2), </w:t>
      </w:r>
    </w:p>
    <w:p w:rsidR="007D3003" w:rsidRDefault="007D3003" w:rsidP="007D3003">
      <w:pPr>
        <w:autoSpaceDE w:val="0"/>
        <w:autoSpaceDN w:val="0"/>
        <w:adjustRightInd w:val="0"/>
        <w:spacing w:after="0" w:line="20" w:lineRule="atLeast"/>
        <w:jc w:val="both"/>
        <w:rPr>
          <w:rFonts w:cstheme="minorHAnsi"/>
          <w:color w:val="000000"/>
        </w:rPr>
      </w:pPr>
      <w:proofErr w:type="gramStart"/>
      <w:r w:rsidRPr="00983BF8">
        <w:rPr>
          <w:rFonts w:cstheme="minorHAnsi"/>
          <w:color w:val="000000"/>
        </w:rPr>
        <w:t>Viene  rinviata</w:t>
      </w:r>
      <w:proofErr w:type="gramEnd"/>
      <w:r w:rsidRPr="00983BF8">
        <w:rPr>
          <w:rFonts w:cstheme="minorHAnsi"/>
          <w:color w:val="000000"/>
        </w:rPr>
        <w:t xml:space="preserve">  a successivo atto la nomina della Commissione di valutazione incaricata di redigere la graduatoria dei beneficiari del contributo.</w:t>
      </w:r>
    </w:p>
    <w:p w:rsidR="00520846" w:rsidRDefault="00520846" w:rsidP="007D3003">
      <w:pPr>
        <w:autoSpaceDE w:val="0"/>
        <w:autoSpaceDN w:val="0"/>
        <w:adjustRightInd w:val="0"/>
        <w:spacing w:after="0" w:line="20" w:lineRule="atLeast"/>
        <w:jc w:val="both"/>
        <w:rPr>
          <w:rFonts w:cstheme="minorHAnsi"/>
          <w:color w:val="000000"/>
        </w:rPr>
      </w:pPr>
    </w:p>
    <w:p w:rsidR="00520846" w:rsidRPr="00520846" w:rsidRDefault="00520846" w:rsidP="00520846">
      <w:pPr>
        <w:autoSpaceDE w:val="0"/>
        <w:autoSpaceDN w:val="0"/>
        <w:adjustRightInd w:val="0"/>
        <w:spacing w:after="0" w:line="20" w:lineRule="atLeast"/>
        <w:jc w:val="both"/>
      </w:pPr>
      <w:r w:rsidRPr="00520846">
        <w:rPr>
          <w:b/>
        </w:rPr>
        <w:t>DPGR  2 agosto 2019, n. T</w:t>
      </w:r>
      <w:proofErr w:type="gramStart"/>
      <w:r w:rsidRPr="00520846">
        <w:rPr>
          <w:b/>
        </w:rPr>
        <w:t>00203</w:t>
      </w:r>
      <w:r w:rsidRPr="00520846">
        <w:t>,  Art.</w:t>
      </w:r>
      <w:proofErr w:type="gramEnd"/>
      <w:r w:rsidRPr="00520846">
        <w:t xml:space="preserve"> 3, comma 2 della L.R. 13 giugno 2001, n. 13 "Riconoscimento della funzione sociale ed educativa degli oratori" – Nomina Commissione. (BUR n. 67 del 20.8.19)</w:t>
      </w:r>
    </w:p>
    <w:p w:rsidR="00520846" w:rsidRPr="00520846" w:rsidRDefault="00520846" w:rsidP="00520846">
      <w:pPr>
        <w:autoSpaceDE w:val="0"/>
        <w:autoSpaceDN w:val="0"/>
        <w:adjustRightInd w:val="0"/>
        <w:spacing w:after="0" w:line="20" w:lineRule="atLeast"/>
        <w:jc w:val="both"/>
        <w:rPr>
          <w:b/>
        </w:rPr>
      </w:pPr>
      <w:r w:rsidRPr="00520846">
        <w:rPr>
          <w:b/>
        </w:rPr>
        <w:t>Note</w:t>
      </w:r>
    </w:p>
    <w:p w:rsidR="00520846" w:rsidRPr="00520846" w:rsidRDefault="00520846" w:rsidP="00520846">
      <w:pPr>
        <w:autoSpaceDE w:val="0"/>
        <w:autoSpaceDN w:val="0"/>
        <w:adjustRightInd w:val="0"/>
        <w:spacing w:after="0" w:line="20" w:lineRule="atLeast"/>
        <w:jc w:val="both"/>
      </w:pPr>
      <w:r w:rsidRPr="00520846">
        <w:t xml:space="preserve">La legge regionale 13 giugno 2001, n. 13 “Riconoscimento della funzione sociale ed educativa degli oratori” e, in particolare l’articolo 3, comma 2, ai sensi del quale la Regione si avvale di una Commissione da istituirsi con decreto del Presidente della Giunta regionale per la valutazione dei progetti concernenti le attività di oratorio o similari e per la concessione del relativo finanziamento. </w:t>
      </w:r>
    </w:p>
    <w:p w:rsidR="00520846" w:rsidRPr="00520846" w:rsidRDefault="00520846" w:rsidP="00520846">
      <w:pPr>
        <w:autoSpaceDE w:val="0"/>
        <w:autoSpaceDN w:val="0"/>
        <w:adjustRightInd w:val="0"/>
        <w:spacing w:after="0" w:line="20" w:lineRule="atLeast"/>
        <w:jc w:val="both"/>
      </w:pPr>
      <w:r w:rsidRPr="00520846">
        <w:t>Si procede alla costituzione e nomina della suddetta Commissione tecnica:</w:t>
      </w:r>
    </w:p>
    <w:p w:rsidR="00520846" w:rsidRPr="00520846" w:rsidRDefault="00520846" w:rsidP="00520846">
      <w:pPr>
        <w:autoSpaceDE w:val="0"/>
        <w:autoSpaceDN w:val="0"/>
        <w:adjustRightInd w:val="0"/>
        <w:spacing w:after="0" w:line="20" w:lineRule="atLeast"/>
        <w:jc w:val="both"/>
      </w:pPr>
      <w:r w:rsidRPr="00520846">
        <w:t xml:space="preserve"> VALENTINO MANTINI Direttore della Direzione regionale per </w:t>
      </w:r>
      <w:proofErr w:type="gramStart"/>
      <w:r w:rsidRPr="00520846">
        <w:t>l’ Inclusione</w:t>
      </w:r>
      <w:proofErr w:type="gramEnd"/>
      <w:r w:rsidRPr="00520846">
        <w:t xml:space="preserve"> Sociale Presidente della Commissione </w:t>
      </w:r>
    </w:p>
    <w:p w:rsidR="00520846" w:rsidRPr="00520846" w:rsidRDefault="00520846" w:rsidP="00520846">
      <w:pPr>
        <w:autoSpaceDE w:val="0"/>
        <w:autoSpaceDN w:val="0"/>
        <w:adjustRightInd w:val="0"/>
        <w:spacing w:after="0" w:line="20" w:lineRule="atLeast"/>
        <w:jc w:val="both"/>
      </w:pPr>
      <w:r w:rsidRPr="00520846">
        <w:t xml:space="preserve">LUISA CARUSO Funzionario dell’Area Politiche per lo Sviluppo socioeconomico dei Comuni, Servitù Militari e Lotta all'usura Direzione regionale Affari Istituzionali, Personale e Sistemi Informativi Componente della Commissione </w:t>
      </w:r>
    </w:p>
    <w:p w:rsidR="00520846" w:rsidRPr="00520846" w:rsidRDefault="00520846" w:rsidP="00520846">
      <w:pPr>
        <w:autoSpaceDE w:val="0"/>
        <w:autoSpaceDN w:val="0"/>
        <w:adjustRightInd w:val="0"/>
        <w:spacing w:after="0" w:line="20" w:lineRule="atLeast"/>
        <w:jc w:val="both"/>
      </w:pPr>
      <w:r w:rsidRPr="00520846">
        <w:t xml:space="preserve">Ing. CARLO ALIMONTI Soggetto esterno all’ Amministrazione regionale Componente della Commissione LUCILLA MALASISI Assistente Amministrativo dell’Area Politiche per lo Sviluppo socio-economico dei Comuni, Servitù Militari e Lotta all'usura Direzione regionale Affari Istituzionali, Personale e Sistemi Informativi </w:t>
      </w:r>
    </w:p>
    <w:p w:rsidR="00520846" w:rsidRPr="00520846" w:rsidRDefault="00520846" w:rsidP="00520846">
      <w:pPr>
        <w:autoSpaceDE w:val="0"/>
        <w:autoSpaceDN w:val="0"/>
        <w:adjustRightInd w:val="0"/>
        <w:spacing w:after="0" w:line="20" w:lineRule="atLeast"/>
        <w:jc w:val="both"/>
      </w:pPr>
      <w:r w:rsidRPr="00520846">
        <w:t xml:space="preserve">Segretario verbalizzante SILVIA MUSCIMARRO Assistente Amministrativo dell’Area Politiche per lo Sviluppo socio-economico dei Comuni, Servitù Militari e Lotta all'usura Direzione regionale Affari Istituzionali, Personale e Sistemi Informativi </w:t>
      </w:r>
    </w:p>
    <w:p w:rsidR="00520846" w:rsidRPr="00FD24FB" w:rsidRDefault="00520846" w:rsidP="00520846">
      <w:pPr>
        <w:autoSpaceDE w:val="0"/>
        <w:autoSpaceDN w:val="0"/>
        <w:adjustRightInd w:val="0"/>
        <w:spacing w:after="0" w:line="20" w:lineRule="atLeast"/>
        <w:jc w:val="both"/>
        <w:rPr>
          <w:color w:val="FF0000"/>
        </w:rPr>
      </w:pPr>
    </w:p>
    <w:p w:rsidR="00DD4A14" w:rsidRPr="00DD4A14" w:rsidRDefault="00DD4A14" w:rsidP="00DD4A14">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color w:val="000000"/>
        </w:rPr>
      </w:pPr>
      <w:r w:rsidRPr="00DD4A14">
        <w:rPr>
          <w:rFonts w:cstheme="minorHAnsi"/>
          <w:b/>
          <w:color w:val="000000"/>
        </w:rPr>
        <w:t>TUTELA DEI DIRITTI</w:t>
      </w:r>
    </w:p>
    <w:p w:rsidR="00DD4A14" w:rsidRPr="00DD4A14" w:rsidRDefault="00DD4A14" w:rsidP="007D3003">
      <w:pPr>
        <w:autoSpaceDE w:val="0"/>
        <w:autoSpaceDN w:val="0"/>
        <w:adjustRightInd w:val="0"/>
        <w:spacing w:after="0" w:line="20" w:lineRule="atLeast"/>
        <w:jc w:val="both"/>
        <w:rPr>
          <w:rFonts w:cstheme="minorHAnsi"/>
        </w:rPr>
      </w:pPr>
    </w:p>
    <w:p w:rsidR="00DD4A14" w:rsidRPr="00DD4A14" w:rsidRDefault="00DD4A14" w:rsidP="00DD4A14">
      <w:pPr>
        <w:autoSpaceDE w:val="0"/>
        <w:autoSpaceDN w:val="0"/>
        <w:adjustRightInd w:val="0"/>
        <w:spacing w:after="0" w:line="20" w:lineRule="atLeast"/>
        <w:jc w:val="both"/>
      </w:pPr>
      <w:r w:rsidRPr="00DD4A14">
        <w:rPr>
          <w:b/>
        </w:rPr>
        <w:t xml:space="preserve">DGR  30 luglio 2019, n. </w:t>
      </w:r>
      <w:proofErr w:type="gramStart"/>
      <w:r w:rsidRPr="00DD4A14">
        <w:rPr>
          <w:b/>
        </w:rPr>
        <w:t>519</w:t>
      </w:r>
      <w:r w:rsidRPr="00DD4A14">
        <w:t>,  Decreto</w:t>
      </w:r>
      <w:proofErr w:type="gramEnd"/>
      <w:r w:rsidRPr="00DD4A14">
        <w:t>-legge 14 agosto 2013, n. 93 - art. 5bis "Azioni per i Centri antiviolenza e le Case rifugio". L.R. 19 marzo 2014, n. 4. Programmazione delle risorse provenienti dal "Fondo per le politiche relative ai diritti e alle pari opportunità" assegnate alla Regione Lazio con DPCM 1 dicembre 2017. (BUR n. 66 del 16.8.19)</w:t>
      </w:r>
    </w:p>
    <w:p w:rsidR="00DD4A14" w:rsidRPr="00DD4A14" w:rsidRDefault="00DD4A14" w:rsidP="00DD4A14">
      <w:pPr>
        <w:autoSpaceDE w:val="0"/>
        <w:autoSpaceDN w:val="0"/>
        <w:adjustRightInd w:val="0"/>
        <w:spacing w:after="0" w:line="20" w:lineRule="atLeast"/>
        <w:jc w:val="both"/>
        <w:rPr>
          <w:b/>
        </w:rPr>
      </w:pPr>
      <w:r w:rsidRPr="00DD4A14">
        <w:rPr>
          <w:b/>
        </w:rPr>
        <w:t>Note</w:t>
      </w:r>
    </w:p>
    <w:p w:rsidR="00DD4A14" w:rsidRPr="00DD4A14" w:rsidRDefault="00DD4A14" w:rsidP="00DD4A14">
      <w:pPr>
        <w:autoSpaceDE w:val="0"/>
        <w:autoSpaceDN w:val="0"/>
        <w:adjustRightInd w:val="0"/>
        <w:spacing w:after="0" w:line="20" w:lineRule="atLeast"/>
        <w:jc w:val="both"/>
      </w:pPr>
      <w:r w:rsidRPr="00DD4A14">
        <w:t xml:space="preserve">Vengono </w:t>
      </w:r>
      <w:proofErr w:type="gramStart"/>
      <w:r w:rsidRPr="00DD4A14">
        <w:t>accantonate  le</w:t>
      </w:r>
      <w:proofErr w:type="gramEnd"/>
      <w:r w:rsidRPr="00DD4A14">
        <w:t xml:space="preserve"> risorse assegnate con il DPCM 1 dicembre 2017, per l’importo complessivo di euro 812.655,22 come segue: </w:t>
      </w:r>
    </w:p>
    <w:p w:rsidR="00DD4A14" w:rsidRPr="00DD4A14" w:rsidRDefault="00DD4A14" w:rsidP="00DD4A14">
      <w:pPr>
        <w:autoSpaceDE w:val="0"/>
        <w:autoSpaceDN w:val="0"/>
        <w:adjustRightInd w:val="0"/>
        <w:spacing w:after="0" w:line="20" w:lineRule="atLeast"/>
        <w:jc w:val="both"/>
      </w:pPr>
      <w:r w:rsidRPr="00DD4A14">
        <w:sym w:font="Symbol" w:char="F0B7"/>
      </w:r>
      <w:r w:rsidRPr="00DD4A14">
        <w:t xml:space="preserve"> </w:t>
      </w:r>
      <w:proofErr w:type="gramStart"/>
      <w:r w:rsidRPr="00DD4A14">
        <w:t>l’importo</w:t>
      </w:r>
      <w:proofErr w:type="gramEnd"/>
      <w:r w:rsidRPr="00DD4A14">
        <w:t xml:space="preserve"> di euro 360.839,22, assegnato per l’istituzione di nuovi CAV e nuove CR è finalizzato: a. quanto ad euro 159.839,22 è assegnato a Roma Capitale per l’istituzione di una Casa rifugio, nel rispetto dei seguenti criteri:</w:t>
      </w:r>
    </w:p>
    <w:p w:rsidR="00DD4A14" w:rsidRPr="00DD4A14" w:rsidRDefault="00DD4A14" w:rsidP="00DD4A14">
      <w:pPr>
        <w:autoSpaceDE w:val="0"/>
        <w:autoSpaceDN w:val="0"/>
        <w:adjustRightInd w:val="0"/>
        <w:spacing w:after="0" w:line="20" w:lineRule="atLeast"/>
        <w:jc w:val="both"/>
      </w:pPr>
      <w:r w:rsidRPr="00DD4A14">
        <w:t xml:space="preserve"> - istituzione della Casa rifugio, preferibilmente, presso immobili di proprietà pubblica;</w:t>
      </w:r>
    </w:p>
    <w:p w:rsidR="00DD4A14" w:rsidRPr="00DD4A14" w:rsidRDefault="00DD4A14" w:rsidP="00DD4A14">
      <w:pPr>
        <w:autoSpaceDE w:val="0"/>
        <w:autoSpaceDN w:val="0"/>
        <w:adjustRightInd w:val="0"/>
        <w:spacing w:after="0" w:line="20" w:lineRule="atLeast"/>
        <w:jc w:val="both"/>
      </w:pPr>
      <w:r w:rsidRPr="00DD4A14">
        <w:t xml:space="preserve"> - rispetto dei requisiti e delle modalità di funzionamento definiti con la deliberazione 18 ottobre 2016, n. 614 e dall’Intesa tra il Governo, le Regioni, le Province autonome di Trento e Bolzano e le Autonomie locali, relativa ai requisiti minimi dei Centri antiviolenza e delle Case rifugio, sancita in sede di Conferenza unificata il 27 novembre 2014 e recepita dalla Regione Lazio con la deliberazione suddetta; </w:t>
      </w:r>
    </w:p>
    <w:p w:rsidR="00DD4A14" w:rsidRPr="00DD4A14" w:rsidRDefault="00DD4A14" w:rsidP="00DD4A14">
      <w:pPr>
        <w:autoSpaceDE w:val="0"/>
        <w:autoSpaceDN w:val="0"/>
        <w:adjustRightInd w:val="0"/>
        <w:spacing w:after="0" w:line="20" w:lineRule="atLeast"/>
        <w:jc w:val="both"/>
      </w:pPr>
      <w:r w:rsidRPr="00DD4A14">
        <w:t xml:space="preserve">- adozione di forme di partenariato e/o selezione previste dalla normativa vigente con gli organismi operanti nel settore del sostegno e dell’aiuto alle donne vittime di violenza, che abbiano maturato esperienze e competenze specifiche in materia di violenza contro le donne, che utilizzino una metodologia di accoglienza basata sulla relazione tra donne, con personale specificatamente formato, in possesso dei seguenti requisiti: </w:t>
      </w:r>
    </w:p>
    <w:p w:rsidR="00DD4A14" w:rsidRPr="00DD4A14" w:rsidRDefault="00DD4A14" w:rsidP="00DD4A14">
      <w:pPr>
        <w:autoSpaceDE w:val="0"/>
        <w:autoSpaceDN w:val="0"/>
        <w:adjustRightInd w:val="0"/>
        <w:spacing w:after="0" w:line="20" w:lineRule="atLeast"/>
        <w:jc w:val="both"/>
      </w:pPr>
      <w:r w:rsidRPr="00DD4A14">
        <w:sym w:font="Symbol" w:char="F0A7"/>
      </w:r>
      <w:r w:rsidRPr="00DD4A14">
        <w:t xml:space="preserve"> </w:t>
      </w:r>
      <w:proofErr w:type="gramStart"/>
      <w:r w:rsidRPr="00DD4A14">
        <w:t>essere</w:t>
      </w:r>
      <w:proofErr w:type="gramEnd"/>
      <w:r w:rsidRPr="00DD4A14">
        <w:t xml:space="preserve"> iscritte agli Albi/registri regionali del volontariato, della promozione o della cooperazione sociale o iscritte ai registri regionali delle Onlus presso l’Agenzia delle entrate; </w:t>
      </w:r>
    </w:p>
    <w:p w:rsidR="00DD4A14" w:rsidRPr="00DD4A14" w:rsidRDefault="00DD4A14" w:rsidP="00DD4A14">
      <w:pPr>
        <w:autoSpaceDE w:val="0"/>
        <w:autoSpaceDN w:val="0"/>
        <w:adjustRightInd w:val="0"/>
        <w:spacing w:after="0" w:line="20" w:lineRule="atLeast"/>
        <w:jc w:val="both"/>
      </w:pPr>
      <w:r w:rsidRPr="00DD4A14">
        <w:sym w:font="Symbol" w:char="F0A7"/>
      </w:r>
      <w:r w:rsidRPr="00DD4A14">
        <w:t xml:space="preserve"> </w:t>
      </w:r>
      <w:proofErr w:type="gramStart"/>
      <w:r w:rsidRPr="00DD4A14">
        <w:t>avere</w:t>
      </w:r>
      <w:proofErr w:type="gramEnd"/>
      <w:r w:rsidRPr="00DD4A14">
        <w:t xml:space="preserve"> nel proprio Statuto i temi del contrasto alla violenza di genere, del sostegno, della protezione e dell’assistenza delle donne vittime di violenza e dei  loro figli quali finalità esclusive o prioritarie, coerentemente con quanto indicato con gli obiettivi della Convenzione di Istanbul e dimostrare una consolidata e comprovata esperienza almeno quinquennale nell’impegno contro la violenza alle donne. </w:t>
      </w:r>
    </w:p>
    <w:p w:rsidR="00DD4A14" w:rsidRPr="00DD4A14" w:rsidRDefault="00DD4A14" w:rsidP="00DD4A14">
      <w:pPr>
        <w:autoSpaceDE w:val="0"/>
        <w:autoSpaceDN w:val="0"/>
        <w:adjustRightInd w:val="0"/>
        <w:spacing w:after="0" w:line="20" w:lineRule="atLeast"/>
        <w:jc w:val="both"/>
      </w:pPr>
      <w:r w:rsidRPr="00DD4A14">
        <w:lastRenderedPageBreak/>
        <w:t>Tali organismi possono eventualmente presentarsi associati con altri organismi che abbiano comunque nel proprio Statuto i temi del contrasto alla violenza di genere, che utilizzino la medesima metodologia, anche se dotati di minore esperienza.</w:t>
      </w:r>
    </w:p>
    <w:p w:rsidR="00DD4A14" w:rsidRPr="00DD4A14" w:rsidRDefault="00DD4A14" w:rsidP="00DD4A14">
      <w:pPr>
        <w:autoSpaceDE w:val="0"/>
        <w:autoSpaceDN w:val="0"/>
        <w:adjustRightInd w:val="0"/>
        <w:spacing w:after="0" w:line="20" w:lineRule="atLeast"/>
        <w:jc w:val="both"/>
      </w:pPr>
      <w:r w:rsidRPr="00DD4A14">
        <w:t xml:space="preserve">Euro 201.000,00 per il finanziamento, per ulteriori 12 mesi, dei Centri antiviolenza istituiti nel 2018 dai Comuni di Tivoli, Fiumicino ed Aprilia, per un importo di euro 67.000,00 per ciascun Centro antiviolenza, </w:t>
      </w:r>
    </w:p>
    <w:p w:rsidR="00DD4A14" w:rsidRPr="00DD4A14" w:rsidRDefault="00DD4A14" w:rsidP="00DD4A14">
      <w:pPr>
        <w:autoSpaceDE w:val="0"/>
        <w:autoSpaceDN w:val="0"/>
        <w:adjustRightInd w:val="0"/>
        <w:spacing w:after="0" w:line="20" w:lineRule="atLeast"/>
        <w:jc w:val="both"/>
      </w:pPr>
      <w:r w:rsidRPr="00DD4A14">
        <w:t xml:space="preserve">Gli importi saranno trasferiti ai Comuni e gli stessi adotteranno, le procedure previste dalla normativa vigente, per l’individuazione del Soggetto gestore dei Centri; </w:t>
      </w:r>
    </w:p>
    <w:p w:rsidR="00DD4A14" w:rsidRPr="00DD4A14" w:rsidRDefault="00DD4A14" w:rsidP="00DD4A14">
      <w:pPr>
        <w:autoSpaceDE w:val="0"/>
        <w:autoSpaceDN w:val="0"/>
        <w:adjustRightInd w:val="0"/>
        <w:spacing w:after="0" w:line="20" w:lineRule="atLeast"/>
        <w:jc w:val="both"/>
      </w:pPr>
      <w:r w:rsidRPr="00DD4A14">
        <w:t xml:space="preserve">L’importo di euro 57.000,00 è assegnato al Comune di Latina per il sostegno del Centro antiviolenza “Donna Lilith”, per il periodo 1 gennaio-31 dicembre 2019: </w:t>
      </w:r>
    </w:p>
    <w:p w:rsidR="00DD4A14" w:rsidRPr="00DD4A14" w:rsidRDefault="00DD4A14" w:rsidP="00DD4A14">
      <w:pPr>
        <w:autoSpaceDE w:val="0"/>
        <w:autoSpaceDN w:val="0"/>
        <w:adjustRightInd w:val="0"/>
        <w:spacing w:after="0" w:line="20" w:lineRule="atLeast"/>
        <w:jc w:val="both"/>
      </w:pPr>
      <w:r w:rsidRPr="00DD4A14">
        <w:t>L’importo di euro 104.000,00 è assegnato al Comune di Latina per il sostegno della Casa rifugio dell’ambito sovra-distrettuale Lt1, Lt2, Lt3 per il periodo 1 gennaio 2019-31 dicembre 2019.</w:t>
      </w:r>
    </w:p>
    <w:p w:rsidR="00DD4A14" w:rsidRDefault="00DD4A14" w:rsidP="00DD4A14">
      <w:pPr>
        <w:autoSpaceDE w:val="0"/>
        <w:autoSpaceDN w:val="0"/>
        <w:adjustRightInd w:val="0"/>
        <w:spacing w:after="0" w:line="20" w:lineRule="atLeast"/>
        <w:jc w:val="both"/>
      </w:pPr>
      <w:r w:rsidRPr="00DD4A14">
        <w:t xml:space="preserve">A seguito della definizione dei rapporti e delle Convenzioni tra i Comuni di Rieti, Frosinone, Ceccano e del Comune dove avrà sede la Casa rifugio del distretto socioassistenziale FrB, per i servizi dei Centri antiviolenza e/o Case rifugio del proprio territorio sarà finalizzato il restante importo di € 290.816, 00. </w:t>
      </w:r>
    </w:p>
    <w:p w:rsidR="006D5F56" w:rsidRDefault="006D5F56" w:rsidP="00DD4A14">
      <w:pPr>
        <w:autoSpaceDE w:val="0"/>
        <w:autoSpaceDN w:val="0"/>
        <w:adjustRightInd w:val="0"/>
        <w:spacing w:after="0" w:line="20" w:lineRule="atLeast"/>
        <w:jc w:val="both"/>
      </w:pPr>
    </w:p>
    <w:p w:rsidR="006D5F56" w:rsidRPr="00BC079D" w:rsidRDefault="006D5F56" w:rsidP="006D5F56">
      <w:pPr>
        <w:autoSpaceDE w:val="0"/>
        <w:autoSpaceDN w:val="0"/>
        <w:adjustRightInd w:val="0"/>
        <w:spacing w:after="0" w:line="20" w:lineRule="atLeast"/>
        <w:jc w:val="both"/>
      </w:pPr>
      <w:r w:rsidRPr="00BC079D">
        <w:rPr>
          <w:b/>
        </w:rPr>
        <w:t>Determinazione 31 luglio 2019, n. G</w:t>
      </w:r>
      <w:proofErr w:type="gramStart"/>
      <w:r w:rsidRPr="00BC079D">
        <w:rPr>
          <w:b/>
        </w:rPr>
        <w:t>10451</w:t>
      </w:r>
      <w:r w:rsidRPr="00BC079D">
        <w:t>,  Gara</w:t>
      </w:r>
      <w:proofErr w:type="gramEnd"/>
      <w:r w:rsidRPr="00BC079D">
        <w:t xml:space="preserve"> a procedura negoziata, ai sensi dell'art.36, comma 2, lettera b) del D.Lgs. n. 50 del 18 aprile 2016, per l'affidamento dei servizi di 3 Centri Antiviolenza e 3 Case Rifugio per donne vittime di </w:t>
      </w:r>
      <w:proofErr w:type="gramStart"/>
      <w:r w:rsidRPr="00BC079D">
        <w:t>violenza.,</w:t>
      </w:r>
      <w:proofErr w:type="gramEnd"/>
      <w:r w:rsidRPr="00BC079D">
        <w:t xml:space="preserve"> indetta con determinazione n. G11831 del 25 Settembre 2018. Provvedimento di aggiudicazione definitiva. (BUR n. 67 del 20.8.19)</w:t>
      </w:r>
    </w:p>
    <w:p w:rsidR="006D5F56" w:rsidRPr="00BC079D" w:rsidRDefault="006D5F56" w:rsidP="006D5F56">
      <w:pPr>
        <w:autoSpaceDE w:val="0"/>
        <w:autoSpaceDN w:val="0"/>
        <w:adjustRightInd w:val="0"/>
        <w:spacing w:after="0" w:line="20" w:lineRule="atLeast"/>
        <w:jc w:val="both"/>
      </w:pPr>
      <w:r w:rsidRPr="00BC079D">
        <w:t>Note</w:t>
      </w:r>
    </w:p>
    <w:p w:rsidR="006D5F56" w:rsidRPr="00BC079D" w:rsidRDefault="006D5F56" w:rsidP="006D5F56">
      <w:pPr>
        <w:autoSpaceDE w:val="0"/>
        <w:autoSpaceDN w:val="0"/>
        <w:adjustRightInd w:val="0"/>
        <w:spacing w:after="0" w:line="20" w:lineRule="atLeast"/>
        <w:jc w:val="both"/>
      </w:pPr>
      <w:proofErr w:type="gramStart"/>
      <w:r w:rsidRPr="00BC079D">
        <w:t>Viene  preso</w:t>
      </w:r>
      <w:proofErr w:type="gramEnd"/>
      <w:r w:rsidRPr="00BC079D">
        <w:t xml:space="preserve">  atto delle risultanze dei verbali di seduta riservata e di seduta pubblica e  conseguentemente, disposta l’aggiudicazione definitiva della procedura per l’affidamento annuale dei servizi di 3 Centri Antiviolenza e 3 Case Rifugio per donne vittime di violenza a fronte degli importi annui parimenti di seguito indicati: </w:t>
      </w:r>
    </w:p>
    <w:p w:rsidR="006D5F56" w:rsidRPr="00BC079D" w:rsidRDefault="006D5F56" w:rsidP="006D5F56">
      <w:pPr>
        <w:autoSpaceDE w:val="0"/>
        <w:autoSpaceDN w:val="0"/>
        <w:adjustRightInd w:val="0"/>
        <w:spacing w:after="0" w:line="20" w:lineRule="atLeast"/>
        <w:jc w:val="both"/>
      </w:pPr>
      <w:r w:rsidRPr="00BC079D">
        <w:t xml:space="preserve">- LOTTO 1 – ASSOCIAZIONE DIFFERENZA DONNA € 226.737,00 </w:t>
      </w:r>
    </w:p>
    <w:p w:rsidR="006D5F56" w:rsidRPr="00BC079D" w:rsidRDefault="006D5F56" w:rsidP="006D5F56">
      <w:pPr>
        <w:autoSpaceDE w:val="0"/>
        <w:autoSpaceDN w:val="0"/>
        <w:adjustRightInd w:val="0"/>
        <w:spacing w:after="0" w:line="20" w:lineRule="atLeast"/>
        <w:jc w:val="both"/>
      </w:pPr>
      <w:r w:rsidRPr="00BC079D">
        <w:t>- LOTTO 2 – ASSOCIAZIONE NAZIONALE VOLONTARIE TELEFONO ROSA € 217.053,10</w:t>
      </w:r>
    </w:p>
    <w:p w:rsidR="006D5F56" w:rsidRDefault="006D5F56" w:rsidP="006D5F56">
      <w:pPr>
        <w:autoSpaceDE w:val="0"/>
        <w:autoSpaceDN w:val="0"/>
        <w:adjustRightInd w:val="0"/>
        <w:spacing w:after="0" w:line="20" w:lineRule="atLeast"/>
        <w:jc w:val="both"/>
      </w:pPr>
      <w:r w:rsidRPr="00BC079D">
        <w:t xml:space="preserve"> - LOTTO 3 - COOP. SOCIALE BE FREE € 225.555,72</w:t>
      </w:r>
    </w:p>
    <w:p w:rsidR="009E05CB" w:rsidRDefault="009E05CB" w:rsidP="006D5F56">
      <w:pPr>
        <w:autoSpaceDE w:val="0"/>
        <w:autoSpaceDN w:val="0"/>
        <w:adjustRightInd w:val="0"/>
        <w:spacing w:after="0" w:line="20" w:lineRule="atLeast"/>
        <w:jc w:val="both"/>
      </w:pPr>
    </w:p>
    <w:p w:rsidR="00AA53B8" w:rsidRPr="00BC079D" w:rsidRDefault="009E05CB" w:rsidP="00AA53B8">
      <w:pPr>
        <w:autoSpaceDE w:val="0"/>
        <w:autoSpaceDN w:val="0"/>
        <w:adjustRightInd w:val="0"/>
        <w:spacing w:after="0" w:line="20" w:lineRule="atLeast"/>
        <w:jc w:val="both"/>
      </w:pPr>
      <w:r w:rsidRPr="00BD6350">
        <w:rPr>
          <w:b/>
        </w:rPr>
        <w:t>Determinazione 2 agosto 2019, n. G</w:t>
      </w:r>
      <w:proofErr w:type="gramStart"/>
      <w:r w:rsidRPr="00BD6350">
        <w:rPr>
          <w:b/>
        </w:rPr>
        <w:t>10639</w:t>
      </w:r>
      <w:r w:rsidR="00BD6350">
        <w:rPr>
          <w:b/>
        </w:rPr>
        <w:t xml:space="preserve">, </w:t>
      </w:r>
      <w:r>
        <w:t xml:space="preserve"> Presa</w:t>
      </w:r>
      <w:proofErr w:type="gramEnd"/>
      <w:r>
        <w:t xml:space="preserve"> d'atto e ratifica delle prestazioni erogate per i servizi di ospitalità, accoglienza, ascolto e presa in carico nel periodo dal 1 gennaio 2019 al 31 luglio 2019 nei Centri Antiviolenza e Case Rifugio ex Città Metropolitana di Roma Capitale, nelle more della conclusione della procedura negoziata, indetta con determinazione dirigenziale del 25 settembre 2018 n. G11831. Impegno di spesa €398.426,42 Missione 12 programma 04 Capitolo H41909 esercizio finanziario 2019.</w:t>
      </w:r>
      <w:r w:rsidR="00AA53B8">
        <w:t xml:space="preserve"> </w:t>
      </w:r>
      <w:r w:rsidR="00AA53B8" w:rsidRPr="00BC079D">
        <w:t>(BUR n. 67 del 20.8.19)</w:t>
      </w:r>
    </w:p>
    <w:p w:rsidR="00BD6350" w:rsidRPr="00BD6350" w:rsidRDefault="00BD6350" w:rsidP="006D5F56">
      <w:pPr>
        <w:autoSpaceDE w:val="0"/>
        <w:autoSpaceDN w:val="0"/>
        <w:adjustRightInd w:val="0"/>
        <w:spacing w:after="0" w:line="20" w:lineRule="atLeast"/>
        <w:jc w:val="both"/>
        <w:rPr>
          <w:b/>
        </w:rPr>
      </w:pPr>
      <w:r w:rsidRPr="00BD6350">
        <w:rPr>
          <w:b/>
        </w:rPr>
        <w:t>Note</w:t>
      </w:r>
    </w:p>
    <w:p w:rsidR="00BD6350" w:rsidRDefault="00BD6350" w:rsidP="006D5F56">
      <w:pPr>
        <w:autoSpaceDE w:val="0"/>
        <w:autoSpaceDN w:val="0"/>
        <w:adjustRightInd w:val="0"/>
        <w:spacing w:after="0" w:line="20" w:lineRule="atLeast"/>
        <w:jc w:val="both"/>
      </w:pPr>
      <w:r>
        <w:t xml:space="preserve">Viene </w:t>
      </w:r>
      <w:proofErr w:type="gramStart"/>
      <w:r>
        <w:t xml:space="preserve">preso </w:t>
      </w:r>
      <w:r w:rsidR="009E05CB">
        <w:t xml:space="preserve"> atto</w:t>
      </w:r>
      <w:proofErr w:type="gramEnd"/>
      <w:r w:rsidR="009E05CB">
        <w:t xml:space="preserve"> e ratifica</w:t>
      </w:r>
      <w:r>
        <w:t xml:space="preserve">te </w:t>
      </w:r>
      <w:r w:rsidR="009E05CB">
        <w:t xml:space="preserve"> le prestazioni erogate dall’ Associazione Promozione sociale Differenza Donna Onlus, per la gestione dei seguenti Centri Antiviolenza e Case rifugio: </w:t>
      </w:r>
    </w:p>
    <w:p w:rsidR="00D533D7" w:rsidRDefault="009E05CB" w:rsidP="006D5F56">
      <w:pPr>
        <w:autoSpaceDE w:val="0"/>
        <w:autoSpaceDN w:val="0"/>
        <w:adjustRightInd w:val="0"/>
        <w:spacing w:after="0" w:line="20" w:lineRule="atLeast"/>
        <w:jc w:val="both"/>
      </w:pPr>
      <w:r>
        <w:sym w:font="Symbol" w:char="F0B7"/>
      </w:r>
      <w:r>
        <w:t xml:space="preserve"> Centro antiviolenza per donne che non vogliono più subire violenza </w:t>
      </w:r>
    </w:p>
    <w:p w:rsidR="00D533D7" w:rsidRDefault="009E05CB" w:rsidP="006D5F56">
      <w:pPr>
        <w:autoSpaceDE w:val="0"/>
        <w:autoSpaceDN w:val="0"/>
        <w:adjustRightInd w:val="0"/>
        <w:spacing w:after="0" w:line="20" w:lineRule="atLeast"/>
        <w:jc w:val="both"/>
      </w:pPr>
      <w:r>
        <w:sym w:font="Symbol" w:char="F0B7"/>
      </w:r>
      <w:r>
        <w:t xml:space="preserve"> Centro Provinciale per donne in difficoltà sole o con figli minori “Maree” </w:t>
      </w:r>
    </w:p>
    <w:p w:rsidR="00BD6350" w:rsidRDefault="00D533D7" w:rsidP="006D5F56">
      <w:pPr>
        <w:autoSpaceDE w:val="0"/>
        <w:autoSpaceDN w:val="0"/>
        <w:adjustRightInd w:val="0"/>
        <w:spacing w:after="0" w:line="20" w:lineRule="atLeast"/>
        <w:jc w:val="both"/>
      </w:pPr>
      <w:r>
        <w:t xml:space="preserve">Viene </w:t>
      </w:r>
      <w:proofErr w:type="gramStart"/>
      <w:r w:rsidR="009E05CB">
        <w:t>pre</w:t>
      </w:r>
      <w:r>
        <w:t xml:space="preserve">so </w:t>
      </w:r>
      <w:r w:rsidR="009E05CB">
        <w:t xml:space="preserve"> atto</w:t>
      </w:r>
      <w:proofErr w:type="gramEnd"/>
      <w:r w:rsidR="009E05CB">
        <w:t xml:space="preserve"> e ratifica</w:t>
      </w:r>
      <w:r>
        <w:t xml:space="preserve">te </w:t>
      </w:r>
      <w:r w:rsidR="009E05CB">
        <w:t xml:space="preserve"> le prestazioni erogate dall’Associazione Nazionale Volontarie Telefono rosa, per la gestione del seguente Centro antiviolenza e Casa rifugio: </w:t>
      </w:r>
    </w:p>
    <w:p w:rsidR="009E05CB" w:rsidRPr="00DD4A14" w:rsidRDefault="009E05CB" w:rsidP="00D533D7">
      <w:pPr>
        <w:autoSpaceDE w:val="0"/>
        <w:autoSpaceDN w:val="0"/>
        <w:adjustRightInd w:val="0"/>
        <w:spacing w:after="0" w:line="20" w:lineRule="atLeast"/>
        <w:jc w:val="both"/>
        <w:rPr>
          <w:rFonts w:ascii="Corbel" w:hAnsi="Corbel" w:cs="Times New Roman"/>
          <w:sz w:val="28"/>
          <w:szCs w:val="28"/>
        </w:rPr>
      </w:pPr>
      <w:r>
        <w:sym w:font="Symbol" w:char="F0B7"/>
      </w:r>
      <w:r>
        <w:t xml:space="preserve"> Centro provinciale di accoglienza e assistenza sociale per donne in difficoltà “La Ginestra</w:t>
      </w:r>
      <w:proofErr w:type="gramStart"/>
      <w:r>
        <w:t xml:space="preserve">” </w:t>
      </w:r>
      <w:r w:rsidR="00D533D7">
        <w:t>.</w:t>
      </w:r>
      <w:proofErr w:type="gramEnd"/>
    </w:p>
    <w:p w:rsidR="006D5F56" w:rsidRDefault="006D5F56" w:rsidP="00DD4A14">
      <w:pPr>
        <w:autoSpaceDE w:val="0"/>
        <w:autoSpaceDN w:val="0"/>
        <w:adjustRightInd w:val="0"/>
        <w:spacing w:after="0" w:line="20" w:lineRule="atLeast"/>
        <w:jc w:val="both"/>
        <w:rPr>
          <w:b/>
        </w:rPr>
      </w:pPr>
    </w:p>
    <w:p w:rsidR="00645A91" w:rsidRDefault="00645A91" w:rsidP="00645A91">
      <w:pPr>
        <w:spacing w:after="0" w:line="20" w:lineRule="atLeast"/>
        <w:jc w:val="center"/>
        <w:rPr>
          <w:rFonts w:ascii="Broadway" w:hAnsi="Broadway" w:cstheme="majorHAnsi"/>
          <w:b/>
          <w:sz w:val="40"/>
          <w:szCs w:val="40"/>
        </w:rPr>
      </w:pPr>
      <w:r>
        <w:rPr>
          <w:rFonts w:ascii="Broadway" w:hAnsi="Broadway" w:cstheme="majorHAnsi"/>
          <w:b/>
          <w:sz w:val="40"/>
          <w:szCs w:val="40"/>
        </w:rPr>
        <w:t>LIGURIA</w:t>
      </w:r>
    </w:p>
    <w:p w:rsidR="00645A91" w:rsidRPr="007A5543" w:rsidRDefault="00645A91" w:rsidP="00645A91">
      <w:pPr>
        <w:spacing w:after="0" w:line="20" w:lineRule="atLeast"/>
        <w:jc w:val="center"/>
        <w:rPr>
          <w:rFonts w:ascii="Broadway" w:hAnsi="Broadway" w:cstheme="majorHAnsi"/>
          <w:b/>
          <w:sz w:val="24"/>
          <w:szCs w:val="24"/>
        </w:rPr>
      </w:pPr>
    </w:p>
    <w:p w:rsidR="00645A91" w:rsidRPr="00645A91" w:rsidRDefault="00645A91" w:rsidP="00A846C9">
      <w:pPr>
        <w:pBdr>
          <w:top w:val="single" w:sz="4" w:space="0"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color w:val="000000"/>
        </w:rPr>
      </w:pPr>
      <w:r w:rsidRPr="00645A91">
        <w:rPr>
          <w:rFonts w:cstheme="minorHAnsi"/>
          <w:b/>
          <w:color w:val="000000"/>
        </w:rPr>
        <w:t>POVERTÀ INCLUSIONE SOCIALE</w:t>
      </w:r>
    </w:p>
    <w:p w:rsidR="00645A91" w:rsidRDefault="00645A91" w:rsidP="007D3003">
      <w:pPr>
        <w:autoSpaceDE w:val="0"/>
        <w:autoSpaceDN w:val="0"/>
        <w:adjustRightInd w:val="0"/>
        <w:spacing w:after="0" w:line="20" w:lineRule="atLeast"/>
        <w:jc w:val="both"/>
        <w:rPr>
          <w:rFonts w:cstheme="minorHAnsi"/>
          <w:color w:val="000000"/>
        </w:rPr>
      </w:pPr>
    </w:p>
    <w:p w:rsidR="00645A91" w:rsidRPr="000E4D29" w:rsidRDefault="00645A91" w:rsidP="00645A91">
      <w:pPr>
        <w:autoSpaceDE w:val="0"/>
        <w:autoSpaceDN w:val="0"/>
        <w:adjustRightInd w:val="0"/>
        <w:spacing w:after="0" w:line="240" w:lineRule="auto"/>
        <w:jc w:val="both"/>
        <w:rPr>
          <w:rFonts w:cstheme="minorHAnsi"/>
          <w:bCs/>
        </w:rPr>
      </w:pPr>
      <w:r w:rsidRPr="00404587">
        <w:rPr>
          <w:rFonts w:cs="TimesNewRomanPS-BoldMT"/>
          <w:b/>
          <w:bCs/>
        </w:rPr>
        <w:t xml:space="preserve">DGR  19 luglio 2019, n. 630, </w:t>
      </w:r>
      <w:r w:rsidRPr="000E4D29">
        <w:rPr>
          <w:rFonts w:cs="TimesNewRomanPS-BoldMT"/>
          <w:bCs/>
        </w:rPr>
        <w:t>Attività regionali concernenti la donazione e la distribuzione di prodotti alimentari a fini di solidarietà sociale e per la limitazione degli sprechi: istituzione tavolo di coordinamento regionale</w:t>
      </w:r>
      <w:r>
        <w:rPr>
          <w:rFonts w:cs="TimesNewRomanPS-BoldMT"/>
          <w:bCs/>
        </w:rPr>
        <w:t xml:space="preserve">. </w:t>
      </w:r>
      <w:r w:rsidRPr="000E4D29">
        <w:rPr>
          <w:rFonts w:cstheme="minorHAnsi"/>
          <w:bCs/>
        </w:rPr>
        <w:t>(BUR n. 44 del 13.8.19)</w:t>
      </w:r>
    </w:p>
    <w:p w:rsidR="00645A91" w:rsidRPr="000E4D29" w:rsidRDefault="00645A91" w:rsidP="00645A91">
      <w:pPr>
        <w:autoSpaceDE w:val="0"/>
        <w:autoSpaceDN w:val="0"/>
        <w:adjustRightInd w:val="0"/>
        <w:spacing w:after="0" w:line="240" w:lineRule="auto"/>
        <w:jc w:val="both"/>
        <w:rPr>
          <w:rFonts w:cs="TimesNewRomanPS-BoldMT"/>
          <w:b/>
          <w:bCs/>
        </w:rPr>
      </w:pPr>
      <w:r w:rsidRPr="000E4D29">
        <w:rPr>
          <w:rFonts w:cs="TimesNewRomanPS-BoldMT"/>
          <w:b/>
          <w:bCs/>
        </w:rPr>
        <w:t>PREMESSA</w:t>
      </w:r>
    </w:p>
    <w:p w:rsidR="00645A91" w:rsidRDefault="00645A91" w:rsidP="00645A91">
      <w:pPr>
        <w:autoSpaceDE w:val="0"/>
        <w:autoSpaceDN w:val="0"/>
        <w:adjustRightInd w:val="0"/>
        <w:spacing w:after="0" w:line="240" w:lineRule="auto"/>
        <w:jc w:val="both"/>
        <w:rPr>
          <w:rFonts w:cstheme="minorHAnsi"/>
        </w:rPr>
      </w:pPr>
      <w:r>
        <w:rPr>
          <w:rFonts w:cstheme="minorHAnsi"/>
        </w:rPr>
        <w:lastRenderedPageBreak/>
        <w:t>L</w:t>
      </w:r>
      <w:r w:rsidRPr="000E4D29">
        <w:rPr>
          <w:rFonts w:cstheme="minorHAnsi"/>
        </w:rPr>
        <w:t>a riduzione dello spreco alimentare, dalle catene di produzione alla trasformazione</w:t>
      </w:r>
      <w:r>
        <w:rPr>
          <w:rFonts w:cstheme="minorHAnsi"/>
        </w:rPr>
        <w:t xml:space="preserve"> </w:t>
      </w:r>
      <w:r w:rsidRPr="000E4D29">
        <w:rPr>
          <w:rFonts w:cstheme="minorHAnsi"/>
        </w:rPr>
        <w:t>industriale, sino alla fase di distribuzione e consumo, rappresenta una delle più importanti sfide di questo</w:t>
      </w:r>
      <w:r>
        <w:rPr>
          <w:rFonts w:cstheme="minorHAnsi"/>
        </w:rPr>
        <w:t xml:space="preserve"> </w:t>
      </w:r>
      <w:r w:rsidRPr="000E4D29">
        <w:rPr>
          <w:rFonts w:cstheme="minorHAnsi"/>
        </w:rPr>
        <w:t>secolo, specie se rapportata alle criticità dell’attuale contesto socio-economico della popolazione ed alla</w:t>
      </w:r>
      <w:r>
        <w:rPr>
          <w:rFonts w:cstheme="minorHAnsi"/>
        </w:rPr>
        <w:t xml:space="preserve"> </w:t>
      </w:r>
      <w:r w:rsidRPr="000E4D29">
        <w:rPr>
          <w:rFonts w:cstheme="minorHAnsi"/>
        </w:rPr>
        <w:t>concomitante necessità di implementare la solidarietà sociale e la sostenibilità ambientale.</w:t>
      </w:r>
    </w:p>
    <w:p w:rsidR="00645A91" w:rsidRPr="000E4D29" w:rsidRDefault="00645A91" w:rsidP="00645A91">
      <w:pPr>
        <w:autoSpaceDE w:val="0"/>
        <w:autoSpaceDN w:val="0"/>
        <w:adjustRightInd w:val="0"/>
        <w:spacing w:after="0" w:line="240" w:lineRule="auto"/>
        <w:jc w:val="both"/>
        <w:rPr>
          <w:rFonts w:cstheme="minorHAnsi"/>
        </w:rPr>
      </w:pPr>
      <w:r w:rsidRPr="000E4D29">
        <w:rPr>
          <w:rFonts w:cstheme="minorHAnsi"/>
        </w:rPr>
        <w:t xml:space="preserve"> Oltre a generare</w:t>
      </w:r>
      <w:r>
        <w:rPr>
          <w:rFonts w:cstheme="minorHAnsi"/>
        </w:rPr>
        <w:t xml:space="preserve"> </w:t>
      </w:r>
      <w:r w:rsidRPr="000E4D29">
        <w:rPr>
          <w:rFonts w:cstheme="minorHAnsi"/>
        </w:rPr>
        <w:t>un rilevante impatto economico e sociale, i rifiuti alimentari esercitano una pressione indebita sulle risorse</w:t>
      </w:r>
      <w:r>
        <w:rPr>
          <w:rFonts w:cstheme="minorHAnsi"/>
        </w:rPr>
        <w:t xml:space="preserve"> </w:t>
      </w:r>
      <w:r w:rsidRPr="000E4D29">
        <w:rPr>
          <w:rFonts w:cstheme="minorHAnsi"/>
        </w:rPr>
        <w:t>naturali limitate e sull’ambiente. Per prevenire gli sprechi si dovrebbe intervenire soprattutto alla fonte,</w:t>
      </w:r>
      <w:r>
        <w:rPr>
          <w:rFonts w:cstheme="minorHAnsi"/>
        </w:rPr>
        <w:t xml:space="preserve"> </w:t>
      </w:r>
      <w:r w:rsidRPr="000E4D29">
        <w:rPr>
          <w:rFonts w:cstheme="minorHAnsi"/>
        </w:rPr>
        <w:t>limitando la produzione di eccedenze alimentari in ciascuna fase della filiera (produzione, trasformazione,</w:t>
      </w:r>
      <w:r>
        <w:rPr>
          <w:rFonts w:cstheme="minorHAnsi"/>
        </w:rPr>
        <w:t xml:space="preserve"> </w:t>
      </w:r>
      <w:r w:rsidRPr="000E4D29">
        <w:rPr>
          <w:rFonts w:cstheme="minorHAnsi"/>
        </w:rPr>
        <w:t>distribuzione e consumo). In presenza di eccedenze, la migliore destinazione possibile, che garantisce il</w:t>
      </w:r>
      <w:r>
        <w:rPr>
          <w:rFonts w:cstheme="minorHAnsi"/>
        </w:rPr>
        <w:t xml:space="preserve"> </w:t>
      </w:r>
      <w:r w:rsidRPr="000E4D29">
        <w:rPr>
          <w:rFonts w:cstheme="minorHAnsi"/>
        </w:rPr>
        <w:t>valore d’uso più elevato delle risorse alimentari idonee al consumo, è la loro ridistribuzione per l’alimentazione</w:t>
      </w:r>
      <w:r>
        <w:rPr>
          <w:rFonts w:cstheme="minorHAnsi"/>
        </w:rPr>
        <w:t xml:space="preserve"> </w:t>
      </w:r>
      <w:r w:rsidRPr="000E4D29">
        <w:rPr>
          <w:rFonts w:cstheme="minorHAnsi"/>
        </w:rPr>
        <w:t>umana.</w:t>
      </w:r>
    </w:p>
    <w:p w:rsidR="00645A91" w:rsidRPr="000E4D29" w:rsidRDefault="00645A91" w:rsidP="00645A91">
      <w:pPr>
        <w:autoSpaceDE w:val="0"/>
        <w:autoSpaceDN w:val="0"/>
        <w:adjustRightInd w:val="0"/>
        <w:spacing w:after="0" w:line="240" w:lineRule="auto"/>
        <w:jc w:val="both"/>
        <w:rPr>
          <w:rFonts w:cstheme="minorHAnsi"/>
        </w:rPr>
      </w:pPr>
      <w:r>
        <w:rPr>
          <w:rFonts w:cstheme="minorHAnsi"/>
        </w:rPr>
        <w:t>A</w:t>
      </w:r>
      <w:r w:rsidRPr="000E4D29">
        <w:rPr>
          <w:rFonts w:cstheme="minorHAnsi"/>
        </w:rPr>
        <w:t>l fine di ridurre ostacoli giuridici ed operativi, sia per i donatori sia per i riceventi,</w:t>
      </w:r>
      <w:r>
        <w:rPr>
          <w:rFonts w:cstheme="minorHAnsi"/>
        </w:rPr>
        <w:t xml:space="preserve"> </w:t>
      </w:r>
      <w:r w:rsidRPr="000E4D29">
        <w:rPr>
          <w:rFonts w:cstheme="minorHAnsi"/>
        </w:rPr>
        <w:t>per la ridistribuzione di cibi sicuri e idonei sotto il profilo igienico sanitario al consumo la UE, gli</w:t>
      </w:r>
      <w:r>
        <w:rPr>
          <w:rFonts w:cstheme="minorHAnsi"/>
        </w:rPr>
        <w:t xml:space="preserve"> </w:t>
      </w:r>
      <w:r w:rsidRPr="000E4D29">
        <w:rPr>
          <w:rFonts w:cstheme="minorHAnsi"/>
        </w:rPr>
        <w:t>Stati membri e le parti interessate hanno individuato e varato recentemente strumenti normativi e incentivi</w:t>
      </w:r>
      <w:r>
        <w:rPr>
          <w:rFonts w:cstheme="minorHAnsi"/>
        </w:rPr>
        <w:t xml:space="preserve"> </w:t>
      </w:r>
      <w:r w:rsidRPr="000E4D29">
        <w:rPr>
          <w:rFonts w:cstheme="minorHAnsi"/>
        </w:rPr>
        <w:t>per promuovere un’economia circolare e chiarire, tra l’altro, la legislazione relativa ai generi alimentari,</w:t>
      </w:r>
      <w:r>
        <w:rPr>
          <w:rFonts w:cstheme="minorHAnsi"/>
        </w:rPr>
        <w:t xml:space="preserve"> </w:t>
      </w:r>
      <w:r w:rsidRPr="000E4D29">
        <w:rPr>
          <w:rFonts w:cstheme="minorHAnsi"/>
        </w:rPr>
        <w:t>anche al fine di agevolare la donazione di alimenti ed il recupero delle eccedenze alimentari a tutti i livelli,</w:t>
      </w:r>
      <w:r>
        <w:rPr>
          <w:rFonts w:cstheme="minorHAnsi"/>
        </w:rPr>
        <w:t xml:space="preserve"> </w:t>
      </w:r>
      <w:r w:rsidRPr="000E4D29">
        <w:rPr>
          <w:rFonts w:cstheme="minorHAnsi"/>
        </w:rPr>
        <w:t>dalle catene di produzione alla trasformazione, alla fase di distribuzione e consumo.</w:t>
      </w:r>
    </w:p>
    <w:p w:rsidR="00645A91" w:rsidRPr="000E4D29" w:rsidRDefault="00645A91" w:rsidP="00645A91">
      <w:pPr>
        <w:autoSpaceDE w:val="0"/>
        <w:autoSpaceDN w:val="0"/>
        <w:adjustRightInd w:val="0"/>
        <w:spacing w:after="0" w:line="240" w:lineRule="auto"/>
        <w:jc w:val="both"/>
        <w:rPr>
          <w:rFonts w:cstheme="minorHAnsi"/>
          <w:b/>
        </w:rPr>
      </w:pPr>
      <w:r w:rsidRPr="000E4D29">
        <w:rPr>
          <w:rFonts w:cstheme="minorHAnsi"/>
          <w:b/>
        </w:rPr>
        <w:t xml:space="preserve">I RIFERIMENTI NORMATIVI </w:t>
      </w:r>
    </w:p>
    <w:p w:rsidR="00645A91" w:rsidRPr="000E4D29" w:rsidRDefault="00645A91" w:rsidP="00645A91">
      <w:pPr>
        <w:autoSpaceDE w:val="0"/>
        <w:autoSpaceDN w:val="0"/>
        <w:adjustRightInd w:val="0"/>
        <w:spacing w:after="0" w:line="240" w:lineRule="auto"/>
        <w:jc w:val="both"/>
        <w:rPr>
          <w:rFonts w:cstheme="minorHAnsi"/>
        </w:rPr>
      </w:pPr>
      <w:r>
        <w:rPr>
          <w:rFonts w:cstheme="minorHAnsi"/>
        </w:rPr>
        <w:t>Il</w:t>
      </w:r>
      <w:r w:rsidRPr="000E4D29">
        <w:rPr>
          <w:rFonts w:cstheme="minorHAnsi"/>
        </w:rPr>
        <w:t xml:space="preserve"> Piano Nazionale di Prevenzione dello Spreco Alimentare (PINPAS 2014) promosso</w:t>
      </w:r>
      <w:r>
        <w:rPr>
          <w:rFonts w:cstheme="minorHAnsi"/>
        </w:rPr>
        <w:t xml:space="preserve"> </w:t>
      </w:r>
      <w:r w:rsidRPr="000E4D29">
        <w:rPr>
          <w:rFonts w:cstheme="minorHAnsi"/>
        </w:rPr>
        <w:t>dal Ministero dell’Ambiente;</w:t>
      </w:r>
      <w:r>
        <w:rPr>
          <w:rFonts w:cstheme="minorHAnsi"/>
        </w:rPr>
        <w:t xml:space="preserve"> </w:t>
      </w:r>
      <w:r w:rsidRPr="000E4D29">
        <w:rPr>
          <w:rFonts w:cstheme="minorHAnsi"/>
        </w:rPr>
        <w:t>- la Comunicazione della UE n. 361/01/2017/C del 25/10/2017;</w:t>
      </w:r>
      <w:r>
        <w:rPr>
          <w:rFonts w:cstheme="minorHAnsi"/>
        </w:rPr>
        <w:t xml:space="preserve"> </w:t>
      </w:r>
      <w:r w:rsidRPr="000E4D29">
        <w:rPr>
          <w:rFonts w:cstheme="minorHAnsi"/>
        </w:rPr>
        <w:t>- la Legge nazionale n. 166 del 19/08/2016;</w:t>
      </w:r>
      <w:r>
        <w:rPr>
          <w:rFonts w:cstheme="minorHAnsi"/>
        </w:rPr>
        <w:t xml:space="preserve"> </w:t>
      </w:r>
      <w:r w:rsidRPr="000E4D29">
        <w:rPr>
          <w:rFonts w:cstheme="minorHAnsi"/>
        </w:rPr>
        <w:t>- l’Accordo raggiunto in Conferenza Unificata del 19/04/2018 sulle “Linee di indirizzo rivolte agli</w:t>
      </w:r>
      <w:r>
        <w:rPr>
          <w:rFonts w:cstheme="minorHAnsi"/>
        </w:rPr>
        <w:t xml:space="preserve"> </w:t>
      </w:r>
      <w:r w:rsidRPr="000E4D29">
        <w:rPr>
          <w:rFonts w:cstheme="minorHAnsi"/>
        </w:rPr>
        <w:t>enti gestori di mense scolastiche, aziendali, ospedaliere, sociali e di comunità, al fine di prevenire e</w:t>
      </w:r>
    </w:p>
    <w:p w:rsidR="00645A91" w:rsidRPr="000E4D29" w:rsidRDefault="00645A91" w:rsidP="00645A91">
      <w:pPr>
        <w:autoSpaceDE w:val="0"/>
        <w:autoSpaceDN w:val="0"/>
        <w:adjustRightInd w:val="0"/>
        <w:spacing w:after="0" w:line="240" w:lineRule="auto"/>
        <w:jc w:val="both"/>
        <w:rPr>
          <w:rFonts w:cstheme="minorHAnsi"/>
        </w:rPr>
      </w:pPr>
      <w:proofErr w:type="gramStart"/>
      <w:r w:rsidRPr="000E4D29">
        <w:rPr>
          <w:rFonts w:cstheme="minorHAnsi"/>
        </w:rPr>
        <w:t>ridurre</w:t>
      </w:r>
      <w:proofErr w:type="gramEnd"/>
      <w:r w:rsidRPr="000E4D29">
        <w:rPr>
          <w:rFonts w:cstheme="minorHAnsi"/>
        </w:rPr>
        <w:t xml:space="preserve"> lo spreco connesso alla somministrazione degli alimenti»;</w:t>
      </w:r>
    </w:p>
    <w:p w:rsidR="00645A91" w:rsidRPr="000E4D29" w:rsidRDefault="00645A91" w:rsidP="00645A91">
      <w:pPr>
        <w:autoSpaceDE w:val="0"/>
        <w:autoSpaceDN w:val="0"/>
        <w:adjustRightInd w:val="0"/>
        <w:spacing w:after="0" w:line="240" w:lineRule="auto"/>
        <w:jc w:val="both"/>
        <w:rPr>
          <w:rFonts w:cstheme="minorHAnsi"/>
        </w:rPr>
      </w:pPr>
      <w:r w:rsidRPr="000E4D29">
        <w:rPr>
          <w:rFonts w:cstheme="minorHAnsi"/>
        </w:rPr>
        <w:t>- il Manuale per le corrette prassi operative per la raccolta, recupero e distribuzione di cibo ai fini di</w:t>
      </w:r>
    </w:p>
    <w:p w:rsidR="00645A91" w:rsidRPr="000E4D29" w:rsidRDefault="00645A91" w:rsidP="00645A91">
      <w:pPr>
        <w:autoSpaceDE w:val="0"/>
        <w:autoSpaceDN w:val="0"/>
        <w:adjustRightInd w:val="0"/>
        <w:spacing w:after="0" w:line="240" w:lineRule="auto"/>
        <w:jc w:val="both"/>
        <w:rPr>
          <w:rFonts w:cstheme="minorHAnsi"/>
        </w:rPr>
      </w:pPr>
      <w:proofErr w:type="gramStart"/>
      <w:r w:rsidRPr="000E4D29">
        <w:rPr>
          <w:rFonts w:cstheme="minorHAnsi"/>
        </w:rPr>
        <w:t>solidarietà</w:t>
      </w:r>
      <w:proofErr w:type="gramEnd"/>
      <w:r w:rsidRPr="000E4D29">
        <w:rPr>
          <w:rFonts w:cstheme="minorHAnsi"/>
        </w:rPr>
        <w:t xml:space="preserve"> sociale della Caritas Italiana e del Banco Alimentare;</w:t>
      </w:r>
    </w:p>
    <w:p w:rsidR="00645A91" w:rsidRPr="000E4D29" w:rsidRDefault="00645A91" w:rsidP="00645A91">
      <w:pPr>
        <w:autoSpaceDE w:val="0"/>
        <w:autoSpaceDN w:val="0"/>
        <w:adjustRightInd w:val="0"/>
        <w:spacing w:after="0" w:line="240" w:lineRule="auto"/>
        <w:jc w:val="both"/>
        <w:rPr>
          <w:rFonts w:cstheme="minorHAnsi"/>
        </w:rPr>
      </w:pPr>
      <w:r w:rsidRPr="000E4D29">
        <w:rPr>
          <w:rFonts w:cstheme="minorHAnsi"/>
        </w:rPr>
        <w:t>- il rapporto di ISPRA “Spreco alimentare: un approccio sistemico per la prevenzione e la riduzione</w:t>
      </w:r>
    </w:p>
    <w:p w:rsidR="00645A91" w:rsidRPr="000E4D29" w:rsidRDefault="00645A91" w:rsidP="00645A91">
      <w:pPr>
        <w:autoSpaceDE w:val="0"/>
        <w:autoSpaceDN w:val="0"/>
        <w:adjustRightInd w:val="0"/>
        <w:spacing w:after="0" w:line="240" w:lineRule="auto"/>
        <w:jc w:val="both"/>
        <w:rPr>
          <w:rFonts w:cstheme="minorHAnsi"/>
        </w:rPr>
      </w:pPr>
      <w:proofErr w:type="gramStart"/>
      <w:r w:rsidRPr="000E4D29">
        <w:rPr>
          <w:rFonts w:cstheme="minorHAnsi"/>
        </w:rPr>
        <w:t>strutturale</w:t>
      </w:r>
      <w:proofErr w:type="gramEnd"/>
      <w:r w:rsidRPr="000E4D29">
        <w:rPr>
          <w:rFonts w:cstheme="minorHAnsi"/>
        </w:rPr>
        <w:t>”.</w:t>
      </w:r>
    </w:p>
    <w:p w:rsidR="00645A91" w:rsidRPr="000E4D29" w:rsidRDefault="00645A91" w:rsidP="00645A91">
      <w:pPr>
        <w:autoSpaceDE w:val="0"/>
        <w:autoSpaceDN w:val="0"/>
        <w:adjustRightInd w:val="0"/>
        <w:spacing w:after="0" w:line="240" w:lineRule="auto"/>
        <w:jc w:val="both"/>
        <w:rPr>
          <w:rFonts w:cstheme="minorHAnsi"/>
          <w:b/>
        </w:rPr>
      </w:pPr>
      <w:r w:rsidRPr="000E4D29">
        <w:rPr>
          <w:rFonts w:cstheme="minorHAnsi"/>
          <w:b/>
        </w:rPr>
        <w:t>L’AZIONE DELLA REGIONE</w:t>
      </w:r>
    </w:p>
    <w:p w:rsidR="00645A91" w:rsidRPr="000E4D29" w:rsidRDefault="00645A91" w:rsidP="00645A91">
      <w:pPr>
        <w:autoSpaceDE w:val="0"/>
        <w:autoSpaceDN w:val="0"/>
        <w:adjustRightInd w:val="0"/>
        <w:spacing w:after="0" w:line="240" w:lineRule="auto"/>
        <w:jc w:val="both"/>
        <w:rPr>
          <w:rFonts w:cstheme="minorHAnsi"/>
        </w:rPr>
      </w:pPr>
      <w:r w:rsidRPr="000E4D29">
        <w:rPr>
          <w:rFonts w:cstheme="minorHAnsi"/>
        </w:rPr>
        <w:t>• l’istituzione di un tavolo di coordinamento regionale sul tema che coinvolga tutti gli attori che già</w:t>
      </w:r>
      <w:r>
        <w:rPr>
          <w:rFonts w:cstheme="minorHAnsi"/>
        </w:rPr>
        <w:t xml:space="preserve"> </w:t>
      </w:r>
      <w:r w:rsidRPr="000E4D29">
        <w:rPr>
          <w:rFonts w:cstheme="minorHAnsi"/>
        </w:rPr>
        <w:t>stanno lavorando su tali temi in Liguria, affidandone il coordinamento al Dipartimento Salute e</w:t>
      </w:r>
      <w:r>
        <w:rPr>
          <w:rFonts w:cstheme="minorHAnsi"/>
        </w:rPr>
        <w:t xml:space="preserve"> </w:t>
      </w:r>
      <w:r w:rsidRPr="000E4D29">
        <w:rPr>
          <w:rFonts w:cstheme="minorHAnsi"/>
        </w:rPr>
        <w:t>Servizi Sociali;</w:t>
      </w:r>
    </w:p>
    <w:p w:rsidR="00645A91" w:rsidRPr="000E4D29" w:rsidRDefault="00645A91" w:rsidP="00645A91">
      <w:pPr>
        <w:autoSpaceDE w:val="0"/>
        <w:autoSpaceDN w:val="0"/>
        <w:adjustRightInd w:val="0"/>
        <w:spacing w:after="0" w:line="240" w:lineRule="auto"/>
        <w:jc w:val="both"/>
        <w:rPr>
          <w:rFonts w:cstheme="minorHAnsi"/>
        </w:rPr>
      </w:pPr>
      <w:r w:rsidRPr="000E4D29">
        <w:rPr>
          <w:rFonts w:cstheme="minorHAnsi"/>
        </w:rPr>
        <w:t>• l’elaborazione ed implementazione di un apposito piano strategico regionale di prevenzione spreco</w:t>
      </w:r>
      <w:r>
        <w:rPr>
          <w:rFonts w:cstheme="minorHAnsi"/>
        </w:rPr>
        <w:t xml:space="preserve"> </w:t>
      </w:r>
      <w:r w:rsidRPr="000E4D29">
        <w:rPr>
          <w:rFonts w:cstheme="minorHAnsi"/>
        </w:rPr>
        <w:t>alimentare con l’individuazione di azioni di semplificazione, incentivazione e attivazione di sinergie;</w:t>
      </w:r>
    </w:p>
    <w:p w:rsidR="00645A91" w:rsidRPr="000E4D29" w:rsidRDefault="00645A91" w:rsidP="00645A91">
      <w:pPr>
        <w:autoSpaceDE w:val="0"/>
        <w:autoSpaceDN w:val="0"/>
        <w:adjustRightInd w:val="0"/>
        <w:spacing w:after="0" w:line="240" w:lineRule="auto"/>
        <w:jc w:val="both"/>
        <w:rPr>
          <w:rFonts w:cstheme="minorHAnsi"/>
        </w:rPr>
      </w:pPr>
      <w:r w:rsidRPr="000E4D29">
        <w:rPr>
          <w:rFonts w:cstheme="minorHAnsi"/>
        </w:rPr>
        <w:t>• l’elaborazione di disposizioni regionali concernenti la donazione e la distribuzione di prodotti alimentari</w:t>
      </w:r>
      <w:r>
        <w:rPr>
          <w:rFonts w:cstheme="minorHAnsi"/>
        </w:rPr>
        <w:t xml:space="preserve"> </w:t>
      </w:r>
      <w:r w:rsidRPr="000E4D29">
        <w:rPr>
          <w:rFonts w:cstheme="minorHAnsi"/>
        </w:rPr>
        <w:t>a fini di solidarietà sociale e per la limitazione degli sprechi;</w:t>
      </w:r>
    </w:p>
    <w:p w:rsidR="00645A91" w:rsidRPr="000E4D29" w:rsidRDefault="00645A91" w:rsidP="00645A91">
      <w:pPr>
        <w:autoSpaceDE w:val="0"/>
        <w:autoSpaceDN w:val="0"/>
        <w:adjustRightInd w:val="0"/>
        <w:spacing w:after="0" w:line="240" w:lineRule="auto"/>
        <w:jc w:val="both"/>
        <w:rPr>
          <w:rFonts w:cstheme="minorHAnsi"/>
        </w:rPr>
      </w:pPr>
      <w:r w:rsidRPr="000E4D29">
        <w:rPr>
          <w:rFonts w:cstheme="minorHAnsi"/>
        </w:rPr>
        <w:t xml:space="preserve">• </w:t>
      </w:r>
      <w:proofErr w:type="gramStart"/>
      <w:r w:rsidRPr="000E4D29">
        <w:rPr>
          <w:rFonts w:cstheme="minorHAnsi"/>
        </w:rPr>
        <w:t>l’ individuazione</w:t>
      </w:r>
      <w:proofErr w:type="gramEnd"/>
      <w:r w:rsidRPr="000E4D29">
        <w:rPr>
          <w:rFonts w:cstheme="minorHAnsi"/>
        </w:rPr>
        <w:t xml:space="preserve"> di canali di finanziamento per le attività di sostegno sul tema.</w:t>
      </w:r>
    </w:p>
    <w:p w:rsidR="00645A91" w:rsidRPr="000E4D29" w:rsidRDefault="00645A91" w:rsidP="00645A91">
      <w:pPr>
        <w:autoSpaceDE w:val="0"/>
        <w:autoSpaceDN w:val="0"/>
        <w:adjustRightInd w:val="0"/>
        <w:spacing w:after="0" w:line="240" w:lineRule="auto"/>
        <w:jc w:val="both"/>
        <w:rPr>
          <w:rFonts w:cstheme="minorHAnsi"/>
        </w:rPr>
      </w:pPr>
      <w:r>
        <w:rPr>
          <w:rFonts w:cstheme="minorHAnsi"/>
        </w:rPr>
        <w:t>I</w:t>
      </w:r>
      <w:r w:rsidRPr="000E4D29">
        <w:rPr>
          <w:rFonts w:cstheme="minorHAnsi"/>
        </w:rPr>
        <w:t>n data 12/03/2019 si è tenuta una riunione in Regione Liguria, organizzata dalla</w:t>
      </w:r>
      <w:r>
        <w:rPr>
          <w:rFonts w:cstheme="minorHAnsi"/>
        </w:rPr>
        <w:t xml:space="preserve"> </w:t>
      </w:r>
      <w:r w:rsidRPr="000E4D29">
        <w:rPr>
          <w:rFonts w:cstheme="minorHAnsi"/>
        </w:rPr>
        <w:t>Vice Presidente Assessore alla Sanità, Politiche Socio Sanitarie e Terzo Settore, Sicurezza, Immigrazione ed</w:t>
      </w:r>
      <w:r>
        <w:rPr>
          <w:rFonts w:cstheme="minorHAnsi"/>
        </w:rPr>
        <w:t xml:space="preserve"> </w:t>
      </w:r>
      <w:r w:rsidRPr="000E4D29">
        <w:rPr>
          <w:rFonts w:cstheme="minorHAnsi"/>
        </w:rPr>
        <w:t>Emigrazione di presentazione del suddetto percorso a tutti i possibili stakeholders e con nota Prot. 119660</w:t>
      </w:r>
      <w:r>
        <w:rPr>
          <w:rFonts w:cstheme="minorHAnsi"/>
        </w:rPr>
        <w:t xml:space="preserve"> </w:t>
      </w:r>
      <w:r w:rsidRPr="000E4D29">
        <w:rPr>
          <w:rFonts w:cstheme="minorHAnsi"/>
        </w:rPr>
        <w:t>del 18/04/2019 è stato inviato un questionario di ricognizione ai partecipanti alla suddetta riunione con</w:t>
      </w:r>
      <w:r>
        <w:rPr>
          <w:rFonts w:cstheme="minorHAnsi"/>
        </w:rPr>
        <w:t xml:space="preserve"> </w:t>
      </w:r>
      <w:r w:rsidRPr="000E4D29">
        <w:rPr>
          <w:rFonts w:cstheme="minorHAnsi"/>
        </w:rPr>
        <w:t>l’invito a manifestare le proprie aree di interesse</w:t>
      </w:r>
      <w:r>
        <w:rPr>
          <w:rFonts w:cstheme="minorHAnsi"/>
        </w:rPr>
        <w:t>.</w:t>
      </w:r>
    </w:p>
    <w:p w:rsidR="00645A91" w:rsidRDefault="00645A91" w:rsidP="00645A91">
      <w:pPr>
        <w:autoSpaceDE w:val="0"/>
        <w:autoSpaceDN w:val="0"/>
        <w:adjustRightInd w:val="0"/>
        <w:spacing w:after="0" w:line="240" w:lineRule="auto"/>
        <w:jc w:val="both"/>
        <w:rPr>
          <w:rFonts w:cstheme="minorHAnsi"/>
          <w:b/>
          <w:bCs/>
        </w:rPr>
      </w:pPr>
      <w:r>
        <w:rPr>
          <w:rFonts w:cstheme="minorHAnsi"/>
          <w:b/>
          <w:bCs/>
        </w:rPr>
        <w:t>LA DISPOSIZIONE</w:t>
      </w:r>
    </w:p>
    <w:p w:rsidR="00645A91" w:rsidRPr="000E4D29" w:rsidRDefault="00645A91" w:rsidP="00645A91">
      <w:pPr>
        <w:autoSpaceDE w:val="0"/>
        <w:autoSpaceDN w:val="0"/>
        <w:adjustRightInd w:val="0"/>
        <w:spacing w:after="0" w:line="240" w:lineRule="auto"/>
        <w:jc w:val="both"/>
        <w:rPr>
          <w:rFonts w:cstheme="minorHAnsi"/>
        </w:rPr>
      </w:pPr>
      <w:proofErr w:type="gramStart"/>
      <w:r>
        <w:rPr>
          <w:rFonts w:cstheme="minorHAnsi"/>
        </w:rPr>
        <w:t xml:space="preserve">Viene </w:t>
      </w:r>
      <w:r w:rsidRPr="000E4D29">
        <w:rPr>
          <w:rFonts w:cstheme="minorHAnsi"/>
        </w:rPr>
        <w:t xml:space="preserve"> istitui</w:t>
      </w:r>
      <w:r>
        <w:rPr>
          <w:rFonts w:cstheme="minorHAnsi"/>
        </w:rPr>
        <w:t>to</w:t>
      </w:r>
      <w:proofErr w:type="gramEnd"/>
      <w:r>
        <w:rPr>
          <w:rFonts w:cstheme="minorHAnsi"/>
        </w:rPr>
        <w:t xml:space="preserve"> </w:t>
      </w:r>
      <w:r w:rsidRPr="000E4D29">
        <w:rPr>
          <w:rFonts w:cstheme="minorHAnsi"/>
        </w:rPr>
        <w:t xml:space="preserve"> il Tavolo di coordinamento</w:t>
      </w:r>
      <w:r>
        <w:rPr>
          <w:rFonts w:cstheme="minorHAnsi"/>
        </w:rPr>
        <w:t xml:space="preserve"> </w:t>
      </w:r>
      <w:r w:rsidRPr="000E4D29">
        <w:rPr>
          <w:rFonts w:cstheme="minorHAnsi"/>
        </w:rPr>
        <w:t>regionale, organizzandolo in sottogruppi come di seguito indicato:</w:t>
      </w:r>
    </w:p>
    <w:p w:rsidR="00645A91" w:rsidRPr="000E4D29" w:rsidRDefault="00645A91" w:rsidP="00645A91">
      <w:pPr>
        <w:autoSpaceDE w:val="0"/>
        <w:autoSpaceDN w:val="0"/>
        <w:adjustRightInd w:val="0"/>
        <w:spacing w:after="0" w:line="240" w:lineRule="auto"/>
        <w:jc w:val="both"/>
        <w:rPr>
          <w:rFonts w:cstheme="minorHAnsi"/>
        </w:rPr>
      </w:pPr>
      <w:r w:rsidRPr="000E4D29">
        <w:rPr>
          <w:rFonts w:cstheme="minorHAnsi"/>
        </w:rPr>
        <w:t>A. Sottogruppo 1) sicurezza igienico sanitaria nel recupero di alimenti: le attività saranno finalizzate</w:t>
      </w:r>
      <w:r>
        <w:rPr>
          <w:rFonts w:cstheme="minorHAnsi"/>
        </w:rPr>
        <w:t xml:space="preserve"> </w:t>
      </w:r>
      <w:r w:rsidRPr="000E4D29">
        <w:rPr>
          <w:rFonts w:cstheme="minorHAnsi"/>
        </w:rPr>
        <w:t>all’individuazione di indicazioni per garantire la sicurezza igienico sanitaria favorendo il recupero</w:t>
      </w:r>
      <w:r>
        <w:rPr>
          <w:rFonts w:cstheme="minorHAnsi"/>
        </w:rPr>
        <w:t xml:space="preserve"> </w:t>
      </w:r>
      <w:r w:rsidRPr="000E4D29">
        <w:rPr>
          <w:rFonts w:cstheme="minorHAnsi"/>
        </w:rPr>
        <w:t>di alimenti freschi e non, con particolare attenzione anche alle caratteristiche nutrizionali e potenziando</w:t>
      </w:r>
      <w:r>
        <w:rPr>
          <w:rFonts w:cstheme="minorHAnsi"/>
        </w:rPr>
        <w:t xml:space="preserve"> </w:t>
      </w:r>
      <w:r w:rsidRPr="000E4D29">
        <w:rPr>
          <w:rFonts w:cstheme="minorHAnsi"/>
        </w:rPr>
        <w:t>il sistema di rilevazione flussi. Coordinatore: Settore Tutela della Salute negli Ambienti di</w:t>
      </w:r>
      <w:r>
        <w:rPr>
          <w:rFonts w:cstheme="minorHAnsi"/>
        </w:rPr>
        <w:t xml:space="preserve"> </w:t>
      </w:r>
      <w:r w:rsidRPr="000E4D29">
        <w:rPr>
          <w:rFonts w:cstheme="minorHAnsi"/>
        </w:rPr>
        <w:t xml:space="preserve">Vita e di </w:t>
      </w:r>
      <w:proofErr w:type="gramStart"/>
      <w:r w:rsidRPr="000E4D29">
        <w:rPr>
          <w:rFonts w:cstheme="minorHAnsi"/>
        </w:rPr>
        <w:t>Lavoro ;</w:t>
      </w:r>
      <w:proofErr w:type="gramEnd"/>
    </w:p>
    <w:p w:rsidR="00645A91" w:rsidRPr="000E4D29" w:rsidRDefault="00645A91" w:rsidP="00645A91">
      <w:pPr>
        <w:autoSpaceDE w:val="0"/>
        <w:autoSpaceDN w:val="0"/>
        <w:adjustRightInd w:val="0"/>
        <w:spacing w:after="0" w:line="240" w:lineRule="auto"/>
        <w:jc w:val="both"/>
        <w:rPr>
          <w:rFonts w:cstheme="minorHAnsi"/>
        </w:rPr>
      </w:pPr>
      <w:r w:rsidRPr="000E4D29">
        <w:rPr>
          <w:rFonts w:cstheme="minorHAnsi"/>
        </w:rPr>
        <w:t>B. Sottogruppo 2) attività: i meccanismi di incentivazione / sgravi fiscali per i donatori di eccedenze</w:t>
      </w:r>
      <w:r>
        <w:rPr>
          <w:rFonts w:cstheme="minorHAnsi"/>
        </w:rPr>
        <w:t xml:space="preserve"> </w:t>
      </w:r>
      <w:r w:rsidRPr="000E4D29">
        <w:rPr>
          <w:rFonts w:cstheme="minorHAnsi"/>
        </w:rPr>
        <w:t>alimentari nell’ottica della prevenzione rifiuti. Coordinatore: Settore Rifiuti;</w:t>
      </w:r>
    </w:p>
    <w:p w:rsidR="00645A91" w:rsidRDefault="00645A91" w:rsidP="00645A91">
      <w:pPr>
        <w:autoSpaceDE w:val="0"/>
        <w:autoSpaceDN w:val="0"/>
        <w:adjustRightInd w:val="0"/>
        <w:spacing w:after="0" w:line="240" w:lineRule="auto"/>
        <w:jc w:val="both"/>
        <w:rPr>
          <w:rFonts w:cstheme="minorHAnsi"/>
        </w:rPr>
      </w:pPr>
      <w:r w:rsidRPr="000E4D29">
        <w:rPr>
          <w:rFonts w:cstheme="minorHAnsi"/>
        </w:rPr>
        <w:t>C. Sottogruppo 3) attività: individuazione dei bisogni e sistemi di collegamento fra i diversi soggetti</w:t>
      </w:r>
      <w:r>
        <w:rPr>
          <w:rFonts w:cstheme="minorHAnsi"/>
        </w:rPr>
        <w:t xml:space="preserve"> </w:t>
      </w:r>
      <w:r w:rsidRPr="000E4D29">
        <w:rPr>
          <w:rFonts w:cstheme="minorHAnsi"/>
        </w:rPr>
        <w:t>della rete (donatori e beneficiari). Coordinatore: Settore Politiche sociali, terzo settore, immigrazione</w:t>
      </w:r>
      <w:r>
        <w:rPr>
          <w:rFonts w:cstheme="minorHAnsi"/>
        </w:rPr>
        <w:t xml:space="preserve"> </w:t>
      </w:r>
      <w:r w:rsidRPr="000E4D29">
        <w:rPr>
          <w:rFonts w:cstheme="minorHAnsi"/>
        </w:rPr>
        <w:t>e pari opportunità</w:t>
      </w:r>
      <w:r>
        <w:rPr>
          <w:rFonts w:cstheme="minorHAnsi"/>
        </w:rPr>
        <w:t>.</w:t>
      </w:r>
    </w:p>
    <w:p w:rsidR="00645A91" w:rsidRPr="000E4D29" w:rsidRDefault="00645A91" w:rsidP="00645A91">
      <w:pPr>
        <w:autoSpaceDE w:val="0"/>
        <w:autoSpaceDN w:val="0"/>
        <w:adjustRightInd w:val="0"/>
        <w:spacing w:after="0" w:line="240" w:lineRule="auto"/>
        <w:jc w:val="both"/>
        <w:rPr>
          <w:rFonts w:cstheme="minorHAnsi"/>
        </w:rPr>
      </w:pPr>
      <w:proofErr w:type="gramStart"/>
      <w:r>
        <w:rPr>
          <w:rFonts w:cstheme="minorHAnsi"/>
        </w:rPr>
        <w:t xml:space="preserve">I </w:t>
      </w:r>
      <w:r w:rsidRPr="000E4D29">
        <w:rPr>
          <w:rFonts w:cstheme="minorHAnsi"/>
        </w:rPr>
        <w:t xml:space="preserve"> sottogruppi</w:t>
      </w:r>
      <w:proofErr w:type="gramEnd"/>
      <w:r w:rsidRPr="000E4D29">
        <w:rPr>
          <w:rFonts w:cstheme="minorHAnsi"/>
        </w:rPr>
        <w:t xml:space="preserve"> </w:t>
      </w:r>
      <w:r>
        <w:rPr>
          <w:rFonts w:cstheme="minorHAnsi"/>
        </w:rPr>
        <w:t xml:space="preserve"> sono tenuti a  </w:t>
      </w:r>
      <w:r w:rsidRPr="000E4D29">
        <w:rPr>
          <w:rFonts w:cstheme="minorHAnsi"/>
        </w:rPr>
        <w:t>produ</w:t>
      </w:r>
      <w:r>
        <w:rPr>
          <w:rFonts w:cstheme="minorHAnsi"/>
        </w:rPr>
        <w:t xml:space="preserve">rre </w:t>
      </w:r>
      <w:r w:rsidRPr="000E4D29">
        <w:rPr>
          <w:rFonts w:cstheme="minorHAnsi"/>
        </w:rPr>
        <w:t xml:space="preserve"> proposte, nell’ambito degli argomenti di</w:t>
      </w:r>
      <w:r>
        <w:rPr>
          <w:rFonts w:cstheme="minorHAnsi"/>
        </w:rPr>
        <w:t xml:space="preserve"> </w:t>
      </w:r>
      <w:r w:rsidRPr="000E4D29">
        <w:rPr>
          <w:rFonts w:cstheme="minorHAnsi"/>
        </w:rPr>
        <w:t xml:space="preserve">mandato. </w:t>
      </w:r>
      <w:proofErr w:type="gramStart"/>
      <w:r w:rsidRPr="000E4D29">
        <w:rPr>
          <w:rFonts w:cstheme="minorHAnsi"/>
        </w:rPr>
        <w:t>possibilmente</w:t>
      </w:r>
      <w:proofErr w:type="gramEnd"/>
      <w:r w:rsidRPr="000E4D29">
        <w:rPr>
          <w:rFonts w:cstheme="minorHAnsi"/>
        </w:rPr>
        <w:t xml:space="preserve"> entro il 30 novembre 2019, in merito a:</w:t>
      </w:r>
    </w:p>
    <w:p w:rsidR="00645A91" w:rsidRPr="000E4D29" w:rsidRDefault="00645A91" w:rsidP="00645A91">
      <w:pPr>
        <w:autoSpaceDE w:val="0"/>
        <w:autoSpaceDN w:val="0"/>
        <w:adjustRightInd w:val="0"/>
        <w:spacing w:after="0" w:line="240" w:lineRule="auto"/>
        <w:jc w:val="both"/>
        <w:rPr>
          <w:rFonts w:cstheme="minorHAnsi"/>
        </w:rPr>
      </w:pPr>
      <w:r w:rsidRPr="000E4D29">
        <w:rPr>
          <w:rFonts w:cstheme="minorHAnsi"/>
        </w:rPr>
        <w:lastRenderedPageBreak/>
        <w:t>- snellimento delle pratiche fiscali, igienico-sanitarie e assicurative relative sia alle procedure di recupero</w:t>
      </w:r>
      <w:r>
        <w:rPr>
          <w:rFonts w:cstheme="minorHAnsi"/>
        </w:rPr>
        <w:t xml:space="preserve"> </w:t>
      </w:r>
      <w:r w:rsidRPr="000E4D29">
        <w:rPr>
          <w:rFonts w:cstheme="minorHAnsi"/>
        </w:rPr>
        <w:t>che alle pratiche di redistribuzione e foodsharing;</w:t>
      </w:r>
    </w:p>
    <w:p w:rsidR="00645A91" w:rsidRPr="000E4D29" w:rsidRDefault="00645A91" w:rsidP="00645A91">
      <w:pPr>
        <w:autoSpaceDE w:val="0"/>
        <w:autoSpaceDN w:val="0"/>
        <w:adjustRightInd w:val="0"/>
        <w:spacing w:after="0" w:line="240" w:lineRule="auto"/>
        <w:jc w:val="both"/>
        <w:rPr>
          <w:rFonts w:cstheme="minorHAnsi"/>
        </w:rPr>
      </w:pPr>
      <w:r w:rsidRPr="000E4D29">
        <w:rPr>
          <w:rFonts w:cstheme="minorHAnsi"/>
        </w:rPr>
        <w:t>- promozione di iniziative locali di informazione, educazione e sensibilizzazione sui temi in particolare</w:t>
      </w:r>
      <w:r>
        <w:rPr>
          <w:rFonts w:cstheme="minorHAnsi"/>
        </w:rPr>
        <w:t xml:space="preserve"> </w:t>
      </w:r>
      <w:r w:rsidRPr="000E4D29">
        <w:rPr>
          <w:rFonts w:cstheme="minorHAnsi"/>
        </w:rPr>
        <w:t>a cura delle istituzioni scolastiche e delle principali agenzie formative e organizzazioni solidali</w:t>
      </w:r>
      <w:r>
        <w:rPr>
          <w:rFonts w:cstheme="minorHAnsi"/>
        </w:rPr>
        <w:t xml:space="preserve"> </w:t>
      </w:r>
      <w:r w:rsidRPr="000E4D29">
        <w:rPr>
          <w:rFonts w:cstheme="minorHAnsi"/>
        </w:rPr>
        <w:t>attive sul territorio;</w:t>
      </w:r>
    </w:p>
    <w:p w:rsidR="00645A91" w:rsidRPr="000E4D29" w:rsidRDefault="00645A91" w:rsidP="00645A91">
      <w:pPr>
        <w:autoSpaceDE w:val="0"/>
        <w:autoSpaceDN w:val="0"/>
        <w:adjustRightInd w:val="0"/>
        <w:spacing w:after="0" w:line="240" w:lineRule="auto"/>
        <w:jc w:val="both"/>
        <w:rPr>
          <w:rFonts w:cstheme="minorHAnsi"/>
        </w:rPr>
      </w:pPr>
      <w:r w:rsidRPr="000E4D29">
        <w:rPr>
          <w:rFonts w:cstheme="minorHAnsi"/>
        </w:rPr>
        <w:t>- modalità di strutturazione reti locali per la raccolta delle eccedenze e per la tempestiva, equa ed</w:t>
      </w:r>
      <w:r>
        <w:rPr>
          <w:rFonts w:cstheme="minorHAnsi"/>
        </w:rPr>
        <w:t xml:space="preserve"> </w:t>
      </w:r>
      <w:r w:rsidRPr="000E4D29">
        <w:rPr>
          <w:rFonts w:cstheme="minorHAnsi"/>
        </w:rPr>
        <w:t>efficace redistribuzione delle stesse in favore della popolazione più fragile ed esposta a rischi di</w:t>
      </w:r>
      <w:r>
        <w:rPr>
          <w:rFonts w:cstheme="minorHAnsi"/>
        </w:rPr>
        <w:t xml:space="preserve"> </w:t>
      </w:r>
      <w:r w:rsidRPr="000E4D29">
        <w:rPr>
          <w:rFonts w:cstheme="minorHAnsi"/>
        </w:rPr>
        <w:t>povertà;</w:t>
      </w:r>
    </w:p>
    <w:p w:rsidR="00645A91" w:rsidRPr="000E4D29" w:rsidRDefault="00645A91" w:rsidP="00645A91">
      <w:pPr>
        <w:autoSpaceDE w:val="0"/>
        <w:autoSpaceDN w:val="0"/>
        <w:adjustRightInd w:val="0"/>
        <w:spacing w:after="0" w:line="240" w:lineRule="auto"/>
        <w:jc w:val="both"/>
        <w:rPr>
          <w:rFonts w:cstheme="minorHAnsi"/>
        </w:rPr>
      </w:pPr>
      <w:r w:rsidRPr="000E4D29">
        <w:rPr>
          <w:rFonts w:cstheme="minorHAnsi"/>
        </w:rPr>
        <w:t>- modalità per assicurare il raccordo tra gli interventi per il contrasto degli sprechi alimentari e gli</w:t>
      </w:r>
      <w:r>
        <w:rPr>
          <w:rFonts w:cstheme="minorHAnsi"/>
        </w:rPr>
        <w:t xml:space="preserve"> </w:t>
      </w:r>
      <w:r w:rsidRPr="000E4D29">
        <w:rPr>
          <w:rFonts w:cstheme="minorHAnsi"/>
        </w:rPr>
        <w:t>interventi di pronto intervento sociale e di contrasto alla povertà che vedono nei Servizi Sociali il</w:t>
      </w:r>
      <w:r>
        <w:rPr>
          <w:rFonts w:cstheme="minorHAnsi"/>
        </w:rPr>
        <w:t xml:space="preserve"> </w:t>
      </w:r>
      <w:r w:rsidRPr="000E4D29">
        <w:rPr>
          <w:rFonts w:cstheme="minorHAnsi"/>
        </w:rPr>
        <w:t>centro di coordinamento per le prese in carico multidimensionali;</w:t>
      </w:r>
    </w:p>
    <w:p w:rsidR="00645A91" w:rsidRPr="000E4D29" w:rsidRDefault="00645A91" w:rsidP="00645A91">
      <w:pPr>
        <w:autoSpaceDE w:val="0"/>
        <w:autoSpaceDN w:val="0"/>
        <w:adjustRightInd w:val="0"/>
        <w:spacing w:after="0" w:line="240" w:lineRule="auto"/>
        <w:jc w:val="both"/>
        <w:rPr>
          <w:rFonts w:cstheme="minorHAnsi"/>
        </w:rPr>
      </w:pPr>
      <w:r w:rsidRPr="000E4D29">
        <w:rPr>
          <w:rFonts w:cstheme="minorHAnsi"/>
        </w:rPr>
        <w:t>- modalità di adozione di strumenti di rilevazione in rete per rilevare i dati quantitativi sulle eccedenze</w:t>
      </w:r>
      <w:r>
        <w:rPr>
          <w:rFonts w:cstheme="minorHAnsi"/>
        </w:rPr>
        <w:t xml:space="preserve"> </w:t>
      </w:r>
      <w:r w:rsidRPr="000E4D29">
        <w:rPr>
          <w:rFonts w:cstheme="minorHAnsi"/>
        </w:rPr>
        <w:t>alimentari delle produzioni agricole locali, sugli alimenti devoluti da parte delle aziende alimentari</w:t>
      </w:r>
      <w:r>
        <w:rPr>
          <w:rFonts w:cstheme="minorHAnsi"/>
        </w:rPr>
        <w:t xml:space="preserve"> </w:t>
      </w:r>
      <w:r w:rsidRPr="000E4D29">
        <w:rPr>
          <w:rFonts w:cstheme="minorHAnsi"/>
        </w:rPr>
        <w:t>e di distribuzione alimentare, che sono consegnati alle reti e alle organizzazioni solidali che</w:t>
      </w:r>
      <w:r>
        <w:rPr>
          <w:rFonts w:cstheme="minorHAnsi"/>
        </w:rPr>
        <w:t xml:space="preserve"> </w:t>
      </w:r>
      <w:r w:rsidRPr="000E4D29">
        <w:rPr>
          <w:rFonts w:cstheme="minorHAnsi"/>
        </w:rPr>
        <w:t>redistribuiscono;</w:t>
      </w:r>
    </w:p>
    <w:p w:rsidR="00645A91" w:rsidRDefault="00645A91" w:rsidP="00645A91">
      <w:pPr>
        <w:autoSpaceDE w:val="0"/>
        <w:autoSpaceDN w:val="0"/>
        <w:adjustRightInd w:val="0"/>
        <w:spacing w:after="0" w:line="240" w:lineRule="auto"/>
        <w:jc w:val="both"/>
        <w:rPr>
          <w:rFonts w:cstheme="minorHAnsi"/>
        </w:rPr>
      </w:pPr>
      <w:r w:rsidRPr="000E4D29">
        <w:rPr>
          <w:rFonts w:cstheme="minorHAnsi"/>
        </w:rPr>
        <w:t>- il sostegno della rete distributiva delle organizzazioni che redistribuiscono.</w:t>
      </w:r>
    </w:p>
    <w:p w:rsidR="00645A91" w:rsidRPr="005230F8" w:rsidRDefault="00645A91" w:rsidP="00645A91">
      <w:pPr>
        <w:autoSpaceDE w:val="0"/>
        <w:autoSpaceDN w:val="0"/>
        <w:adjustRightInd w:val="0"/>
        <w:spacing w:after="0" w:line="240" w:lineRule="auto"/>
        <w:jc w:val="both"/>
        <w:rPr>
          <w:rFonts w:cstheme="minorHAnsi"/>
          <w:u w:val="single"/>
        </w:rPr>
      </w:pPr>
      <w:r w:rsidRPr="005230F8">
        <w:rPr>
          <w:rFonts w:cstheme="minorHAnsi"/>
          <w:u w:val="single"/>
        </w:rPr>
        <w:t xml:space="preserve"> I componenti del Tavolo Regionale di Coordinamento svolgono le attività in seno al tavolo</w:t>
      </w:r>
      <w:r>
        <w:rPr>
          <w:rFonts w:cstheme="minorHAnsi"/>
          <w:u w:val="single"/>
        </w:rPr>
        <w:t xml:space="preserve"> </w:t>
      </w:r>
      <w:r w:rsidRPr="005230F8">
        <w:rPr>
          <w:rFonts w:cstheme="minorHAnsi"/>
          <w:u w:val="single"/>
        </w:rPr>
        <w:t>stesso a titolo gratuito</w:t>
      </w:r>
    </w:p>
    <w:p w:rsidR="00645A91" w:rsidRPr="000E4D29" w:rsidRDefault="00645A91" w:rsidP="00645A91">
      <w:pPr>
        <w:autoSpaceDE w:val="0"/>
        <w:autoSpaceDN w:val="0"/>
        <w:adjustRightInd w:val="0"/>
        <w:spacing w:after="0" w:line="240" w:lineRule="auto"/>
        <w:jc w:val="both"/>
        <w:rPr>
          <w:rFonts w:cstheme="minorHAnsi"/>
        </w:rPr>
      </w:pPr>
      <w:r>
        <w:rPr>
          <w:rFonts w:cstheme="minorHAnsi"/>
        </w:rPr>
        <w:t>G</w:t>
      </w:r>
      <w:r w:rsidRPr="000E4D29">
        <w:rPr>
          <w:rFonts w:cstheme="minorHAnsi"/>
        </w:rPr>
        <w:t>li esiti delle attività dei sottogruppi s</w:t>
      </w:r>
      <w:r>
        <w:rPr>
          <w:rFonts w:cstheme="minorHAnsi"/>
        </w:rPr>
        <w:t xml:space="preserve">aranno </w:t>
      </w:r>
      <w:r w:rsidRPr="000E4D29">
        <w:rPr>
          <w:rFonts w:cstheme="minorHAnsi"/>
        </w:rPr>
        <w:t xml:space="preserve"> assemblate da</w:t>
      </w:r>
      <w:r>
        <w:rPr>
          <w:rFonts w:cstheme="minorHAnsi"/>
        </w:rPr>
        <w:t xml:space="preserve"> </w:t>
      </w:r>
      <w:r w:rsidRPr="000E4D29">
        <w:rPr>
          <w:rFonts w:cstheme="minorHAnsi"/>
        </w:rPr>
        <w:t>una Cabina di regia interdipartimentale, coordinata dal Settore Tutela della Salute negli Ambienti di Vita e</w:t>
      </w:r>
      <w:r>
        <w:rPr>
          <w:rFonts w:cstheme="minorHAnsi"/>
        </w:rPr>
        <w:t xml:space="preserve"> </w:t>
      </w:r>
      <w:r w:rsidRPr="000E4D29">
        <w:rPr>
          <w:rFonts w:cstheme="minorHAnsi"/>
        </w:rPr>
        <w:t>di Lavoro, e composta da Settore Rifiuti, Settore Politiche sociali, Terzo Settore, immigrazione e Pari Opportunità,</w:t>
      </w:r>
      <w:r>
        <w:rPr>
          <w:rFonts w:cstheme="minorHAnsi"/>
        </w:rPr>
        <w:t xml:space="preserve"> </w:t>
      </w:r>
      <w:r w:rsidRPr="000E4D29">
        <w:rPr>
          <w:rFonts w:cstheme="minorHAnsi"/>
        </w:rPr>
        <w:t>Settore Servizi alle Imprese agricole e florovivaismo, al fine di elaborare una proposta strategica</w:t>
      </w:r>
      <w:r>
        <w:rPr>
          <w:rFonts w:cstheme="minorHAnsi"/>
        </w:rPr>
        <w:t xml:space="preserve"> </w:t>
      </w:r>
      <w:r w:rsidRPr="000E4D29">
        <w:rPr>
          <w:rFonts w:cstheme="minorHAnsi"/>
        </w:rPr>
        <w:t>complessiva da presentare al tavolo intero composto da tutti gli enti che hanno inviato manifestazione di</w:t>
      </w:r>
      <w:r>
        <w:rPr>
          <w:rFonts w:cstheme="minorHAnsi"/>
        </w:rPr>
        <w:t xml:space="preserve"> </w:t>
      </w:r>
      <w:r w:rsidRPr="000E4D29">
        <w:rPr>
          <w:rFonts w:cstheme="minorHAnsi"/>
        </w:rPr>
        <w:t>interesse e presieduto dalla Vice Presidente Assessore alla Sanità, Politiche Socio Sanitarie e Terzo Settore,</w:t>
      </w:r>
      <w:r>
        <w:rPr>
          <w:rFonts w:cstheme="minorHAnsi"/>
        </w:rPr>
        <w:t xml:space="preserve"> </w:t>
      </w:r>
      <w:r w:rsidRPr="000E4D29">
        <w:rPr>
          <w:rFonts w:cstheme="minorHAnsi"/>
        </w:rPr>
        <w:t>Sicurezza, Immigrazione ed Emigrazione, in merito a:</w:t>
      </w:r>
    </w:p>
    <w:p w:rsidR="00645A91" w:rsidRPr="000E4D29" w:rsidRDefault="00645A91" w:rsidP="00645A91">
      <w:pPr>
        <w:autoSpaceDE w:val="0"/>
        <w:autoSpaceDN w:val="0"/>
        <w:adjustRightInd w:val="0"/>
        <w:spacing w:after="0" w:line="240" w:lineRule="auto"/>
        <w:jc w:val="both"/>
        <w:rPr>
          <w:rFonts w:cstheme="minorHAnsi"/>
        </w:rPr>
      </w:pPr>
      <w:r w:rsidRPr="000E4D29">
        <w:rPr>
          <w:rFonts w:cstheme="minorHAnsi"/>
        </w:rPr>
        <w:t>• piano strategico regionale di prevenzione spreco alimentare con l’individuazione di azioni di semplificazione,</w:t>
      </w:r>
    </w:p>
    <w:p w:rsidR="00645A91" w:rsidRPr="000E4D29" w:rsidRDefault="00645A91" w:rsidP="00645A91">
      <w:pPr>
        <w:autoSpaceDE w:val="0"/>
        <w:autoSpaceDN w:val="0"/>
        <w:adjustRightInd w:val="0"/>
        <w:spacing w:after="0" w:line="240" w:lineRule="auto"/>
        <w:jc w:val="both"/>
        <w:rPr>
          <w:rFonts w:cstheme="minorHAnsi"/>
        </w:rPr>
      </w:pPr>
      <w:proofErr w:type="gramStart"/>
      <w:r w:rsidRPr="000E4D29">
        <w:rPr>
          <w:rFonts w:cstheme="minorHAnsi"/>
        </w:rPr>
        <w:t>incentivazione</w:t>
      </w:r>
      <w:proofErr w:type="gramEnd"/>
      <w:r w:rsidRPr="000E4D29">
        <w:rPr>
          <w:rFonts w:cstheme="minorHAnsi"/>
        </w:rPr>
        <w:t xml:space="preserve"> e attivazione di sinergie;</w:t>
      </w:r>
    </w:p>
    <w:p w:rsidR="00645A91" w:rsidRPr="000E4D29" w:rsidRDefault="00645A91" w:rsidP="00645A91">
      <w:pPr>
        <w:autoSpaceDE w:val="0"/>
        <w:autoSpaceDN w:val="0"/>
        <w:adjustRightInd w:val="0"/>
        <w:spacing w:after="0" w:line="240" w:lineRule="auto"/>
        <w:jc w:val="both"/>
        <w:rPr>
          <w:rFonts w:cstheme="minorHAnsi"/>
        </w:rPr>
      </w:pPr>
      <w:r w:rsidRPr="000E4D29">
        <w:rPr>
          <w:rFonts w:cstheme="minorHAnsi"/>
        </w:rPr>
        <w:t>• disposizioni regionali concernenti la donazione e la distribuzione di prodotti alimentari a fini di solidarietà</w:t>
      </w:r>
    </w:p>
    <w:p w:rsidR="00645A91" w:rsidRPr="000E4D29" w:rsidRDefault="00645A91" w:rsidP="00645A91">
      <w:pPr>
        <w:autoSpaceDE w:val="0"/>
        <w:autoSpaceDN w:val="0"/>
        <w:adjustRightInd w:val="0"/>
        <w:spacing w:after="0" w:line="240" w:lineRule="auto"/>
        <w:jc w:val="both"/>
        <w:rPr>
          <w:rFonts w:cstheme="minorHAnsi"/>
        </w:rPr>
      </w:pPr>
      <w:proofErr w:type="gramStart"/>
      <w:r w:rsidRPr="000E4D29">
        <w:rPr>
          <w:rFonts w:cstheme="minorHAnsi"/>
        </w:rPr>
        <w:t>sociale</w:t>
      </w:r>
      <w:proofErr w:type="gramEnd"/>
      <w:r w:rsidRPr="000E4D29">
        <w:rPr>
          <w:rFonts w:cstheme="minorHAnsi"/>
        </w:rPr>
        <w:t xml:space="preserve"> e per la limitazione degli sprechi;</w:t>
      </w:r>
    </w:p>
    <w:p w:rsidR="00645A91" w:rsidRPr="000E4D29" w:rsidRDefault="00645A91" w:rsidP="00645A91">
      <w:pPr>
        <w:autoSpaceDE w:val="0"/>
        <w:autoSpaceDN w:val="0"/>
        <w:adjustRightInd w:val="0"/>
        <w:spacing w:after="0" w:line="240" w:lineRule="auto"/>
        <w:jc w:val="both"/>
        <w:rPr>
          <w:rFonts w:cstheme="minorHAnsi"/>
        </w:rPr>
      </w:pPr>
      <w:r w:rsidRPr="000E4D29">
        <w:rPr>
          <w:rFonts w:cstheme="minorHAnsi"/>
        </w:rPr>
        <w:t>• individuazione di canali di finanziamento per le attività di s ostegno sul tema.</w:t>
      </w:r>
    </w:p>
    <w:p w:rsidR="00645A91" w:rsidRPr="000E4D29" w:rsidRDefault="00645A91" w:rsidP="00645A91">
      <w:pPr>
        <w:autoSpaceDE w:val="0"/>
        <w:autoSpaceDN w:val="0"/>
        <w:adjustRightInd w:val="0"/>
        <w:spacing w:after="0" w:line="240" w:lineRule="auto"/>
        <w:jc w:val="both"/>
        <w:rPr>
          <w:rFonts w:cstheme="minorHAnsi"/>
        </w:rPr>
      </w:pPr>
      <w:r w:rsidRPr="000E4D29">
        <w:rPr>
          <w:rFonts w:cstheme="minorHAnsi"/>
        </w:rPr>
        <w:t>Su proposta del Vice Presidente Assessore alla Sanità, Politiche Socio Sanitarie e Terzo Settore, Sicurezza,</w:t>
      </w:r>
    </w:p>
    <w:p w:rsidR="0047749A" w:rsidRDefault="00645A91" w:rsidP="00645A91">
      <w:pPr>
        <w:autoSpaceDE w:val="0"/>
        <w:autoSpaceDN w:val="0"/>
        <w:adjustRightInd w:val="0"/>
        <w:spacing w:after="0" w:line="240" w:lineRule="auto"/>
        <w:jc w:val="both"/>
        <w:rPr>
          <w:rFonts w:cstheme="minorHAnsi"/>
        </w:rPr>
      </w:pPr>
      <w:proofErr w:type="gramStart"/>
      <w:r w:rsidRPr="000E4D29">
        <w:rPr>
          <w:rFonts w:cstheme="minorHAnsi"/>
        </w:rPr>
        <w:t>immigrazione</w:t>
      </w:r>
      <w:proofErr w:type="gramEnd"/>
      <w:r w:rsidRPr="000E4D29">
        <w:rPr>
          <w:rFonts w:cstheme="minorHAnsi"/>
        </w:rPr>
        <w:t xml:space="preserve"> ed Emigrazione</w:t>
      </w:r>
      <w:r>
        <w:rPr>
          <w:rFonts w:cstheme="minorHAnsi"/>
        </w:rPr>
        <w:t>.</w:t>
      </w:r>
    </w:p>
    <w:p w:rsidR="00B86B59" w:rsidRDefault="00B86B59" w:rsidP="00645A91">
      <w:pPr>
        <w:autoSpaceDE w:val="0"/>
        <w:autoSpaceDN w:val="0"/>
        <w:adjustRightInd w:val="0"/>
        <w:spacing w:after="0" w:line="240" w:lineRule="auto"/>
        <w:jc w:val="both"/>
        <w:rPr>
          <w:rFonts w:cstheme="minorHAnsi"/>
        </w:rPr>
      </w:pPr>
    </w:p>
    <w:p w:rsidR="00B86B59" w:rsidRPr="00B86B59" w:rsidRDefault="00B86B59" w:rsidP="00B86B59">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40" w:lineRule="auto"/>
        <w:jc w:val="center"/>
        <w:rPr>
          <w:rFonts w:cstheme="minorHAnsi"/>
          <w:b/>
        </w:rPr>
      </w:pPr>
      <w:r w:rsidRPr="00B86B59">
        <w:rPr>
          <w:rFonts w:cstheme="minorHAnsi"/>
          <w:b/>
        </w:rPr>
        <w:t>PROGRAMMAZIONE</w:t>
      </w:r>
    </w:p>
    <w:p w:rsidR="00B86B59" w:rsidRDefault="00B86B59" w:rsidP="00B86B59">
      <w:pPr>
        <w:autoSpaceDE w:val="0"/>
        <w:autoSpaceDN w:val="0"/>
        <w:adjustRightInd w:val="0"/>
        <w:spacing w:after="0" w:line="240" w:lineRule="auto"/>
        <w:jc w:val="both"/>
        <w:rPr>
          <w:rFonts w:cstheme="minorHAnsi"/>
        </w:rPr>
      </w:pPr>
    </w:p>
    <w:p w:rsidR="0047749A" w:rsidRPr="00B86B59" w:rsidRDefault="0047749A" w:rsidP="00B86B59">
      <w:pPr>
        <w:autoSpaceDE w:val="0"/>
        <w:autoSpaceDN w:val="0"/>
        <w:adjustRightInd w:val="0"/>
        <w:spacing w:after="0" w:line="240" w:lineRule="auto"/>
        <w:jc w:val="both"/>
      </w:pPr>
      <w:r w:rsidRPr="00B86B59">
        <w:rPr>
          <w:b/>
        </w:rPr>
        <w:t xml:space="preserve">DCR 31 </w:t>
      </w:r>
      <w:r w:rsidR="00B86B59">
        <w:rPr>
          <w:b/>
        </w:rPr>
        <w:t>l</w:t>
      </w:r>
      <w:r w:rsidRPr="00B86B59">
        <w:rPr>
          <w:b/>
        </w:rPr>
        <w:t xml:space="preserve">uglio 2019, n. </w:t>
      </w:r>
      <w:proofErr w:type="gramStart"/>
      <w:r w:rsidRPr="00B86B59">
        <w:rPr>
          <w:b/>
        </w:rPr>
        <w:t>21</w:t>
      </w:r>
      <w:r w:rsidR="00B86B59">
        <w:rPr>
          <w:b/>
        </w:rPr>
        <w:t xml:space="preserve">, </w:t>
      </w:r>
      <w:r w:rsidRPr="00B86B59">
        <w:t xml:space="preserve"> Documento</w:t>
      </w:r>
      <w:proofErr w:type="gramEnd"/>
      <w:r w:rsidRPr="00B86B59">
        <w:t xml:space="preserve"> di Economia e Finanza Regionale 2020/2022. (BUR n. 34 del 21.8.19)</w:t>
      </w:r>
    </w:p>
    <w:p w:rsidR="00B86B59" w:rsidRPr="00B86B59" w:rsidRDefault="00B86B59" w:rsidP="0047749A">
      <w:pPr>
        <w:autoSpaceDE w:val="0"/>
        <w:autoSpaceDN w:val="0"/>
        <w:adjustRightInd w:val="0"/>
        <w:spacing w:after="0" w:line="240" w:lineRule="auto"/>
        <w:rPr>
          <w:b/>
        </w:rPr>
      </w:pPr>
      <w:r w:rsidRPr="00B86B59">
        <w:rPr>
          <w:b/>
        </w:rPr>
        <w:t>Note</w:t>
      </w:r>
    </w:p>
    <w:p w:rsidR="00B86B59" w:rsidRDefault="00B86B59" w:rsidP="0047749A">
      <w:pPr>
        <w:autoSpaceDE w:val="0"/>
        <w:autoSpaceDN w:val="0"/>
        <w:adjustRightInd w:val="0"/>
        <w:spacing w:after="0" w:line="240" w:lineRule="auto"/>
      </w:pPr>
      <w:r>
        <w:t xml:space="preserve">Il </w:t>
      </w:r>
      <w:r w:rsidR="00AB2ABC">
        <w:t>DEFR</w:t>
      </w:r>
      <w:r>
        <w:t xml:space="preserve">: </w:t>
      </w:r>
    </w:p>
    <w:p w:rsidR="00B86B59" w:rsidRDefault="00AB2ABC" w:rsidP="00D52790">
      <w:pPr>
        <w:pStyle w:val="Paragrafoelenco"/>
        <w:numPr>
          <w:ilvl w:val="0"/>
          <w:numId w:val="5"/>
        </w:numPr>
        <w:autoSpaceDE w:val="0"/>
        <w:autoSpaceDN w:val="0"/>
        <w:adjustRightInd w:val="0"/>
        <w:spacing w:after="0" w:line="240" w:lineRule="auto"/>
        <w:jc w:val="both"/>
      </w:pPr>
      <w:r>
        <w:t xml:space="preserve"> </w:t>
      </w:r>
      <w:proofErr w:type="gramStart"/>
      <w:r>
        <w:t>ha</w:t>
      </w:r>
      <w:proofErr w:type="gramEnd"/>
      <w:r>
        <w:t xml:space="preserve"> tra le sue f</w:t>
      </w:r>
      <w:r w:rsidR="00B86B59">
        <w:t>i</w:t>
      </w:r>
      <w:r>
        <w:t>nalità quella di orientare le successive deliberazioni del Consiglio regionale Assemblea legislativa della Liguria e della Giunta regionale e costituisce altresì il presupposto dell’attività di controllo strategico vista la sua interconnessione con il Piano della Performance</w:t>
      </w:r>
      <w:r w:rsidR="00B86B59">
        <w:t>;</w:t>
      </w:r>
    </w:p>
    <w:p w:rsidR="00B86B59" w:rsidRDefault="00AB2ABC" w:rsidP="00D52790">
      <w:pPr>
        <w:pStyle w:val="Paragrafoelenco"/>
        <w:numPr>
          <w:ilvl w:val="0"/>
          <w:numId w:val="5"/>
        </w:numPr>
        <w:autoSpaceDE w:val="0"/>
        <w:autoSpaceDN w:val="0"/>
        <w:adjustRightInd w:val="0"/>
        <w:spacing w:after="0" w:line="240" w:lineRule="auto"/>
        <w:jc w:val="both"/>
      </w:pPr>
      <w:proofErr w:type="gramStart"/>
      <w:r>
        <w:t>contiene</w:t>
      </w:r>
      <w:proofErr w:type="gramEnd"/>
      <w:r>
        <w:t xml:space="preserve"> le linee programmatiche pluriennali dell’azione di governo regionale necessarie per il conseguimento degli obiettivi di sviluppo della Regione e rappresenta il principale strumento di programmazione dell’Ente, verso il quale i programmi settoriali devono essere coerenti;</w:t>
      </w:r>
    </w:p>
    <w:p w:rsidR="00B86B59" w:rsidRDefault="00AB2ABC" w:rsidP="00D52790">
      <w:pPr>
        <w:pStyle w:val="Paragrafoelenco"/>
        <w:numPr>
          <w:ilvl w:val="0"/>
          <w:numId w:val="5"/>
        </w:numPr>
        <w:autoSpaceDE w:val="0"/>
        <w:autoSpaceDN w:val="0"/>
        <w:adjustRightInd w:val="0"/>
        <w:spacing w:after="0" w:line="240" w:lineRule="auto"/>
        <w:jc w:val="both"/>
      </w:pPr>
      <w:proofErr w:type="gramStart"/>
      <w:r>
        <w:t>ha</w:t>
      </w:r>
      <w:proofErr w:type="gramEnd"/>
      <w:r>
        <w:t xml:space="preserve"> tra le sue f</w:t>
      </w:r>
      <w:r w:rsidR="00B86B59">
        <w:t>i</w:t>
      </w:r>
      <w:r>
        <w:t>nalità quella di rappresentare il quadro di riferimento per la def</w:t>
      </w:r>
      <w:r w:rsidR="00B86B59">
        <w:t>i</w:t>
      </w:r>
      <w:r>
        <w:t>nizione dei programmi da realizzare all’interno delle singole missioni e delle risorse disponibili per il f</w:t>
      </w:r>
      <w:r w:rsidR="00B86B59">
        <w:t>i</w:t>
      </w:r>
      <w:r>
        <w:t>nanziamento degli stessi</w:t>
      </w:r>
      <w:r w:rsidR="00B86B59">
        <w:t>.</w:t>
      </w:r>
    </w:p>
    <w:p w:rsidR="00B86B59" w:rsidRDefault="00B86B59" w:rsidP="00B86B59">
      <w:pPr>
        <w:autoSpaceDE w:val="0"/>
        <w:autoSpaceDN w:val="0"/>
        <w:adjustRightInd w:val="0"/>
        <w:spacing w:after="0" w:line="240" w:lineRule="auto"/>
        <w:ind w:left="360"/>
        <w:jc w:val="both"/>
      </w:pPr>
      <w:r>
        <w:t xml:space="preserve">Viene </w:t>
      </w:r>
      <w:proofErr w:type="gramStart"/>
      <w:r>
        <w:t xml:space="preserve">approvato </w:t>
      </w:r>
      <w:r w:rsidR="00AB2ABC">
        <w:t xml:space="preserve"> approvare</w:t>
      </w:r>
      <w:proofErr w:type="gramEnd"/>
      <w:r w:rsidR="00AB2ABC">
        <w:t xml:space="preserve"> il Documento di Economia e Fina</w:t>
      </w:r>
      <w:r>
        <w:t>nza Regionale.</w:t>
      </w:r>
    </w:p>
    <w:p w:rsidR="00B86B59" w:rsidRPr="00B86B59" w:rsidRDefault="00B86B59" w:rsidP="00B86B59">
      <w:pPr>
        <w:autoSpaceDE w:val="0"/>
        <w:autoSpaceDN w:val="0"/>
        <w:adjustRightInd w:val="0"/>
        <w:spacing w:after="0" w:line="240" w:lineRule="auto"/>
        <w:jc w:val="both"/>
        <w:rPr>
          <w:b/>
        </w:rPr>
      </w:pPr>
      <w:r w:rsidRPr="00B86B59">
        <w:rPr>
          <w:b/>
        </w:rPr>
        <w:t>NB</w:t>
      </w:r>
    </w:p>
    <w:p w:rsidR="0047749A" w:rsidRPr="00B86B59" w:rsidRDefault="00B86B59" w:rsidP="00B86B59">
      <w:pPr>
        <w:autoSpaceDE w:val="0"/>
        <w:autoSpaceDN w:val="0"/>
        <w:adjustRightInd w:val="0"/>
        <w:spacing w:after="0" w:line="240" w:lineRule="auto"/>
        <w:jc w:val="both"/>
        <w:rPr>
          <w:b/>
        </w:rPr>
      </w:pPr>
      <w:r w:rsidRPr="00B86B59">
        <w:rPr>
          <w:b/>
        </w:rPr>
        <w:t xml:space="preserve">SI </w:t>
      </w:r>
      <w:proofErr w:type="gramStart"/>
      <w:r w:rsidRPr="00B86B59">
        <w:rPr>
          <w:b/>
        </w:rPr>
        <w:t>RIPORTANO  I</w:t>
      </w:r>
      <w:proofErr w:type="gramEnd"/>
      <w:r w:rsidRPr="00B86B59">
        <w:rPr>
          <w:b/>
        </w:rPr>
        <w:t xml:space="preserve"> PARAGRAFI CONNESSI ALLE POLITCHE SOCIO-SANITARIE </w:t>
      </w:r>
    </w:p>
    <w:p w:rsidR="0047749A" w:rsidRPr="000B1194" w:rsidRDefault="0047749A" w:rsidP="0047749A">
      <w:pPr>
        <w:autoSpaceDE w:val="0"/>
        <w:autoSpaceDN w:val="0"/>
        <w:adjustRightInd w:val="0"/>
        <w:spacing w:after="0" w:line="240" w:lineRule="auto"/>
        <w:rPr>
          <w:color w:val="FF0000"/>
        </w:rPr>
      </w:pPr>
    </w:p>
    <w:p w:rsidR="0047749A" w:rsidRPr="00B86B59" w:rsidRDefault="00B86B59" w:rsidP="0047749A">
      <w:pPr>
        <w:autoSpaceDE w:val="0"/>
        <w:autoSpaceDN w:val="0"/>
        <w:adjustRightInd w:val="0"/>
        <w:spacing w:after="0" w:line="240" w:lineRule="auto"/>
      </w:pPr>
      <w:r w:rsidRPr="00B86B59">
        <w:t xml:space="preserve">Vengono in via preliminare presentati i contesti di riferimento, riferiti agli aspetti demografici, nonché alle politiche attuate dal governo, con riferimento al lavoro alle politiche sociali ed alla sanità. </w:t>
      </w:r>
    </w:p>
    <w:p w:rsidR="0047749A" w:rsidRPr="00B86B59" w:rsidRDefault="0047749A" w:rsidP="0047749A">
      <w:pPr>
        <w:autoSpaceDE w:val="0"/>
        <w:autoSpaceDN w:val="0"/>
        <w:adjustRightInd w:val="0"/>
        <w:spacing w:after="0" w:line="240" w:lineRule="auto"/>
      </w:pPr>
      <w:r w:rsidRPr="00B86B59">
        <w:t>1.9</w:t>
      </w:r>
    </w:p>
    <w:p w:rsidR="0047749A" w:rsidRPr="00101F1C" w:rsidRDefault="0047749A" w:rsidP="0047749A">
      <w:pPr>
        <w:autoSpaceDE w:val="0"/>
        <w:autoSpaceDN w:val="0"/>
        <w:adjustRightInd w:val="0"/>
        <w:spacing w:after="0" w:line="240" w:lineRule="auto"/>
        <w:rPr>
          <w:b/>
        </w:rPr>
      </w:pPr>
      <w:r w:rsidRPr="00B86B59">
        <w:lastRenderedPageBreak/>
        <w:t xml:space="preserve"> </w:t>
      </w:r>
      <w:r w:rsidRPr="00101F1C">
        <w:rPr>
          <w:b/>
        </w:rPr>
        <w:t xml:space="preserve">Il sociale e la sanità </w:t>
      </w:r>
    </w:p>
    <w:p w:rsidR="0047749A" w:rsidRPr="00101F1C" w:rsidRDefault="0047749A" w:rsidP="0047749A">
      <w:pPr>
        <w:autoSpaceDE w:val="0"/>
        <w:autoSpaceDN w:val="0"/>
        <w:adjustRightInd w:val="0"/>
        <w:spacing w:after="0" w:line="240" w:lineRule="auto"/>
        <w:jc w:val="both"/>
        <w:rPr>
          <w:b/>
        </w:rPr>
      </w:pPr>
      <w:r w:rsidRPr="00101F1C">
        <w:rPr>
          <w:b/>
        </w:rPr>
        <w:t xml:space="preserve">Contesto sociosanitario </w:t>
      </w:r>
    </w:p>
    <w:p w:rsidR="0047749A" w:rsidRPr="00B86B59" w:rsidRDefault="0047749A" w:rsidP="0047749A">
      <w:pPr>
        <w:autoSpaceDE w:val="0"/>
        <w:autoSpaceDN w:val="0"/>
        <w:adjustRightInd w:val="0"/>
        <w:spacing w:after="0" w:line="240" w:lineRule="auto"/>
        <w:jc w:val="both"/>
      </w:pPr>
      <w:r w:rsidRPr="00B86B59">
        <w:t xml:space="preserve">La popolazione ligure, con una popolazione residente al 1° gennaio 2018 pari a 1.556.981 (di cui </w:t>
      </w:r>
      <w:proofErr w:type="gramStart"/>
      <w:r w:rsidRPr="00B86B59">
        <w:t>743.755  maschi</w:t>
      </w:r>
      <w:proofErr w:type="gramEnd"/>
      <w:r w:rsidRPr="00B86B59">
        <w:t xml:space="preserve"> e 813.226 femmine), conferma il trend di riduzione rispetto agli anni scorsi (-8.326 rispetto al 2017 e - 14.072 rispetto al 2016). </w:t>
      </w:r>
    </w:p>
    <w:p w:rsidR="0047749A" w:rsidRPr="00B86B59" w:rsidRDefault="0047749A" w:rsidP="0047749A">
      <w:pPr>
        <w:autoSpaceDE w:val="0"/>
        <w:autoSpaceDN w:val="0"/>
        <w:adjustRightInd w:val="0"/>
        <w:spacing w:after="0" w:line="240" w:lineRule="auto"/>
        <w:jc w:val="both"/>
      </w:pPr>
      <w:r w:rsidRPr="00B86B59">
        <w:t xml:space="preserve">Il 54,3% dei residenti si registra a Genova, il 17,8% a Savona il 13,8% ad Imperia e il 14,1 a La Spezia. Sul Totale della popolazione residente si riscontra una presenza abbastanza omogenea tra maschi (48%) e femmine (52%). </w:t>
      </w:r>
    </w:p>
    <w:p w:rsidR="0047749A" w:rsidRPr="00B86B59" w:rsidRDefault="0047749A" w:rsidP="0047749A">
      <w:pPr>
        <w:autoSpaceDE w:val="0"/>
        <w:autoSpaceDN w:val="0"/>
        <w:adjustRightInd w:val="0"/>
        <w:spacing w:after="0" w:line="240" w:lineRule="auto"/>
        <w:jc w:val="both"/>
      </w:pPr>
      <w:r w:rsidRPr="00B86B59">
        <w:t xml:space="preserve">Con 141.720 residenti la popolazione straniera fa registrare un incremento rispetto al dato al 1° gennaio 2017 di 3.396 persone (pari al 9,10% della popolazione totale). </w:t>
      </w:r>
    </w:p>
    <w:p w:rsidR="0047749A" w:rsidRPr="00B86B59" w:rsidRDefault="0047749A" w:rsidP="0047749A">
      <w:pPr>
        <w:autoSpaceDE w:val="0"/>
        <w:autoSpaceDN w:val="0"/>
        <w:adjustRightInd w:val="0"/>
        <w:spacing w:after="0" w:line="240" w:lineRule="auto"/>
        <w:jc w:val="both"/>
      </w:pPr>
      <w:r w:rsidRPr="00B86B59">
        <w:t xml:space="preserve">Il 51,7% risiede nella provincia di Genova, il 17,4 % ad Imperia, il 16,9% a Savona e il 14,1% a La Spezia. Come per il dato complessivo, anche nella popolazione straniera prevale leggermente la componente femminile (74.120 residenti). Le comunità più numerose di stranieri residenti sono provenienti da questi stati: Albania (21.720 pari al 15,3% del totale), Romania (20.699; 14,6%), Equador (18.213; 12,9%) e Marocco (13.822; 9,8%). </w:t>
      </w:r>
    </w:p>
    <w:p w:rsidR="0047749A" w:rsidRPr="00B86B59" w:rsidRDefault="0047749A" w:rsidP="0047749A">
      <w:pPr>
        <w:autoSpaceDE w:val="0"/>
        <w:autoSpaceDN w:val="0"/>
        <w:adjustRightInd w:val="0"/>
        <w:spacing w:after="0" w:line="240" w:lineRule="auto"/>
        <w:jc w:val="both"/>
      </w:pPr>
      <w:r w:rsidRPr="00B86B59">
        <w:t xml:space="preserve">Per quanto riguarda il saldo migratorio della Regione, i dati ISTAT 2017 fanno registrare 36.425 trasferimenti in Liguria da altre Regioni d’Italia a fronte di 34.686 trasferimenti dalla Liguria verso altre Regioni, con un saldo negativo pari a 1.739 persone. </w:t>
      </w:r>
    </w:p>
    <w:p w:rsidR="0047749A" w:rsidRPr="00B86B59" w:rsidRDefault="0047749A" w:rsidP="0047749A">
      <w:pPr>
        <w:autoSpaceDE w:val="0"/>
        <w:autoSpaceDN w:val="0"/>
        <w:adjustRightInd w:val="0"/>
        <w:spacing w:after="0" w:line="240" w:lineRule="auto"/>
        <w:jc w:val="both"/>
      </w:pPr>
      <w:r w:rsidRPr="00B86B59">
        <w:t xml:space="preserve">Sul saldo demografico incide in modo particolare l’andamento del saldo naturale che, In attesa dell’aggiornamento sul numero dei decessi dell’anno 2018, nel 2017 risulta negativo (-12.563): 9.571 nati e 22.134 morti Il tasso di natalità in Italia è in diminuzione costante dal 2008 e ha registrato nel 2017 un tasso pari a 7,6 nascite ogni 1.000 abitanti. </w:t>
      </w:r>
    </w:p>
    <w:p w:rsidR="0047749A" w:rsidRPr="00B86B59" w:rsidRDefault="0047749A" w:rsidP="0047749A">
      <w:pPr>
        <w:autoSpaceDE w:val="0"/>
        <w:autoSpaceDN w:val="0"/>
        <w:adjustRightInd w:val="0"/>
        <w:spacing w:after="0" w:line="240" w:lineRule="auto"/>
        <w:jc w:val="both"/>
      </w:pPr>
      <w:r w:rsidRPr="00B86B59">
        <w:t>Per la Regione Liguria si segnala un dato inferiore e caratterizzato dal medesimo trend negativo: partendo dal dato di 7,9 del 2008, nel 2017 il tasso è sceso a 6,1 nascite per mille, pari anche al tasso della provincia di Genova. La provincia di Savona, con 5,7 nati su mille abitanti, registra invece il dato più basso.</w:t>
      </w:r>
    </w:p>
    <w:p w:rsidR="0047749A" w:rsidRPr="00B86B59" w:rsidRDefault="0047749A" w:rsidP="0047749A">
      <w:pPr>
        <w:autoSpaceDE w:val="0"/>
        <w:autoSpaceDN w:val="0"/>
        <w:adjustRightInd w:val="0"/>
        <w:spacing w:after="0" w:line="240" w:lineRule="auto"/>
        <w:jc w:val="both"/>
      </w:pPr>
      <w:r w:rsidRPr="00B86B59">
        <w:t xml:space="preserve">Le stime ISTAT 2018 per la Liguria indicano un’ulteriore riduzione a 6 nascite ogni mille abitanti. Diversamente, il tasso di mortalità per 1.000 residenti della Regione Liguria appare in crescita dal 2008, con 14,2 decessi ogni 1.000 residenti nel 2017 a fronte di un tasso nazionale pari al 10,7. </w:t>
      </w:r>
    </w:p>
    <w:p w:rsidR="0047749A" w:rsidRPr="00B86B59" w:rsidRDefault="0047749A" w:rsidP="0047749A">
      <w:pPr>
        <w:autoSpaceDE w:val="0"/>
        <w:autoSpaceDN w:val="0"/>
        <w:adjustRightInd w:val="0"/>
        <w:spacing w:after="0" w:line="240" w:lineRule="auto"/>
        <w:jc w:val="both"/>
      </w:pPr>
      <w:r w:rsidRPr="00B86B59">
        <w:t xml:space="preserve">Per la Regione, le stime ISTAT 2018 indicano un ulteriore incremento a 14,4 decessi per mille abitanti. Relativamente ai dati sulle famiglie e le loro tipologie quelle composte da una sola persona in Liguria nel 2018 raggiungono la quota del 40,9%, contro un dato nazionale pari al 33%. </w:t>
      </w:r>
    </w:p>
    <w:p w:rsidR="0047749A" w:rsidRPr="00B86B59" w:rsidRDefault="0047749A" w:rsidP="0047749A">
      <w:pPr>
        <w:autoSpaceDE w:val="0"/>
        <w:autoSpaceDN w:val="0"/>
        <w:adjustRightInd w:val="0"/>
        <w:spacing w:after="0" w:line="240" w:lineRule="auto"/>
        <w:jc w:val="both"/>
      </w:pPr>
      <w:r w:rsidRPr="00B86B59">
        <w:t xml:space="preserve">Sia il dato regionale che quello nazionale sono in crescita (dati 2017, rispettivamente, 40,3% e 31,9%). </w:t>
      </w:r>
    </w:p>
    <w:p w:rsidR="0047749A" w:rsidRPr="00B86B59" w:rsidRDefault="0047749A" w:rsidP="0047749A">
      <w:pPr>
        <w:autoSpaceDE w:val="0"/>
        <w:autoSpaceDN w:val="0"/>
        <w:adjustRightInd w:val="0"/>
        <w:spacing w:after="0" w:line="240" w:lineRule="auto"/>
        <w:jc w:val="both"/>
      </w:pPr>
      <w:r w:rsidRPr="00B86B59">
        <w:t xml:space="preserve">Le famiglie con più di 5 componenti in Regione nel 2018 sono il 2,6% del totale, contro un dato nazionale di circa il doppio (5,3%). </w:t>
      </w:r>
    </w:p>
    <w:p w:rsidR="0047749A" w:rsidRPr="00B86B59" w:rsidRDefault="0047749A" w:rsidP="0047749A">
      <w:pPr>
        <w:autoSpaceDE w:val="0"/>
        <w:autoSpaceDN w:val="0"/>
        <w:adjustRightInd w:val="0"/>
        <w:spacing w:after="0" w:line="240" w:lineRule="auto"/>
        <w:jc w:val="both"/>
      </w:pPr>
      <w:r w:rsidRPr="00B86B59">
        <w:t xml:space="preserve">Per quanto riguarda la struttura della popolazione, quella ligure si caratterizza per essere particolarmente sbilanciata verso la componente anziana: la popolazione con 65 o più anni nel 2018 ha rappresentato il 28,4% del totale, stabile rispetto al dato 2017, a fronte di un dato nazionale 2018 pari al 22,6%. </w:t>
      </w:r>
    </w:p>
    <w:p w:rsidR="0047749A" w:rsidRPr="00B86B59" w:rsidRDefault="0047749A" w:rsidP="0047749A">
      <w:pPr>
        <w:autoSpaceDE w:val="0"/>
        <w:autoSpaceDN w:val="0"/>
        <w:adjustRightInd w:val="0"/>
        <w:spacing w:after="0" w:line="240" w:lineRule="auto"/>
        <w:jc w:val="both"/>
      </w:pPr>
      <w:r w:rsidRPr="00B86B59">
        <w:t xml:space="preserve">Gli altri indicatori legati all’invecchiamento della popolazione, l’indice di vecchiaia, l’età media e l’indice di dipendenza strutturale, restituiscono anch’essi dati superiori a quelli nazionali e in peggioramento: </w:t>
      </w:r>
    </w:p>
    <w:p w:rsidR="0047749A" w:rsidRPr="00B86B59" w:rsidRDefault="0047749A" w:rsidP="0047749A">
      <w:pPr>
        <w:autoSpaceDE w:val="0"/>
        <w:autoSpaceDN w:val="0"/>
        <w:adjustRightInd w:val="0"/>
        <w:spacing w:after="0" w:line="240" w:lineRule="auto"/>
        <w:jc w:val="both"/>
      </w:pPr>
      <w:r w:rsidRPr="00B86B59">
        <w:t>- l’indice di vecchiaia 2018 in Liguria è pari al 252,4 (con stime ISTAT 2019 pari al 255,2), in peggioramento rispetto al 249,8 del 2017; il dato nazionale 2018 si attesta invece a 168,9;</w:t>
      </w:r>
    </w:p>
    <w:p w:rsidR="0047749A" w:rsidRPr="00B86B59" w:rsidRDefault="0047749A" w:rsidP="0047749A">
      <w:pPr>
        <w:autoSpaceDE w:val="0"/>
        <w:autoSpaceDN w:val="0"/>
        <w:adjustRightInd w:val="0"/>
        <w:spacing w:after="0" w:line="240" w:lineRule="auto"/>
        <w:jc w:val="both"/>
      </w:pPr>
      <w:r w:rsidRPr="00B86B59">
        <w:t xml:space="preserve"> - l’età media regionale, pari a 48,8 anni nel 2018, aumenta rispetto ai 48,7 anni del 2017, a fronte di un dato nazionale 2018 pari a 45,2; </w:t>
      </w:r>
    </w:p>
    <w:p w:rsidR="0047749A" w:rsidRPr="00B86B59" w:rsidRDefault="0047749A" w:rsidP="0047749A">
      <w:pPr>
        <w:autoSpaceDE w:val="0"/>
        <w:autoSpaceDN w:val="0"/>
        <w:adjustRightInd w:val="0"/>
        <w:spacing w:after="0" w:line="240" w:lineRule="auto"/>
        <w:jc w:val="both"/>
      </w:pPr>
      <w:r w:rsidRPr="00B86B59">
        <w:t>- l’indice di dipendenza strutturale in Liguria, calcolato come numero di persone in età non attiva ogni 100 persone in età attiva, nel 2018 si è attestato al 65,7%, a fronte di un dato nazionale pari al 56,1;</w:t>
      </w:r>
    </w:p>
    <w:p w:rsidR="0047749A" w:rsidRPr="00B86B59" w:rsidRDefault="0047749A" w:rsidP="0047749A">
      <w:pPr>
        <w:autoSpaceDE w:val="0"/>
        <w:autoSpaceDN w:val="0"/>
        <w:adjustRightInd w:val="0"/>
        <w:spacing w:after="0" w:line="240" w:lineRule="auto"/>
        <w:jc w:val="both"/>
      </w:pPr>
      <w:r w:rsidRPr="00B86B59">
        <w:t xml:space="preserve">Infine, la popolazione con meno di 14 anni in Liguria rappresenta l’11,3% del totale (dato 2018), a fronte di un dato nazionale pari al 13,4%. </w:t>
      </w:r>
    </w:p>
    <w:p w:rsidR="0047749A" w:rsidRPr="00B86B59" w:rsidRDefault="0047749A" w:rsidP="0047749A">
      <w:pPr>
        <w:autoSpaceDE w:val="0"/>
        <w:autoSpaceDN w:val="0"/>
        <w:adjustRightInd w:val="0"/>
        <w:spacing w:after="0" w:line="240" w:lineRule="auto"/>
        <w:jc w:val="both"/>
      </w:pPr>
      <w:r w:rsidRPr="00B86B59">
        <w:t>Dai dati Istat, l’aspettativa di vita alla nascita in Liguria nel 2017, risulta per i maschi pari a 80,6 anni e per le femmine ad 85 anni.</w:t>
      </w:r>
    </w:p>
    <w:p w:rsidR="0047749A" w:rsidRPr="00B86B59" w:rsidRDefault="0047749A" w:rsidP="0047749A">
      <w:pPr>
        <w:autoSpaceDE w:val="0"/>
        <w:autoSpaceDN w:val="0"/>
        <w:adjustRightInd w:val="0"/>
        <w:spacing w:after="0" w:line="240" w:lineRule="auto"/>
        <w:jc w:val="both"/>
      </w:pPr>
      <w:r w:rsidRPr="00B86B59">
        <w:t xml:space="preserve">Il dato complessivo si attesta al 82,7, valori corrispondenti a quelli nazionali. </w:t>
      </w:r>
    </w:p>
    <w:p w:rsidR="0047749A" w:rsidRPr="00B86B59" w:rsidRDefault="0047749A" w:rsidP="0047749A">
      <w:pPr>
        <w:autoSpaceDE w:val="0"/>
        <w:autoSpaceDN w:val="0"/>
        <w:adjustRightInd w:val="0"/>
        <w:spacing w:after="0" w:line="240" w:lineRule="auto"/>
        <w:jc w:val="both"/>
      </w:pPr>
      <w:r w:rsidRPr="00B86B59">
        <w:t xml:space="preserve">Per il 2018 il dato stimato è analogo a quello dell’anno precedente, 80,4 anni per i maschi e di 84,9 per le femmine. </w:t>
      </w:r>
    </w:p>
    <w:p w:rsidR="0047749A" w:rsidRPr="00B86B59" w:rsidRDefault="0047749A" w:rsidP="0047749A">
      <w:pPr>
        <w:autoSpaceDE w:val="0"/>
        <w:autoSpaceDN w:val="0"/>
        <w:adjustRightInd w:val="0"/>
        <w:spacing w:after="0" w:line="240" w:lineRule="auto"/>
        <w:jc w:val="both"/>
      </w:pPr>
      <w:r w:rsidRPr="00B86B59">
        <w:t xml:space="preserve">In Regione Liguria nel 2017 si sono contati 22.134 decessi. </w:t>
      </w:r>
    </w:p>
    <w:p w:rsidR="0047749A" w:rsidRPr="00B86B59" w:rsidRDefault="0047749A" w:rsidP="0047749A">
      <w:pPr>
        <w:autoSpaceDE w:val="0"/>
        <w:autoSpaceDN w:val="0"/>
        <w:adjustRightInd w:val="0"/>
        <w:spacing w:after="0" w:line="240" w:lineRule="auto"/>
        <w:jc w:val="both"/>
      </w:pPr>
      <w:r w:rsidRPr="00B86B59">
        <w:lastRenderedPageBreak/>
        <w:t xml:space="preserve">Dai dati aggiornati a disposizione relativi al 2016, tra le 21.044 cause di morte registrate in Liguria nel 2016, la prima causa per numerosità riguarda le malattie del sistema circolatorio con 7.429 decessi; seguono i tumori 5.847. </w:t>
      </w:r>
    </w:p>
    <w:p w:rsidR="0047749A" w:rsidRPr="00B86B59" w:rsidRDefault="0047749A" w:rsidP="0047749A">
      <w:pPr>
        <w:autoSpaceDE w:val="0"/>
        <w:autoSpaceDN w:val="0"/>
        <w:adjustRightInd w:val="0"/>
        <w:spacing w:after="0" w:line="240" w:lineRule="auto"/>
        <w:jc w:val="both"/>
      </w:pPr>
      <w:r w:rsidRPr="00B86B59">
        <w:t xml:space="preserve">Dall’analisi dei dati risultanti dall’indagine multiscopo dell’Istat sulle condizioni di salute emerge che la percentuale della popolazione ligure in buona salute negli ultimi tre anni registra un trend positivo: 66,6% nel 2015; 67,2% nel 2016; 68,1% nel 2017. </w:t>
      </w:r>
    </w:p>
    <w:p w:rsidR="0047749A" w:rsidRPr="00B86B59" w:rsidRDefault="0047749A" w:rsidP="0047749A">
      <w:pPr>
        <w:autoSpaceDE w:val="0"/>
        <w:autoSpaceDN w:val="0"/>
        <w:adjustRightInd w:val="0"/>
        <w:spacing w:after="0" w:line="240" w:lineRule="auto"/>
        <w:jc w:val="both"/>
      </w:pPr>
      <w:r w:rsidRPr="00B86B59">
        <w:t xml:space="preserve">Tra i comportamenti che possono incidere negativamente sulle condizioni di salute, nel 2018 in Liguria si rileva una percentuale di fumatori, di 14 anni e più, pari al 18,9% con un numero medio di 11,2 sigarette fumate al giorno, dato in miglioramento confronto l’anno precedente (21,5% fumatori – 12,2 numero medio di sigarette al giorno) risultato ottenuto probabilmente grazie alla campagna anti fumo nelle scuole. Le persone di 11 anni e più che consumano alcolici fuori pasto, in diminuzione rispetto ai dati relativi al 2017, in Liguria sono nel 2018 pari al 30,6%, nel Nord-Ovest il 32,6%, a livello nazionale il dato relativo al 2018 sale di una unità rispetto all’anno precedente 30,2%. </w:t>
      </w:r>
    </w:p>
    <w:p w:rsidR="0047749A" w:rsidRPr="00B86B59" w:rsidRDefault="0047749A" w:rsidP="0047749A">
      <w:pPr>
        <w:autoSpaceDE w:val="0"/>
        <w:autoSpaceDN w:val="0"/>
        <w:adjustRightInd w:val="0"/>
        <w:spacing w:after="0" w:line="240" w:lineRule="auto"/>
        <w:jc w:val="both"/>
      </w:pPr>
      <w:r w:rsidRPr="00B86B59">
        <w:t xml:space="preserve">In Liguria risultano inoltre inferiori rispetto al Nord Ovest le persone definite normopeso: 51,2% rispetto a 53,2%. Per quanto riguarda i residenti sovrappeso liguri e del Nord Ovest, registrano rispettivamente il 34,8% e il 32,6% e a livello nazionale il 35,4 mentre il dato degli obesi in Liguria è analogo all’Italia, rispettivamente il 10,2% e il 10,7% inferiore è il dato del Nord-Ovest 9,8%. </w:t>
      </w:r>
    </w:p>
    <w:p w:rsidR="0047749A" w:rsidRPr="00B86B59" w:rsidRDefault="0047749A" w:rsidP="0047749A">
      <w:pPr>
        <w:autoSpaceDE w:val="0"/>
        <w:autoSpaceDN w:val="0"/>
        <w:adjustRightInd w:val="0"/>
        <w:spacing w:after="0" w:line="240" w:lineRule="auto"/>
        <w:jc w:val="both"/>
      </w:pPr>
      <w:r w:rsidRPr="00B86B59">
        <w:t xml:space="preserve">Analizzando i dati relativi al “consumo di farmaci negli ultimi due giorni”, rilevati con l’indagine Istat “Aspetti della vita quotidiana”, si nota che nel 2017 il valore della Liguria (48,5%) risulta superiore all’Italia (42%) e anche al Nord Ovest (44,3%). </w:t>
      </w:r>
    </w:p>
    <w:p w:rsidR="0047749A" w:rsidRPr="00B86B59" w:rsidRDefault="0047749A" w:rsidP="0047749A">
      <w:pPr>
        <w:autoSpaceDE w:val="0"/>
        <w:autoSpaceDN w:val="0"/>
        <w:adjustRightInd w:val="0"/>
        <w:spacing w:after="0" w:line="240" w:lineRule="auto"/>
        <w:jc w:val="both"/>
      </w:pPr>
      <w:r w:rsidRPr="00B86B59">
        <w:t xml:space="preserve">Sulla negatività del dato in Liguria influisce la presenza dell’elevato numero delle persone anziane, infatti se osserviamo le classi di età delle persone che usano farmaci la situazione è la seguente: 60-64 anni 63,3%; 65-74 anni 74,8%; 75 anni e più 89,4%. </w:t>
      </w:r>
    </w:p>
    <w:p w:rsidR="0047749A" w:rsidRDefault="0047749A" w:rsidP="0047749A">
      <w:pPr>
        <w:autoSpaceDE w:val="0"/>
        <w:autoSpaceDN w:val="0"/>
        <w:adjustRightInd w:val="0"/>
        <w:spacing w:after="0" w:line="240" w:lineRule="auto"/>
        <w:jc w:val="both"/>
      </w:pPr>
      <w:r w:rsidRPr="00B86B59">
        <w:t xml:space="preserve">Analizzando i dati relativi alle “persone con almeno un ricovero nei tre mesi precedenti l'intervista per soddisfazione per vari aspetti del ricovero”, rilevati con l’indagine Istat “Aspetti della vita quotidiana”, si nota che nel 2017 le persone che sono molto soddisfatte dell’assistenza medica sono in Liguria il 44,1% e per altra assistenza il 44,2% </w:t>
      </w:r>
      <w:r w:rsidR="00FE05BD">
        <w:t>percentuali superiori rispetto al dato nazionale che registra rispettivamente il 37,8% e il 39,5%.</w:t>
      </w:r>
    </w:p>
    <w:p w:rsidR="00FE05BD" w:rsidRPr="00B86B59" w:rsidRDefault="00FE05BD" w:rsidP="0047749A">
      <w:pPr>
        <w:autoSpaceDE w:val="0"/>
        <w:autoSpaceDN w:val="0"/>
        <w:adjustRightInd w:val="0"/>
        <w:spacing w:after="0" w:line="240" w:lineRule="auto"/>
        <w:jc w:val="both"/>
      </w:pPr>
      <w:r>
        <w:t>Nei presidi socio-assistenziali e socio-sanitari sono assistite 382.634 persone: quasi 288 mila (75,2%) hanno almeno 65 anni, oltre 73 mila (19,3%) un’età compresa tra i 18 e i 64 anni, e poco più di 21 mila (5,5%) sono giovani con meno di 18 anni. Con riferimento alle principali dimensioni del benessere delle persone si riportano di seguito gli indicatori BES legati direttamente (in verde) e indirettamente (in azzurro) ai contesti sociale e sanità e riferiti alla Liguria per gli anni 2008-2018.</w:t>
      </w:r>
    </w:p>
    <w:p w:rsidR="00101F1C" w:rsidRDefault="00101F1C" w:rsidP="0047749A">
      <w:pPr>
        <w:autoSpaceDE w:val="0"/>
        <w:autoSpaceDN w:val="0"/>
        <w:adjustRightInd w:val="0"/>
        <w:spacing w:after="0" w:line="240" w:lineRule="auto"/>
        <w:jc w:val="both"/>
      </w:pPr>
    </w:p>
    <w:p w:rsidR="000B6E79" w:rsidRPr="00101F1C" w:rsidRDefault="0047749A" w:rsidP="0047749A">
      <w:pPr>
        <w:autoSpaceDE w:val="0"/>
        <w:autoSpaceDN w:val="0"/>
        <w:adjustRightInd w:val="0"/>
        <w:spacing w:after="0" w:line="240" w:lineRule="auto"/>
        <w:jc w:val="both"/>
        <w:rPr>
          <w:b/>
        </w:rPr>
      </w:pPr>
      <w:r w:rsidRPr="00101F1C">
        <w:rPr>
          <w:b/>
        </w:rPr>
        <w:t xml:space="preserve">Disagio abitativo </w:t>
      </w:r>
    </w:p>
    <w:p w:rsidR="00101F1C" w:rsidRDefault="0047749A" w:rsidP="0047749A">
      <w:pPr>
        <w:autoSpaceDE w:val="0"/>
        <w:autoSpaceDN w:val="0"/>
        <w:adjustRightInd w:val="0"/>
        <w:spacing w:after="0" w:line="240" w:lineRule="auto"/>
        <w:jc w:val="both"/>
      </w:pPr>
      <w:r w:rsidRPr="00B86B59">
        <w:t xml:space="preserve">Per quanto riguarda la residenzialità pubblica, i mutamenti indotti dalla crisi economica, accompagnata dalla carenza di risorse pubbliche da destinare alla casa, hanno abbandonato la città e l’edilizia in genere ad un sempre maggior degrado. </w:t>
      </w:r>
    </w:p>
    <w:p w:rsidR="00101F1C" w:rsidRDefault="0047749A" w:rsidP="0047749A">
      <w:pPr>
        <w:autoSpaceDE w:val="0"/>
        <w:autoSpaceDN w:val="0"/>
        <w:adjustRightInd w:val="0"/>
        <w:spacing w:after="0" w:line="240" w:lineRule="auto"/>
        <w:jc w:val="both"/>
      </w:pPr>
      <w:r w:rsidRPr="00B86B59">
        <w:t xml:space="preserve">La mancanza di lavoro ha esposto la popolazione ad una progressiva incertezza economica ed all’incapacità di disporre di alloggi adeguati a prezzi sostenibili. </w:t>
      </w:r>
    </w:p>
    <w:p w:rsidR="00101F1C" w:rsidRDefault="0047749A" w:rsidP="0047749A">
      <w:pPr>
        <w:autoSpaceDE w:val="0"/>
        <w:autoSpaceDN w:val="0"/>
        <w:adjustRightInd w:val="0"/>
        <w:spacing w:after="0" w:line="240" w:lineRule="auto"/>
        <w:jc w:val="both"/>
      </w:pPr>
      <w:r w:rsidRPr="00B86B59">
        <w:t xml:space="preserve">La Regione interviene con diverse misure atte a sostenere le situazioni di disagio abitativo diversificando la propria azione nell’ambito del fabbisogno emergente. </w:t>
      </w:r>
    </w:p>
    <w:p w:rsidR="00101F1C" w:rsidRDefault="0047749A" w:rsidP="0047749A">
      <w:pPr>
        <w:autoSpaceDE w:val="0"/>
        <w:autoSpaceDN w:val="0"/>
        <w:adjustRightInd w:val="0"/>
        <w:spacing w:after="0" w:line="240" w:lineRule="auto"/>
        <w:jc w:val="both"/>
      </w:pPr>
      <w:r w:rsidRPr="00B86B59">
        <w:t xml:space="preserve">Quale strumento a sostegno degli utenti del patrimonio di edilizia residenziale la l.r. n. 18/2015 ha istituito un fondo destinato alle A.R.T.E liguri per la copertura degli oneri derivanti da operazioni di valorizzazione e dismissione del proprio patrimonio i cui proventi sono finalizzati al finanziamento delle attività istituzionali, consistenti prevalentemente nella gestione del patrimonio pubblico. </w:t>
      </w:r>
    </w:p>
    <w:p w:rsidR="00101F1C" w:rsidRDefault="0047749A" w:rsidP="0047749A">
      <w:pPr>
        <w:autoSpaceDE w:val="0"/>
        <w:autoSpaceDN w:val="0"/>
        <w:adjustRightInd w:val="0"/>
        <w:spacing w:after="0" w:line="240" w:lineRule="auto"/>
        <w:jc w:val="both"/>
      </w:pPr>
      <w:r w:rsidRPr="00B86B59">
        <w:t xml:space="preserve">Tale fondo, costituito dal 2015 per dieci anni, può avere una dotazione finanziaria annua massima di 7 milioni di euro. </w:t>
      </w:r>
    </w:p>
    <w:p w:rsidR="00101F1C" w:rsidRDefault="0047749A" w:rsidP="0047749A">
      <w:pPr>
        <w:autoSpaceDE w:val="0"/>
        <w:autoSpaceDN w:val="0"/>
        <w:adjustRightInd w:val="0"/>
        <w:spacing w:after="0" w:line="240" w:lineRule="auto"/>
        <w:jc w:val="both"/>
      </w:pPr>
      <w:r w:rsidRPr="00B86B59">
        <w:t xml:space="preserve">Anche per le prossime annualità gli elementi per provvedere al riparto dello stanziamento di bilancio tra le Aziende faranno riferimento all’entità degli oneri finanziari desumibili dai bilanci consuntivi delle ARTE ed alla consistenza del patrimonio di e.r.p. di proprietà delle stesse. </w:t>
      </w:r>
    </w:p>
    <w:p w:rsidR="00101F1C" w:rsidRDefault="0047749A" w:rsidP="0047749A">
      <w:pPr>
        <w:autoSpaceDE w:val="0"/>
        <w:autoSpaceDN w:val="0"/>
        <w:adjustRightInd w:val="0"/>
        <w:spacing w:after="0" w:line="240" w:lineRule="auto"/>
        <w:jc w:val="both"/>
      </w:pPr>
      <w:r w:rsidRPr="00B86B59">
        <w:lastRenderedPageBreak/>
        <w:t>Un’ulteriore misura a sostegno degli utenti di edilizia residenziale pubblica è rappresentata dal “Fondo di sostegno economico all’utenza” istituito ai sensi dell’art. 20 della l.r. n. 10/2004 e s.m.i. e gestito dalle A.R.T.E liguri.</w:t>
      </w:r>
    </w:p>
    <w:p w:rsidR="00101F1C" w:rsidRDefault="0047749A" w:rsidP="0047749A">
      <w:pPr>
        <w:autoSpaceDE w:val="0"/>
        <w:autoSpaceDN w:val="0"/>
        <w:adjustRightInd w:val="0"/>
        <w:spacing w:after="0" w:line="240" w:lineRule="auto"/>
        <w:jc w:val="both"/>
      </w:pPr>
      <w:r w:rsidRPr="00B86B59">
        <w:t xml:space="preserve"> Parallelamente è tuttora attiva una misura governativa destinata al Fondo rivolto agli inquilini morosi incolpevoli, che ha previsto di stanziare risorse a partire dall’annualità 2014 fino al 2020 da utilizzare esclusivamente nei Comuni ad alta tensione abitativa e con criteri espressamente previsti dai decreti ministeriali attuativi, che, oltre a definire il concetto di morosità incolpevole, hanno individuato sia i requisiti dei beneficiari sia i criteri preferenziali e le priorità di attribuzione del contributo. </w:t>
      </w:r>
    </w:p>
    <w:p w:rsidR="00101F1C" w:rsidRDefault="0047749A" w:rsidP="0047749A">
      <w:pPr>
        <w:autoSpaceDE w:val="0"/>
        <w:autoSpaceDN w:val="0"/>
        <w:adjustRightInd w:val="0"/>
        <w:spacing w:after="0" w:line="240" w:lineRule="auto"/>
        <w:jc w:val="both"/>
      </w:pPr>
      <w:r w:rsidRPr="00B86B59">
        <w:t xml:space="preserve">La Regione inoltre, in attuazione delle disposizioni contenute nella legge regionale n. 38 del 3 dicembre 2007, ha attivato il Fondo di garanzia - Sezione locazione quale strumento avente la funzione di ridurre, nell'ambito di un contratto di locazione, l'entità per il locatore del rischio derivante dall'insolvenza del conduttore e quindi dal costituirsi di morosità. </w:t>
      </w:r>
    </w:p>
    <w:p w:rsidR="00101F1C" w:rsidRDefault="0047749A" w:rsidP="0047749A">
      <w:pPr>
        <w:autoSpaceDE w:val="0"/>
        <w:autoSpaceDN w:val="0"/>
        <w:adjustRightInd w:val="0"/>
        <w:spacing w:after="0" w:line="240" w:lineRule="auto"/>
        <w:jc w:val="both"/>
      </w:pPr>
      <w:r w:rsidRPr="00B86B59">
        <w:t xml:space="preserve">Il fondo è attivabile a vantaggio del proprietario-locatore garantito a fronte di eventuali inadempimenti del conduttore nell'arco di durata del rapporto contrattuale e prevede un rimborso sino a un massimo di 12 mensilità di canone a fronte della messa in mora del conduttore da parte del locatore. Si tratta di un fondo di rotazione, le cui risorse si rendono nuovamente disponibili alla scadenza delle relative garanzie quinquennali. </w:t>
      </w:r>
    </w:p>
    <w:p w:rsidR="0047749A" w:rsidRPr="00B86B59" w:rsidRDefault="0047749A" w:rsidP="0047749A">
      <w:pPr>
        <w:autoSpaceDE w:val="0"/>
        <w:autoSpaceDN w:val="0"/>
        <w:adjustRightInd w:val="0"/>
        <w:spacing w:after="0" w:line="240" w:lineRule="auto"/>
        <w:jc w:val="both"/>
      </w:pPr>
      <w:r w:rsidRPr="00B86B59">
        <w:t>La legge regionale n. 15/89 (come modificata dalla l.r. n. 17/07) sostiene direttamente gli interventi volti all’abbattimento delle barriere architettoniche sia negli edifici pubblici, sia in quelli privati, per garantire un sempre maggiore utilizzo degli spazi edificati a tutti coloro che soffrono di una ridotta o impedita capacità motoria o percettiva.</w:t>
      </w:r>
    </w:p>
    <w:p w:rsidR="0047749A" w:rsidRPr="00B86B59" w:rsidRDefault="0047749A" w:rsidP="0047749A">
      <w:pPr>
        <w:autoSpaceDE w:val="0"/>
        <w:autoSpaceDN w:val="0"/>
        <w:adjustRightInd w:val="0"/>
        <w:spacing w:after="0" w:line="240" w:lineRule="auto"/>
        <w:jc w:val="both"/>
      </w:pPr>
    </w:p>
    <w:p w:rsidR="0047749A" w:rsidRPr="00B86B59" w:rsidRDefault="0047749A" w:rsidP="0047749A">
      <w:pPr>
        <w:autoSpaceDE w:val="0"/>
        <w:autoSpaceDN w:val="0"/>
        <w:adjustRightInd w:val="0"/>
        <w:spacing w:after="0" w:line="240" w:lineRule="auto"/>
        <w:jc w:val="both"/>
      </w:pPr>
      <w:r w:rsidRPr="00B86B59">
        <w:t>Lavoro e Welfare</w:t>
      </w:r>
    </w:p>
    <w:p w:rsidR="0047749A" w:rsidRPr="00B86B59" w:rsidRDefault="0047749A" w:rsidP="0047749A">
      <w:pPr>
        <w:autoSpaceDE w:val="0"/>
        <w:autoSpaceDN w:val="0"/>
        <w:adjustRightInd w:val="0"/>
        <w:spacing w:after="0" w:line="240" w:lineRule="auto"/>
        <w:jc w:val="both"/>
      </w:pPr>
      <w:r w:rsidRPr="00B86B59">
        <w:t xml:space="preserve"> L’azione principale sulla quale si è impegnato il Governo è finalizzata al miglioramento dell’inclusione sociale lotta al precariato, incentivazione del lavoro giovanile e femminile. </w:t>
      </w:r>
    </w:p>
    <w:p w:rsidR="0047749A" w:rsidRPr="00B86B59" w:rsidRDefault="0047749A" w:rsidP="0047749A">
      <w:pPr>
        <w:autoSpaceDE w:val="0"/>
        <w:autoSpaceDN w:val="0"/>
        <w:adjustRightInd w:val="0"/>
        <w:spacing w:after="0" w:line="240" w:lineRule="auto"/>
        <w:jc w:val="both"/>
      </w:pPr>
      <w:proofErr w:type="gramStart"/>
      <w:r w:rsidRPr="00B86B59">
        <w:t>l</w:t>
      </w:r>
      <w:proofErr w:type="gramEnd"/>
      <w:r w:rsidRPr="00B86B59">
        <w:t xml:space="preserve"> principale strumento messo in campo per accompagnare gli inoccupati nel mondo del lavoro è il c.d. Reddito di cittadinanza che ha il duplice scopo: </w:t>
      </w:r>
    </w:p>
    <w:p w:rsidR="0047749A" w:rsidRPr="00B86B59" w:rsidRDefault="0047749A" w:rsidP="0047749A">
      <w:pPr>
        <w:autoSpaceDE w:val="0"/>
        <w:autoSpaceDN w:val="0"/>
        <w:adjustRightInd w:val="0"/>
        <w:spacing w:after="0" w:line="240" w:lineRule="auto"/>
        <w:jc w:val="both"/>
      </w:pPr>
      <w:r w:rsidRPr="00B86B59">
        <w:t>i) sostenere il reddito di chi si trova al di sotto della soglia ISEE di 9.630 euro;</w:t>
      </w:r>
    </w:p>
    <w:p w:rsidR="0047749A" w:rsidRPr="00B86B59" w:rsidRDefault="0047749A" w:rsidP="0047749A">
      <w:pPr>
        <w:autoSpaceDE w:val="0"/>
        <w:autoSpaceDN w:val="0"/>
        <w:adjustRightInd w:val="0"/>
        <w:spacing w:after="0" w:line="240" w:lineRule="auto"/>
        <w:jc w:val="both"/>
      </w:pPr>
      <w:r w:rsidRPr="00B86B59">
        <w:t xml:space="preserve">ii) fornire un incentivo a rientrare nel mercato del lavoro, attraverso la previsione di un percorso formativo vincolante, e dell’obbligo di accettare almeno una delle prime tre proposte di lavoro eque e non lontane dal luogo di residenza del lavoratore. L’attuazione efficace dell’obbligo formativo e della effettiva partecipazione al mercato del lavoro, alla base del RdC, richiederà il rafforzamento qualitativo e quantitativo dei Centri per l’impiego, tenendo anche conto del necessario coordinamento con il livello regionale. </w:t>
      </w:r>
    </w:p>
    <w:p w:rsidR="0047749A" w:rsidRPr="00B86B59" w:rsidRDefault="0047749A" w:rsidP="0047749A">
      <w:pPr>
        <w:autoSpaceDE w:val="0"/>
        <w:autoSpaceDN w:val="0"/>
        <w:adjustRightInd w:val="0"/>
        <w:spacing w:after="0" w:line="240" w:lineRule="auto"/>
        <w:jc w:val="both"/>
      </w:pPr>
      <w:r w:rsidRPr="00B86B59">
        <w:t xml:space="preserve">Due sono gli aspetti più rilevanti che si dovranno definire: </w:t>
      </w:r>
    </w:p>
    <w:p w:rsidR="0047749A" w:rsidRPr="00B86B59" w:rsidRDefault="0047749A" w:rsidP="0047749A">
      <w:pPr>
        <w:autoSpaceDE w:val="0"/>
        <w:autoSpaceDN w:val="0"/>
        <w:adjustRightInd w:val="0"/>
        <w:spacing w:after="0" w:line="240" w:lineRule="auto"/>
        <w:jc w:val="both"/>
      </w:pPr>
      <w:r w:rsidRPr="00B86B59">
        <w:t xml:space="preserve">i) individuare le competenze da formare, funzionali allo sviluppo delle diverse Regioni; </w:t>
      </w:r>
    </w:p>
    <w:p w:rsidR="0047749A" w:rsidRPr="00B86B59" w:rsidRDefault="0047749A" w:rsidP="0047749A">
      <w:pPr>
        <w:autoSpaceDE w:val="0"/>
        <w:autoSpaceDN w:val="0"/>
        <w:adjustRightInd w:val="0"/>
        <w:spacing w:after="0" w:line="240" w:lineRule="auto"/>
        <w:jc w:val="both"/>
      </w:pPr>
      <w:r w:rsidRPr="00B86B59">
        <w:t xml:space="preserve">ii) definire un sistema di tracciabilità dei fondi destinati alla ristrutturazione dei CpI. </w:t>
      </w:r>
    </w:p>
    <w:p w:rsidR="0047749A" w:rsidRPr="00B86B59" w:rsidRDefault="0047749A" w:rsidP="0047749A">
      <w:pPr>
        <w:autoSpaceDE w:val="0"/>
        <w:autoSpaceDN w:val="0"/>
        <w:adjustRightInd w:val="0"/>
        <w:spacing w:after="0" w:line="240" w:lineRule="auto"/>
        <w:jc w:val="both"/>
      </w:pPr>
      <w:r w:rsidRPr="00B86B59">
        <w:t xml:space="preserve">La ristrutturazione dei CpI punta a rendere omogenee le prestazioni fornite, e realizzare una rete capillare in tutto il territorio nazionale. </w:t>
      </w:r>
    </w:p>
    <w:p w:rsidR="0047749A" w:rsidRPr="00B86B59" w:rsidRDefault="0047749A" w:rsidP="0047749A">
      <w:pPr>
        <w:autoSpaceDE w:val="0"/>
        <w:autoSpaceDN w:val="0"/>
        <w:adjustRightInd w:val="0"/>
        <w:spacing w:after="0" w:line="240" w:lineRule="auto"/>
        <w:jc w:val="both"/>
      </w:pPr>
      <w:r w:rsidRPr="00B86B59">
        <w:t xml:space="preserve">Il Governo intende completare l’RdC con l’introduzione del salario minimo legale. </w:t>
      </w:r>
    </w:p>
    <w:p w:rsidR="0047749A" w:rsidRPr="00B86B59" w:rsidRDefault="0047749A" w:rsidP="0047749A">
      <w:pPr>
        <w:autoSpaceDE w:val="0"/>
        <w:autoSpaceDN w:val="0"/>
        <w:adjustRightInd w:val="0"/>
        <w:spacing w:after="0" w:line="240" w:lineRule="auto"/>
        <w:jc w:val="both"/>
      </w:pPr>
      <w:r w:rsidRPr="00B86B59">
        <w:t xml:space="preserve">La riforma del sistema pensionistico ha previsto, per chi matura i requisiti nel triennio 2019-2021, un nuovo canale di accesso al pensionamento anticipato in presenza dei requisiti congiunti, anagrafico e contributivo, di 62 anni di età e di 38 anni di contributi e la disapplicazione per il periodo 2019-2026 dell’adeguamento agli incrementi della speranza di vita del requisito contributivo per l’accesso al pensionamento anticipato indipendentemente dall’età anagrafica. </w:t>
      </w:r>
    </w:p>
    <w:p w:rsidR="0047749A" w:rsidRPr="00B86B59" w:rsidRDefault="0047749A" w:rsidP="0047749A">
      <w:pPr>
        <w:autoSpaceDE w:val="0"/>
        <w:autoSpaceDN w:val="0"/>
        <w:adjustRightInd w:val="0"/>
        <w:spacing w:after="0" w:line="240" w:lineRule="auto"/>
        <w:jc w:val="both"/>
      </w:pPr>
      <w:r w:rsidRPr="00B86B59">
        <w:t>Il Governo sta altresì operando sul fronte degli incentivi alla genitorialità, con una valutazione degli strumenti in vigore ed una rivisitazione di quelli non pienamente efficaci. In particolare, verrà favorita la costituzione di una rete di centri dedicati (per esempio, asili nido e centri estivi) ed introdotta una politica fiscale che favorisca le famiglie con figli. Infine, un’azione riguarderà anche il miglioramento della sicurezza sui luoghi di lavoro, rispetto alla quale il Governo opererà per modificare il Testo Unico sulla Sicurezza</w:t>
      </w:r>
    </w:p>
    <w:p w:rsidR="0047749A" w:rsidRPr="00B86B59" w:rsidRDefault="0047749A" w:rsidP="0047749A">
      <w:pPr>
        <w:autoSpaceDE w:val="0"/>
        <w:autoSpaceDN w:val="0"/>
        <w:adjustRightInd w:val="0"/>
        <w:spacing w:after="0" w:line="240" w:lineRule="auto"/>
        <w:jc w:val="both"/>
      </w:pPr>
    </w:p>
    <w:p w:rsidR="0047749A" w:rsidRPr="00B86B59" w:rsidRDefault="0047749A" w:rsidP="0047749A">
      <w:pPr>
        <w:autoSpaceDE w:val="0"/>
        <w:autoSpaceDN w:val="0"/>
        <w:adjustRightInd w:val="0"/>
        <w:spacing w:after="0" w:line="240" w:lineRule="auto"/>
        <w:jc w:val="both"/>
      </w:pPr>
      <w:r w:rsidRPr="00B86B59">
        <w:t xml:space="preserve">Sanità </w:t>
      </w:r>
    </w:p>
    <w:p w:rsidR="0047749A" w:rsidRPr="00B86B59" w:rsidRDefault="0047749A" w:rsidP="0047749A">
      <w:pPr>
        <w:autoSpaceDE w:val="0"/>
        <w:autoSpaceDN w:val="0"/>
        <w:adjustRightInd w:val="0"/>
        <w:spacing w:after="0" w:line="240" w:lineRule="auto"/>
        <w:jc w:val="both"/>
      </w:pPr>
      <w:r w:rsidRPr="00B86B59">
        <w:t xml:space="preserve">Le principali azioni che il Governo intende intraprendere in tema sanitario riguardano: il personale; il miglioramento della governance della spesa sanitaria; la promozione dell’innovazione e della ricerca; il </w:t>
      </w:r>
      <w:r w:rsidRPr="00B86B59">
        <w:lastRenderedPageBreak/>
        <w:t xml:space="preserve">monitoraggio e l’aggiornamento dei LEA; gli investimenti nell’edilizia sanitaria e l’ammodernamento tecnologico delle attrezzature. Le politiche per il personale saranno orientate alla corretta individuazione dei relativi fabbisogni164, con l’obiettivo imprescindibile di aggiornare i parametri di riferimento previsti dalla legislazione vigente. </w:t>
      </w:r>
    </w:p>
    <w:p w:rsidR="0047749A" w:rsidRPr="00B86B59" w:rsidRDefault="0047749A" w:rsidP="0047749A">
      <w:pPr>
        <w:autoSpaceDE w:val="0"/>
        <w:autoSpaceDN w:val="0"/>
        <w:adjustRightInd w:val="0"/>
        <w:spacing w:after="0" w:line="240" w:lineRule="auto"/>
        <w:jc w:val="both"/>
      </w:pPr>
      <w:r w:rsidRPr="00B86B59">
        <w:t xml:space="preserve">Al fine di garantire l’erogazione dei Livelli di Assistenza e consentirne la continuità nell’erogazione nell’ambito delle attività ospedaliere a rischio interruzione (in particolare a quelle inerenti l’emergenza ospedaliera e territoriale nonché della Medicina Generale), il Ministero della Salute sta predisponendo un intervento normativo in materia di fabbisogni delle risorse umane del SSN e di accesso della professione medica al SSN. </w:t>
      </w:r>
    </w:p>
    <w:p w:rsidR="0047749A" w:rsidRPr="00B86B59" w:rsidRDefault="0047749A" w:rsidP="0047749A">
      <w:pPr>
        <w:autoSpaceDE w:val="0"/>
        <w:autoSpaceDN w:val="0"/>
        <w:adjustRightInd w:val="0"/>
        <w:spacing w:after="0" w:line="240" w:lineRule="auto"/>
        <w:jc w:val="both"/>
      </w:pPr>
      <w:r w:rsidRPr="00B86B59">
        <w:t>A questo riguardo, la Legge di Bilancio per il 2019 prevede che venga sottoscritto il nuovo Patto per la Salute 2019-2021, da concordare con le Regioni e che, in tale contesto, si terrà conto della valutazione dei fabbisogni del personale del Servizio Sanitario Nazionale (SSN) e dei riflessi sulla programmazione della formazione di base e specialistica e sulle necessità assunzionali, ivi comprendendo l’aggiornamento del parametro di riferimento relativo al personale.</w:t>
      </w:r>
    </w:p>
    <w:p w:rsidR="0047749A" w:rsidRPr="00B86B59" w:rsidRDefault="0047749A" w:rsidP="0047749A">
      <w:pPr>
        <w:autoSpaceDE w:val="0"/>
        <w:autoSpaceDN w:val="0"/>
        <w:adjustRightInd w:val="0"/>
        <w:spacing w:after="0" w:line="240" w:lineRule="auto"/>
        <w:jc w:val="both"/>
      </w:pPr>
      <w:r w:rsidRPr="00B86B59">
        <w:t xml:space="preserve">La Legge di Bilancio per il 2019 prevede anche l’incremento delle risorse per i contratti di formazione specialistica dei medici con maggiori finanziamenti per circa 330 milioni nel quinquennio 2019-2023. Peraltro, il Patto prevede anche: </w:t>
      </w:r>
    </w:p>
    <w:p w:rsidR="0047749A" w:rsidRPr="00B86B59" w:rsidRDefault="0047749A" w:rsidP="0047749A">
      <w:pPr>
        <w:autoSpaceDE w:val="0"/>
        <w:autoSpaceDN w:val="0"/>
        <w:adjustRightInd w:val="0"/>
        <w:spacing w:after="0" w:line="240" w:lineRule="auto"/>
        <w:jc w:val="both"/>
      </w:pPr>
      <w:r w:rsidRPr="00B86B59">
        <w:t>i) la revisione del sistema di compartecipazione alla spesa sanitaria a carico degli assistiti;</w:t>
      </w:r>
    </w:p>
    <w:p w:rsidR="0047749A" w:rsidRPr="00B86B59" w:rsidRDefault="0047749A" w:rsidP="0047749A">
      <w:pPr>
        <w:autoSpaceDE w:val="0"/>
        <w:autoSpaceDN w:val="0"/>
        <w:adjustRightInd w:val="0"/>
        <w:spacing w:after="0" w:line="240" w:lineRule="auto"/>
        <w:jc w:val="both"/>
      </w:pPr>
      <w:r w:rsidRPr="00B86B59">
        <w:t xml:space="preserve">ii) il rispetto degli obblighi di programmazione a livello nazionale e regionale, con particolare riferimento alla cronicità e alle liste d’attesa; </w:t>
      </w:r>
    </w:p>
    <w:p w:rsidR="0047749A" w:rsidRPr="00B86B59" w:rsidRDefault="0047749A" w:rsidP="0047749A">
      <w:pPr>
        <w:autoSpaceDE w:val="0"/>
        <w:autoSpaceDN w:val="0"/>
        <w:adjustRightInd w:val="0"/>
        <w:spacing w:after="0" w:line="240" w:lineRule="auto"/>
        <w:jc w:val="both"/>
      </w:pPr>
      <w:r w:rsidRPr="00B86B59">
        <w:t xml:space="preserve">iii) l’implementazione di infrastrutture e modelli organizzativi finalizzati alla realizzazione del sistema di interconnessione dei sistemi informativi del SSN, tenendo conto delle infrastrutture già disponibili nell’ambito del Sistema Tessera Sanitaria e del fascicolo sanitario elettronico; </w:t>
      </w:r>
    </w:p>
    <w:p w:rsidR="0047749A" w:rsidRPr="00B86B59" w:rsidRDefault="0047749A" w:rsidP="0047749A">
      <w:pPr>
        <w:autoSpaceDE w:val="0"/>
        <w:autoSpaceDN w:val="0"/>
        <w:adjustRightInd w:val="0"/>
        <w:spacing w:after="0" w:line="240" w:lineRule="auto"/>
        <w:jc w:val="both"/>
      </w:pPr>
      <w:r w:rsidRPr="00B86B59">
        <w:t xml:space="preserve">iv) la promozione della ricerca in ambito sanitario; </w:t>
      </w:r>
    </w:p>
    <w:p w:rsidR="0047749A" w:rsidRPr="00B86B59" w:rsidRDefault="0047749A" w:rsidP="0047749A">
      <w:pPr>
        <w:autoSpaceDE w:val="0"/>
        <w:autoSpaceDN w:val="0"/>
        <w:adjustRightInd w:val="0"/>
        <w:spacing w:after="0" w:line="240" w:lineRule="auto"/>
        <w:jc w:val="both"/>
      </w:pPr>
      <w:r w:rsidRPr="00B86B59">
        <w:t xml:space="preserve">v) il miglioramento dell’efficienza e dell’appropriatezza nell’uso dei fattori produttivi e l’ordinata programmazione del ricorso agli erogatori privati accreditati secondo indicatori oggettivi e misurabili; </w:t>
      </w:r>
    </w:p>
    <w:p w:rsidR="0047749A" w:rsidRPr="00B86B59" w:rsidRDefault="0047749A" w:rsidP="0047749A">
      <w:pPr>
        <w:autoSpaceDE w:val="0"/>
        <w:autoSpaceDN w:val="0"/>
        <w:adjustRightInd w:val="0"/>
        <w:spacing w:after="0" w:line="240" w:lineRule="auto"/>
        <w:jc w:val="both"/>
      </w:pPr>
      <w:r w:rsidRPr="00B86B59">
        <w:t xml:space="preserve">vi) la valutazione del fabbisogno di interventi infrastrutturali di ammodernamento tecnologico. </w:t>
      </w:r>
    </w:p>
    <w:p w:rsidR="00101F1C" w:rsidRDefault="0047749A" w:rsidP="0047749A">
      <w:pPr>
        <w:autoSpaceDE w:val="0"/>
        <w:autoSpaceDN w:val="0"/>
        <w:adjustRightInd w:val="0"/>
        <w:spacing w:after="0" w:line="240" w:lineRule="auto"/>
        <w:jc w:val="both"/>
      </w:pPr>
      <w:r w:rsidRPr="00B86B59">
        <w:t>A febbraio è stato approvato in Conferenza Stato-</w:t>
      </w:r>
      <w:proofErr w:type="gramStart"/>
      <w:r w:rsidRPr="00B86B59">
        <w:t>Regioni</w:t>
      </w:r>
      <w:r w:rsidR="00101F1C">
        <w:t xml:space="preserve"> </w:t>
      </w:r>
      <w:r w:rsidRPr="00B86B59">
        <w:t xml:space="preserve"> il</w:t>
      </w:r>
      <w:proofErr w:type="gramEnd"/>
      <w:r w:rsidRPr="00B86B59">
        <w:t xml:space="preserve"> nuovo Piano Nazionale per il Governo delle Liste di Attesa 2019-2021 (PNGLA) al fine di creare un nuovo modello più efficiente e aggiornato con regole più semplici e tempi certi per le prestazioni sanitarie e incrementare il grado di efficienza e di appropriatezza di utilizzo delle risorse disponibili. </w:t>
      </w:r>
    </w:p>
    <w:p w:rsidR="0047749A" w:rsidRPr="00B86B59" w:rsidRDefault="0047749A" w:rsidP="0047749A">
      <w:pPr>
        <w:autoSpaceDE w:val="0"/>
        <w:autoSpaceDN w:val="0"/>
        <w:adjustRightInd w:val="0"/>
        <w:spacing w:after="0" w:line="240" w:lineRule="auto"/>
        <w:jc w:val="both"/>
      </w:pPr>
      <w:r w:rsidRPr="00B86B59">
        <w:t>Per la piena attuazione del PNGLA verrà istituito l’Osservatorio Nazionale sulle Liste di Attesa il quale, oltre ad affiancare Regioni e Province Autonome nell’implementazione del Piano, provvederà a monitorare l’andamento degli interventi previsti, rilevare le criticità e fornire indicazioni per uniformare comportamenti, superare le disuguaglianze e rispondere in modo puntuale ai bisogni dei cittadini</w:t>
      </w:r>
    </w:p>
    <w:p w:rsidR="0047749A" w:rsidRPr="00B86B59" w:rsidRDefault="0047749A" w:rsidP="0047749A">
      <w:pPr>
        <w:autoSpaceDE w:val="0"/>
        <w:autoSpaceDN w:val="0"/>
        <w:adjustRightInd w:val="0"/>
        <w:spacing w:after="0" w:line="240" w:lineRule="auto"/>
        <w:jc w:val="both"/>
      </w:pPr>
    </w:p>
    <w:p w:rsidR="0047749A" w:rsidRPr="00B86B59" w:rsidRDefault="0047749A" w:rsidP="0047749A">
      <w:pPr>
        <w:autoSpaceDE w:val="0"/>
        <w:autoSpaceDN w:val="0"/>
        <w:adjustRightInd w:val="0"/>
        <w:spacing w:after="0" w:line="240" w:lineRule="auto"/>
        <w:jc w:val="both"/>
      </w:pPr>
      <w:r w:rsidRPr="00B86B59">
        <w:t xml:space="preserve">Politiche sociali e per la famiglia </w:t>
      </w:r>
    </w:p>
    <w:p w:rsidR="0047749A" w:rsidRPr="00B86B59" w:rsidRDefault="0047749A" w:rsidP="0047749A">
      <w:pPr>
        <w:autoSpaceDE w:val="0"/>
        <w:autoSpaceDN w:val="0"/>
        <w:adjustRightInd w:val="0"/>
        <w:spacing w:after="0" w:line="240" w:lineRule="auto"/>
        <w:jc w:val="both"/>
      </w:pPr>
      <w:r w:rsidRPr="00B86B59">
        <w:t xml:space="preserve">Il Governo intende pertanto proseguire nell’attuazione di politiche volte a invertire le tendenze demografiche avverse e lo squilibrio generazionale nonché a favorire la partecipazione delle donne al mercato del lavoro. Rispetto alle politiche per la famiglia l’intendimento del Governo è quello di razionalizzare i diversi istituti vigenti in favore delle famiglie, al fine di pervenire ad un sistema più semplice e coordinato delle diverse misure di sostegno di natura assistenziale e fiscale. </w:t>
      </w:r>
    </w:p>
    <w:p w:rsidR="0047749A" w:rsidRPr="00B86B59" w:rsidRDefault="0047749A" w:rsidP="0047749A">
      <w:pPr>
        <w:autoSpaceDE w:val="0"/>
        <w:autoSpaceDN w:val="0"/>
        <w:adjustRightInd w:val="0"/>
        <w:spacing w:after="0" w:line="240" w:lineRule="auto"/>
        <w:jc w:val="both"/>
      </w:pPr>
      <w:r w:rsidRPr="00B86B59">
        <w:t xml:space="preserve">Nell’ambito della Legge di Bilancio per il 2019, il Governo ha iniziato a porre in essere una serie di disposizioni selettivamente orientate al sostegno della genitorialità e della natalità. </w:t>
      </w:r>
    </w:p>
    <w:p w:rsidR="0047749A" w:rsidRPr="00B86B59" w:rsidRDefault="0047749A" w:rsidP="0047749A">
      <w:pPr>
        <w:autoSpaceDE w:val="0"/>
        <w:autoSpaceDN w:val="0"/>
        <w:adjustRightInd w:val="0"/>
        <w:spacing w:after="0" w:line="240" w:lineRule="auto"/>
        <w:jc w:val="both"/>
      </w:pPr>
      <w:r w:rsidRPr="00B86B59">
        <w:t xml:space="preserve">Sono stati stanziati oltre 444 milioni al fine di prorogare gli assegni previsti per ogni figlio nato o adottato dai nuclei familiari con Isee fino a 25 mila euro, incrementandone gli importi in misura pari al 20 per cento per ogni figlio successivo al primo, in linea anche con gli indirizzi della Commissione Europea. </w:t>
      </w:r>
    </w:p>
    <w:p w:rsidR="0047749A" w:rsidRPr="00B86B59" w:rsidRDefault="0047749A" w:rsidP="0047749A">
      <w:pPr>
        <w:autoSpaceDE w:val="0"/>
        <w:autoSpaceDN w:val="0"/>
        <w:adjustRightInd w:val="0"/>
        <w:spacing w:after="0" w:line="240" w:lineRule="auto"/>
        <w:jc w:val="both"/>
      </w:pPr>
      <w:r w:rsidRPr="00B86B59">
        <w:t xml:space="preserve">Al potenziamento degli interventi e della rete dei servizi a sostegno della famiglia risponde anche la nuova disciplina del Fondo per le politiche della famiglia, il cui stanziamento strutturale è stato elevato a oltre 100 milioni annui. </w:t>
      </w:r>
    </w:p>
    <w:p w:rsidR="0047749A" w:rsidRPr="00B86B59" w:rsidRDefault="0047749A" w:rsidP="0047749A">
      <w:pPr>
        <w:autoSpaceDE w:val="0"/>
        <w:autoSpaceDN w:val="0"/>
        <w:adjustRightInd w:val="0"/>
        <w:spacing w:after="0" w:line="240" w:lineRule="auto"/>
        <w:jc w:val="both"/>
      </w:pPr>
      <w:r w:rsidRPr="00B86B59">
        <w:t xml:space="preserve">Sul piano delle misure volte a promuovere un migliore equilibrio tra vita professionale e vita familiare sono stati previsti due ulteriori interventi in materia di congedo di maternità e di paternità. Rispetto al tema della disabilità il Governo, sin dal suo insediamento, ha profuso uno sforzo organizzativo e finanziario particolarmente significativo istituendo una apposita struttura governativa che ha consentito di migliorare le </w:t>
      </w:r>
      <w:r w:rsidRPr="00B86B59">
        <w:lastRenderedPageBreak/>
        <w:t>capacità di indirizzo e coordinamento delle politiche in favore delle persone in condizione di disabilità, che saranno oggetto di un ampio intervento di riforma strutturale.</w:t>
      </w:r>
    </w:p>
    <w:p w:rsidR="0047749A" w:rsidRPr="00B86B59" w:rsidRDefault="0047749A" w:rsidP="0047749A">
      <w:pPr>
        <w:autoSpaceDE w:val="0"/>
        <w:autoSpaceDN w:val="0"/>
        <w:adjustRightInd w:val="0"/>
        <w:spacing w:after="0" w:line="240" w:lineRule="auto"/>
        <w:jc w:val="both"/>
      </w:pPr>
    </w:p>
    <w:p w:rsidR="00FF7D81" w:rsidRDefault="00FF7D81" w:rsidP="0047749A">
      <w:pPr>
        <w:autoSpaceDE w:val="0"/>
        <w:autoSpaceDN w:val="0"/>
        <w:adjustRightInd w:val="0"/>
        <w:spacing w:after="0" w:line="240" w:lineRule="auto"/>
        <w:jc w:val="both"/>
      </w:pPr>
    </w:p>
    <w:p w:rsidR="00FF7D81" w:rsidRDefault="00FE05BD" w:rsidP="0047749A">
      <w:pPr>
        <w:autoSpaceDE w:val="0"/>
        <w:autoSpaceDN w:val="0"/>
        <w:adjustRightInd w:val="0"/>
        <w:spacing w:after="0" w:line="240" w:lineRule="auto"/>
        <w:jc w:val="both"/>
      </w:pPr>
      <w:r>
        <w:t xml:space="preserve">PERSONE I. Contrastare la povertà e l’esclusione sociale eliminando i divari territoriali </w:t>
      </w:r>
    </w:p>
    <w:p w:rsidR="00FF7D81" w:rsidRDefault="00FE05BD" w:rsidP="0047749A">
      <w:pPr>
        <w:autoSpaceDE w:val="0"/>
        <w:autoSpaceDN w:val="0"/>
        <w:adjustRightInd w:val="0"/>
        <w:spacing w:after="0" w:line="240" w:lineRule="auto"/>
        <w:jc w:val="both"/>
      </w:pPr>
      <w:r>
        <w:t xml:space="preserve">I.1 Ridurre l’intensità della povertà </w:t>
      </w:r>
    </w:p>
    <w:p w:rsidR="00FF7D81" w:rsidRDefault="00FE05BD" w:rsidP="0047749A">
      <w:pPr>
        <w:autoSpaceDE w:val="0"/>
        <w:autoSpaceDN w:val="0"/>
        <w:adjustRightInd w:val="0"/>
        <w:spacing w:after="0" w:line="240" w:lineRule="auto"/>
        <w:jc w:val="both"/>
      </w:pPr>
      <w:r>
        <w:t>I.2 Combattere la deprivazione materiale e alimentare</w:t>
      </w:r>
    </w:p>
    <w:p w:rsidR="00FF7D81" w:rsidRDefault="00FE05BD" w:rsidP="0047749A">
      <w:pPr>
        <w:autoSpaceDE w:val="0"/>
        <w:autoSpaceDN w:val="0"/>
        <w:adjustRightInd w:val="0"/>
        <w:spacing w:after="0" w:line="240" w:lineRule="auto"/>
        <w:jc w:val="both"/>
      </w:pPr>
      <w:r>
        <w:t xml:space="preserve"> I.3 Ridurre il disagio abitativo</w:t>
      </w:r>
    </w:p>
    <w:p w:rsidR="00FF7D81" w:rsidRDefault="00FE05BD" w:rsidP="0047749A">
      <w:pPr>
        <w:autoSpaceDE w:val="0"/>
        <w:autoSpaceDN w:val="0"/>
        <w:adjustRightInd w:val="0"/>
        <w:spacing w:after="0" w:line="240" w:lineRule="auto"/>
        <w:jc w:val="both"/>
      </w:pPr>
      <w:r>
        <w:t xml:space="preserve"> II. Garantire le condizioni per lo sviluppo del potenziale umano </w:t>
      </w:r>
    </w:p>
    <w:p w:rsidR="00FF7D81" w:rsidRDefault="00FE05BD" w:rsidP="0047749A">
      <w:pPr>
        <w:autoSpaceDE w:val="0"/>
        <w:autoSpaceDN w:val="0"/>
        <w:adjustRightInd w:val="0"/>
        <w:spacing w:after="0" w:line="240" w:lineRule="auto"/>
        <w:jc w:val="both"/>
      </w:pPr>
      <w:r>
        <w:t xml:space="preserve">II.1 Ridurre la disoccupazione per le fasce più deboli della popolazione </w:t>
      </w:r>
    </w:p>
    <w:p w:rsidR="00FF7D81" w:rsidRDefault="00FE05BD" w:rsidP="0047749A">
      <w:pPr>
        <w:autoSpaceDE w:val="0"/>
        <w:autoSpaceDN w:val="0"/>
        <w:adjustRightInd w:val="0"/>
        <w:spacing w:after="0" w:line="240" w:lineRule="auto"/>
        <w:jc w:val="both"/>
      </w:pPr>
      <w:r>
        <w:t xml:space="preserve">II.2 Assicurare la piena funzionalità del sistema di protezione sociale e previdenziale </w:t>
      </w:r>
    </w:p>
    <w:p w:rsidR="00FF7D81" w:rsidRDefault="00FE05BD" w:rsidP="0047749A">
      <w:pPr>
        <w:autoSpaceDE w:val="0"/>
        <w:autoSpaceDN w:val="0"/>
        <w:adjustRightInd w:val="0"/>
        <w:spacing w:after="0" w:line="240" w:lineRule="auto"/>
        <w:jc w:val="both"/>
      </w:pPr>
      <w:r>
        <w:t xml:space="preserve">II.3 Ridurre il tasso di abbandono scolastico e migliorare il sistema dell’istruzione </w:t>
      </w:r>
    </w:p>
    <w:p w:rsidR="00FF7D81" w:rsidRDefault="00FE05BD" w:rsidP="0047749A">
      <w:pPr>
        <w:autoSpaceDE w:val="0"/>
        <w:autoSpaceDN w:val="0"/>
        <w:adjustRightInd w:val="0"/>
        <w:spacing w:after="0" w:line="240" w:lineRule="auto"/>
        <w:jc w:val="both"/>
      </w:pPr>
      <w:r>
        <w:t xml:space="preserve">II.4 Combattere la devianza attraverso prevenzione e integrazione sociale dei soggetti a rischio </w:t>
      </w:r>
    </w:p>
    <w:p w:rsidR="00FF7D81" w:rsidRDefault="00FE05BD" w:rsidP="0047749A">
      <w:pPr>
        <w:autoSpaceDE w:val="0"/>
        <w:autoSpaceDN w:val="0"/>
        <w:adjustRightInd w:val="0"/>
        <w:spacing w:after="0" w:line="240" w:lineRule="auto"/>
        <w:jc w:val="both"/>
      </w:pPr>
      <w:r>
        <w:t xml:space="preserve">III. Promuovere la salute e il benessere </w:t>
      </w:r>
    </w:p>
    <w:p w:rsidR="00FF7D81" w:rsidRDefault="00FE05BD" w:rsidP="0047749A">
      <w:pPr>
        <w:autoSpaceDE w:val="0"/>
        <w:autoSpaceDN w:val="0"/>
        <w:adjustRightInd w:val="0"/>
        <w:spacing w:after="0" w:line="240" w:lineRule="auto"/>
        <w:jc w:val="both"/>
      </w:pPr>
      <w:r>
        <w:t>III.1 Diminuire l’esposizione della popolazione ai fattori di rischio ambientale e antropico</w:t>
      </w:r>
    </w:p>
    <w:p w:rsidR="00FF7D81" w:rsidRDefault="00FE05BD" w:rsidP="0047749A">
      <w:pPr>
        <w:autoSpaceDE w:val="0"/>
        <w:autoSpaceDN w:val="0"/>
        <w:adjustRightInd w:val="0"/>
        <w:spacing w:after="0" w:line="240" w:lineRule="auto"/>
        <w:jc w:val="both"/>
      </w:pPr>
      <w:r>
        <w:t xml:space="preserve">III.2 Diffondere stili di vita sani e rafforzare i sistemi di prevenzione </w:t>
      </w:r>
    </w:p>
    <w:p w:rsidR="00FF7D81" w:rsidRDefault="00FE05BD" w:rsidP="0047749A">
      <w:pPr>
        <w:autoSpaceDE w:val="0"/>
        <w:autoSpaceDN w:val="0"/>
        <w:adjustRightInd w:val="0"/>
        <w:spacing w:after="0" w:line="240" w:lineRule="auto"/>
        <w:jc w:val="both"/>
      </w:pPr>
      <w:r>
        <w:t xml:space="preserve">III.3 Garantire l’accesso a servizi sanitari e di cura efficaci, contrastando i divari territoriali </w:t>
      </w:r>
    </w:p>
    <w:p w:rsidR="00FF7D81" w:rsidRDefault="00FF7D81" w:rsidP="0047749A">
      <w:pPr>
        <w:autoSpaceDE w:val="0"/>
        <w:autoSpaceDN w:val="0"/>
        <w:adjustRightInd w:val="0"/>
        <w:spacing w:after="0" w:line="240" w:lineRule="auto"/>
        <w:jc w:val="both"/>
      </w:pPr>
    </w:p>
    <w:p w:rsidR="00FF7D81" w:rsidRDefault="00FF7D81" w:rsidP="0047749A">
      <w:pPr>
        <w:autoSpaceDE w:val="0"/>
        <w:autoSpaceDN w:val="0"/>
        <w:adjustRightInd w:val="0"/>
        <w:spacing w:after="0" w:line="240" w:lineRule="auto"/>
        <w:jc w:val="both"/>
      </w:pPr>
    </w:p>
    <w:p w:rsidR="00FF7D81" w:rsidRDefault="0047749A" w:rsidP="00645A91">
      <w:pPr>
        <w:autoSpaceDE w:val="0"/>
        <w:autoSpaceDN w:val="0"/>
        <w:adjustRightInd w:val="0"/>
        <w:spacing w:after="0" w:line="240" w:lineRule="auto"/>
        <w:jc w:val="both"/>
      </w:pPr>
      <w:r>
        <w:t xml:space="preserve">MISSIONE 12 - Diritti sociali, politiche sociali e famiglia </w:t>
      </w:r>
    </w:p>
    <w:p w:rsidR="00101F1C" w:rsidRDefault="0047749A" w:rsidP="00645A91">
      <w:pPr>
        <w:autoSpaceDE w:val="0"/>
        <w:autoSpaceDN w:val="0"/>
        <w:adjustRightInd w:val="0"/>
        <w:spacing w:after="0" w:line="240" w:lineRule="auto"/>
        <w:jc w:val="both"/>
      </w:pPr>
      <w:r>
        <w:t xml:space="preserve">OBIETTIVO DI MISSIONE DELLA X LEGISLATURA RAFFORZARE IL SOSTEGNO ALLA FRAGILITÀ SOCIALE ED IMPLEMENTARE GLI INTERVENTI DI SOSTEGNO PER LA FAMIGLIA </w:t>
      </w:r>
    </w:p>
    <w:p w:rsidR="00101F1C" w:rsidRDefault="0047749A" w:rsidP="00645A91">
      <w:pPr>
        <w:autoSpaceDE w:val="0"/>
        <w:autoSpaceDN w:val="0"/>
        <w:adjustRightInd w:val="0"/>
        <w:spacing w:after="0" w:line="240" w:lineRule="auto"/>
        <w:jc w:val="both"/>
      </w:pPr>
      <w:r>
        <w:t xml:space="preserve">Obiettivo Specifico (di Programma) </w:t>
      </w:r>
    </w:p>
    <w:p w:rsidR="00101F1C" w:rsidRDefault="0047749A" w:rsidP="00645A91">
      <w:pPr>
        <w:autoSpaceDE w:val="0"/>
        <w:autoSpaceDN w:val="0"/>
        <w:adjustRightInd w:val="0"/>
        <w:spacing w:after="0" w:line="240" w:lineRule="auto"/>
        <w:jc w:val="both"/>
      </w:pPr>
      <w:r>
        <w:t xml:space="preserve">12.1 Miglioramento dell'offerta qualitativa e quantitativa dei servizi per la prima infanzia anche nell'ottica di conciliazione dei tempi di vita e lavoro delle famiglie Politiche Sociali, Terzo Settore Immigrazione e Pari Opportunità Aumento dei bambini che frequentano i servizi per la prima infanzia pubblici e privati accreditati Comuni sede di servizi per la prima infanzia e Alfa Liguria indicatore Numero dei bambini che frequentano i servizi per la prima infanzia pubblici e privati accreditati target 5% complessivo </w:t>
      </w:r>
    </w:p>
    <w:p w:rsidR="00101F1C" w:rsidRDefault="0047749A" w:rsidP="00645A91">
      <w:pPr>
        <w:autoSpaceDE w:val="0"/>
        <w:autoSpaceDN w:val="0"/>
        <w:adjustRightInd w:val="0"/>
        <w:spacing w:after="0" w:line="240" w:lineRule="auto"/>
        <w:jc w:val="both"/>
      </w:pPr>
      <w:r>
        <w:t xml:space="preserve">12.2 Garantire alle persone anziane la permanenza quanto più a lungo possibile presso il proprio domicilio unitamente al mantenimento del benessere psicofisico e ad un buon livello della qualità di vita Risultato capofila dell'ATS del patto di sussidiarietà Aumentare il numero delle persone anziane seguite dai custodi sociali/volontari indicatore % di anziani seguiti dai custodi sociali/volontari target 10% complessivo </w:t>
      </w:r>
    </w:p>
    <w:p w:rsidR="00101F1C" w:rsidRDefault="0047749A" w:rsidP="00645A91">
      <w:pPr>
        <w:autoSpaceDE w:val="0"/>
        <w:autoSpaceDN w:val="0"/>
        <w:adjustRightInd w:val="0"/>
        <w:spacing w:after="0" w:line="240" w:lineRule="auto"/>
        <w:jc w:val="both"/>
      </w:pPr>
      <w:r>
        <w:t xml:space="preserve">12.3 Favorire il mantenimento delle funzionalità fisiche e cognitive delle persone anziane Politiche Sociali, Terzo Settore Immigrazione e Pari Opportunità Risultato Comuni capofila di conferenza di Asl Aumentare il numero delle persone anziane che partecipano al programma AFA e Memory Training indicatore % delle persone anziane che partecipano al programma Afa e Memory Training target 10% complessivi </w:t>
      </w:r>
    </w:p>
    <w:p w:rsidR="00101F1C" w:rsidRDefault="0047749A" w:rsidP="00645A91">
      <w:pPr>
        <w:autoSpaceDE w:val="0"/>
        <w:autoSpaceDN w:val="0"/>
        <w:adjustRightInd w:val="0"/>
        <w:spacing w:after="0" w:line="240" w:lineRule="auto"/>
        <w:jc w:val="both"/>
      </w:pPr>
      <w:r>
        <w:t xml:space="preserve">12.4 Rafforzamento il sistema di interventi a favore dei minori collocati in struttura e migliorare la qualità dei servizi per i minori e le loro famiglie </w:t>
      </w:r>
    </w:p>
    <w:p w:rsidR="00B37F67" w:rsidRDefault="0047749A" w:rsidP="00645A91">
      <w:pPr>
        <w:autoSpaceDE w:val="0"/>
        <w:autoSpaceDN w:val="0"/>
        <w:adjustRightInd w:val="0"/>
        <w:spacing w:after="0" w:line="240" w:lineRule="auto"/>
        <w:jc w:val="both"/>
      </w:pPr>
      <w:r>
        <w:t xml:space="preserve">12.5 Miglioramento della qualità dei servizi per le donne vittime di violenza Politiche Sociali, </w:t>
      </w:r>
    </w:p>
    <w:p w:rsidR="00B37F67" w:rsidRDefault="0047749A" w:rsidP="00645A91">
      <w:pPr>
        <w:autoSpaceDE w:val="0"/>
        <w:autoSpaceDN w:val="0"/>
        <w:adjustRightInd w:val="0"/>
        <w:spacing w:after="0" w:line="240" w:lineRule="auto"/>
        <w:jc w:val="both"/>
      </w:pPr>
      <w:r>
        <w:t xml:space="preserve">Aumento del numero delle donne prese in carico dai centri antiviolenza e/o case rifugio attraverso azioni di sensibilizzazione o altre azione di potenziamento della qualità dei servizi Alfa Liguria indicatore Percentuale di donne prese in carico dai centri antiviolenza e/o case rifugio target 5% complessivo </w:t>
      </w:r>
    </w:p>
    <w:p w:rsidR="00B37F67" w:rsidRDefault="0047749A" w:rsidP="00645A91">
      <w:pPr>
        <w:autoSpaceDE w:val="0"/>
        <w:autoSpaceDN w:val="0"/>
        <w:adjustRightInd w:val="0"/>
        <w:spacing w:after="0" w:line="240" w:lineRule="auto"/>
        <w:jc w:val="both"/>
      </w:pPr>
      <w:r>
        <w:t xml:space="preserve">12.6 Rafforzamento del sistema di interventi mirati al superamento delle difficoltà che ostacolano l'inclusione sociale delle persone sottoposte a provvedimenti dell'autorità giudiziaria </w:t>
      </w:r>
    </w:p>
    <w:p w:rsidR="00B37F67" w:rsidRDefault="0047749A" w:rsidP="00645A91">
      <w:pPr>
        <w:autoSpaceDE w:val="0"/>
        <w:autoSpaceDN w:val="0"/>
        <w:adjustRightInd w:val="0"/>
        <w:spacing w:after="0" w:line="240" w:lineRule="auto"/>
        <w:jc w:val="both"/>
      </w:pPr>
      <w:r>
        <w:t xml:space="preserve">Aumento del numero delle persone sottoposte a provvedimenti dell'autorità giudiziaria che partecipano alle misure regionali Capofila dell'ATS del patto di sussidiarietà indicatore Percentuale di persone sottoposte a provvedimenti dell'autorità giudiziaria che partecipano alle misure regionali target 10% complessivo </w:t>
      </w:r>
    </w:p>
    <w:p w:rsidR="00B37F67" w:rsidRDefault="0047749A" w:rsidP="00645A91">
      <w:pPr>
        <w:autoSpaceDE w:val="0"/>
        <w:autoSpaceDN w:val="0"/>
        <w:adjustRightInd w:val="0"/>
        <w:spacing w:after="0" w:line="240" w:lineRule="auto"/>
        <w:jc w:val="both"/>
      </w:pPr>
      <w:r>
        <w:t xml:space="preserve">12.7 Rafforzamento del sistema di interventi diretti alle persone senza fissa dimora </w:t>
      </w:r>
    </w:p>
    <w:p w:rsidR="0047749A" w:rsidRDefault="0047749A" w:rsidP="00645A91">
      <w:pPr>
        <w:autoSpaceDE w:val="0"/>
        <w:autoSpaceDN w:val="0"/>
        <w:adjustRightInd w:val="0"/>
        <w:spacing w:after="0" w:line="240" w:lineRule="auto"/>
        <w:jc w:val="both"/>
      </w:pPr>
      <w:r>
        <w:t>Aumento del numero delle persone che hanno accesso ai servizi dedicati alle persone senza fissa dimora indicatore Percentuale di persone che hanno accesso ai servizi dedicati alle persone senza fissa dimora target 10% complessivo</w:t>
      </w:r>
    </w:p>
    <w:p w:rsidR="00393FF8" w:rsidRDefault="00393FF8" w:rsidP="00645A91">
      <w:pPr>
        <w:autoSpaceDE w:val="0"/>
        <w:autoSpaceDN w:val="0"/>
        <w:adjustRightInd w:val="0"/>
        <w:spacing w:after="0" w:line="240" w:lineRule="auto"/>
        <w:jc w:val="both"/>
      </w:pPr>
    </w:p>
    <w:p w:rsidR="00AC71B0" w:rsidRPr="00B33967" w:rsidRDefault="00393FF8" w:rsidP="00645A91">
      <w:pPr>
        <w:autoSpaceDE w:val="0"/>
        <w:autoSpaceDN w:val="0"/>
        <w:adjustRightInd w:val="0"/>
        <w:spacing w:after="0" w:line="240" w:lineRule="auto"/>
        <w:jc w:val="both"/>
        <w:rPr>
          <w:b/>
        </w:rPr>
      </w:pPr>
      <w:r w:rsidRPr="00B33967">
        <w:rPr>
          <w:b/>
        </w:rPr>
        <w:t xml:space="preserve">Appendice </w:t>
      </w:r>
    </w:p>
    <w:p w:rsidR="00AC71B0" w:rsidRPr="00B33967" w:rsidRDefault="00393FF8" w:rsidP="00645A91">
      <w:pPr>
        <w:autoSpaceDE w:val="0"/>
        <w:autoSpaceDN w:val="0"/>
        <w:adjustRightInd w:val="0"/>
        <w:spacing w:after="0" w:line="240" w:lineRule="auto"/>
        <w:jc w:val="both"/>
        <w:rPr>
          <w:b/>
        </w:rPr>
      </w:pPr>
      <w:r w:rsidRPr="00B33967">
        <w:rPr>
          <w:b/>
        </w:rPr>
        <w:lastRenderedPageBreak/>
        <w:t xml:space="preserve">La richiesta di autonomia regionale </w:t>
      </w:r>
    </w:p>
    <w:p w:rsidR="00AC71B0" w:rsidRDefault="00393FF8" w:rsidP="00645A91">
      <w:pPr>
        <w:autoSpaceDE w:val="0"/>
        <w:autoSpaceDN w:val="0"/>
        <w:adjustRightInd w:val="0"/>
        <w:spacing w:after="0" w:line="240" w:lineRule="auto"/>
        <w:jc w:val="both"/>
      </w:pPr>
      <w:r>
        <w:t xml:space="preserve">La Regione Liguria, come noto, ha intrapreso, al pari di altre Regioni, il processo di richiesta al Governo di attribuzione di forme e condizioni particolari di autonomia (“autonomia differenziata”) secondo quanto previsto all’art. 116, 3° comma, della Costituzione. </w:t>
      </w:r>
    </w:p>
    <w:p w:rsidR="00AC71B0" w:rsidRDefault="00393FF8" w:rsidP="00645A91">
      <w:pPr>
        <w:autoSpaceDE w:val="0"/>
        <w:autoSpaceDN w:val="0"/>
        <w:adjustRightInd w:val="0"/>
        <w:spacing w:after="0" w:line="240" w:lineRule="auto"/>
        <w:jc w:val="both"/>
      </w:pPr>
      <w:r>
        <w:t xml:space="preserve">Si tratta di un’ulteriore tappa nell’ambito del processo di decentramento che, dopo aver registrato negli ultimi anni un rallentamento per effetto della crisi iniziata nel 2008 e della conseguente legislazione di emergenza, sta vivendo una nuova stagione che vede riaffermata la centralità e il ruolo propulsivo delle Regioni nel processo di definizione dei nuovi assetti istituzionali. </w:t>
      </w:r>
    </w:p>
    <w:p w:rsidR="00AC71B0" w:rsidRDefault="00393FF8" w:rsidP="00645A91">
      <w:pPr>
        <w:autoSpaceDE w:val="0"/>
        <w:autoSpaceDN w:val="0"/>
        <w:adjustRightInd w:val="0"/>
        <w:spacing w:after="0" w:line="240" w:lineRule="auto"/>
        <w:jc w:val="both"/>
      </w:pPr>
      <w:r>
        <w:t xml:space="preserve">Le ulteriori funzioni che potranno essere attribuite alle Regioni nell’ambito dell’autonomia differenziata consentiranno di valorizzare specificità, esigenze e vocazione territoriale delle Regioni sulla base dei principi di sussidiarietà, differenziazione e adeguatezza e nel rispetto del principio di unità giuridica ed economica dello Stato e di leale collaborazione secondo quanto previsto all’art. 120 </w:t>
      </w:r>
      <w:proofErr w:type="gramStart"/>
      <w:r>
        <w:t>Cost..</w:t>
      </w:r>
      <w:proofErr w:type="gramEnd"/>
      <w:r>
        <w:t xml:space="preserve"> </w:t>
      </w:r>
    </w:p>
    <w:p w:rsidR="00AC71B0" w:rsidRDefault="00393FF8" w:rsidP="00645A91">
      <w:pPr>
        <w:autoSpaceDE w:val="0"/>
        <w:autoSpaceDN w:val="0"/>
        <w:adjustRightInd w:val="0"/>
        <w:spacing w:after="0" w:line="240" w:lineRule="auto"/>
        <w:jc w:val="both"/>
      </w:pPr>
      <w:r>
        <w:t xml:space="preserve">Per la Regione Liguria il percorso finalizzato all’attribuzione di ulteriori forme e condizioni particolari di autonomia è stato avviato con la deliberazione della Giunta regionale n. 1175 del 28/12/2017 e la successiva risoluzione del Consiglio regionale-Assemblea Legislativa n. 1 del 23/01/2018. </w:t>
      </w:r>
    </w:p>
    <w:p w:rsidR="00AC71B0" w:rsidRDefault="00393FF8" w:rsidP="00645A91">
      <w:pPr>
        <w:autoSpaceDE w:val="0"/>
        <w:autoSpaceDN w:val="0"/>
        <w:adjustRightInd w:val="0"/>
        <w:spacing w:after="0" w:line="240" w:lineRule="auto"/>
        <w:jc w:val="both"/>
      </w:pPr>
      <w:r>
        <w:t xml:space="preserve">Successivamente, con la decisione n. 23 del 13/7/2018, la Giunta regionale, confermando l’intenzione di proseguire la trattativa bilaterale con il Governo, ha focalizzato l’interesse della Regione Liguria ad ottenere forme e condizioni particolari di autonomia in relazione alle materie Ambiente, Salute, Scuola e Lavoro, Infrastrutture, Logistica e Portualità, con riserva di estendere il negoziato a ulteriori materie. </w:t>
      </w:r>
    </w:p>
    <w:p w:rsidR="00AC71B0" w:rsidRDefault="00393FF8" w:rsidP="00645A91">
      <w:pPr>
        <w:autoSpaceDE w:val="0"/>
        <w:autoSpaceDN w:val="0"/>
        <w:adjustRightInd w:val="0"/>
        <w:spacing w:after="0" w:line="240" w:lineRule="auto"/>
        <w:jc w:val="both"/>
      </w:pPr>
      <w:r>
        <w:t xml:space="preserve">Con tale provvedimento è stato inoltre individuato il Vice Presidente della Giunta regionale quale ulteriore referente politico per la conduzione della trattativa, prevedendo altresì il coinvolgimento degli Assessori competenti per materia e dei rispettivi Dipartimenti per la necessaria assistenza tecnica, nonché l’istituzione di un Comitato tecnico-scientifico con il compito di formulare contributi in relazione alla definizione dei contenuti delle proposte oggetto del negoziato. </w:t>
      </w:r>
    </w:p>
    <w:p w:rsidR="00AC71B0" w:rsidRDefault="00393FF8" w:rsidP="00645A91">
      <w:pPr>
        <w:autoSpaceDE w:val="0"/>
        <w:autoSpaceDN w:val="0"/>
        <w:adjustRightInd w:val="0"/>
        <w:spacing w:after="0" w:line="240" w:lineRule="auto"/>
        <w:jc w:val="both"/>
      </w:pPr>
      <w:r>
        <w:t>Il Comitato tecnico scientifico è stato istituito con decreto del Presidente della Giunta regionale n. 475 del 26 luglio 2018.</w:t>
      </w:r>
    </w:p>
    <w:p w:rsidR="00AC71B0" w:rsidRDefault="00393FF8" w:rsidP="00645A91">
      <w:pPr>
        <w:autoSpaceDE w:val="0"/>
        <w:autoSpaceDN w:val="0"/>
        <w:adjustRightInd w:val="0"/>
        <w:spacing w:after="0" w:line="240" w:lineRule="auto"/>
        <w:jc w:val="both"/>
      </w:pPr>
      <w:r>
        <w:t xml:space="preserve">Il 25 gennaio 2019, con la deliberazione n.34, la Giunta regionale ha approvato un documento di sintesi delle richieste di autonomia al Governo al fine di svolgere le necessarie consultazioni con il Consiglio delle Autonomie Locali (CAL) e con i rappresentanti delle realtà imprenditoriali, delle parti sociali e delle autonomie funzionali, assicurando il coinvolgimento dei Capigruppo consiliari in conformità a quanto stabilito con risoluzione del Consiglio regionale n. 1 del 23 gennaio 2018. </w:t>
      </w:r>
    </w:p>
    <w:p w:rsidR="00AC71B0" w:rsidRDefault="00393FF8" w:rsidP="00645A91">
      <w:pPr>
        <w:autoSpaceDE w:val="0"/>
        <w:autoSpaceDN w:val="0"/>
        <w:adjustRightInd w:val="0"/>
        <w:spacing w:after="0" w:line="240" w:lineRule="auto"/>
        <w:jc w:val="both"/>
      </w:pPr>
      <w:r>
        <w:t xml:space="preserve">Il Consiglio delle Autonomie Locali con deliberazione n. 2 del 7/2/2019 ha reso all’unanimità parere favorevole sulla deliberazione della Giunta regionale n. 34 sopra citata. </w:t>
      </w:r>
    </w:p>
    <w:p w:rsidR="00AC71B0" w:rsidRDefault="00393FF8" w:rsidP="00645A91">
      <w:pPr>
        <w:autoSpaceDE w:val="0"/>
        <w:autoSpaceDN w:val="0"/>
        <w:adjustRightInd w:val="0"/>
        <w:spacing w:after="0" w:line="240" w:lineRule="auto"/>
        <w:jc w:val="both"/>
      </w:pPr>
      <w:r>
        <w:t xml:space="preserve">Nel corso dei mesi di febbraio e marzo 2019, al fine della più ampia condivisione del documento di sintesi approvato con la DGR n. 34/2019, si sono svolti i Tavoli tematici di consultazione e approfondimento delle materie oggetto delle richieste di autonomia cui sono stati convocati e hanno partecipato Capigruppo consiliari, rappresentanti del Consiglio delle Autonomie Locali (CAL), rappresentanti delle Camere di commercio della Liguria, delle Autorità di sistema portuale della Liguria, delle organizzazioni sindacali CGIL, CISL, UIL, di Confindustria Liguria, CNA Liguria, Confartigianato Liguria, Confcommercio-ASCOM Liguria, Confesercenti Liguria, Alleanza delle Cooperative e Forum Ligure delle Associazioni Familiari. </w:t>
      </w:r>
    </w:p>
    <w:p w:rsidR="00AC71B0" w:rsidRDefault="00393FF8" w:rsidP="00645A91">
      <w:pPr>
        <w:autoSpaceDE w:val="0"/>
        <w:autoSpaceDN w:val="0"/>
        <w:adjustRightInd w:val="0"/>
        <w:spacing w:after="0" w:line="240" w:lineRule="auto"/>
        <w:jc w:val="both"/>
      </w:pPr>
      <w:r>
        <w:t>In occasione del confronto e degli approfondimenti svolti è emersa l’opportunità di estendere la richiesta di autonomia anche alle materie ordinamento della comunicazione, ordinamento sportivo, professioni, ricerca scientifica e tecnologica e sostegno dell’innovazione per i settori produttivi, produzione, trasporto e distribuzione dell’energia, commercio con l’estero.</w:t>
      </w:r>
    </w:p>
    <w:p w:rsidR="00393FF8" w:rsidRPr="000E4D29" w:rsidRDefault="00393FF8" w:rsidP="00645A91">
      <w:pPr>
        <w:autoSpaceDE w:val="0"/>
        <w:autoSpaceDN w:val="0"/>
        <w:adjustRightInd w:val="0"/>
        <w:spacing w:after="0" w:line="240" w:lineRule="auto"/>
        <w:jc w:val="both"/>
        <w:rPr>
          <w:rFonts w:cstheme="minorHAnsi"/>
        </w:rPr>
      </w:pPr>
      <w:r>
        <w:t>Infine con DGR 181 dell’8/3/2019 è stato approvato il documento finale di sintesi delle richieste di autonomia al Governo, integrato anche alla luce di quanto emerso nel corso dei tavoli di lavoro e dei contributi pervenuti, da porre alla base della trattativa con il Governo e condiviso dal Comitato Tecnico Scientifico nell’incontro all’uopo tenutosi in data 8/3/2019. Il documento, presentato e consegnato al Ministro per gli Affari Regionali e le Autonomie Erika Stefani nel corso dell’incontro tenutosi nella sede della Regione Liguria il 12 aprile u.s., è stato formalmente trasmesso dal Presidente Giovanni Toti al Presidente del Consiglio dei Ministri, Giuseppe Conte, e al Ministro per gli Affari Regionali e le Autonomie in data 15 aprile u.s.</w:t>
      </w:r>
    </w:p>
    <w:p w:rsidR="00645A91" w:rsidRPr="00983BF8" w:rsidRDefault="00645A91" w:rsidP="007D3003">
      <w:pPr>
        <w:autoSpaceDE w:val="0"/>
        <w:autoSpaceDN w:val="0"/>
        <w:adjustRightInd w:val="0"/>
        <w:spacing w:after="0" w:line="20" w:lineRule="atLeast"/>
        <w:jc w:val="both"/>
        <w:rPr>
          <w:rFonts w:cstheme="minorHAnsi"/>
          <w:color w:val="000000"/>
        </w:rPr>
      </w:pPr>
    </w:p>
    <w:p w:rsidR="007D3003" w:rsidRPr="00645A91" w:rsidRDefault="00645A91" w:rsidP="009B6094">
      <w:pPr>
        <w:pBdr>
          <w:top w:val="single" w:sz="4" w:space="1" w:color="auto"/>
          <w:left w:val="single" w:sz="4" w:space="4" w:color="auto"/>
          <w:bottom w:val="single" w:sz="4" w:space="0" w:color="auto"/>
          <w:right w:val="single" w:sz="4" w:space="4" w:color="auto"/>
          <w:between w:val="single" w:sz="4" w:space="1" w:color="auto"/>
          <w:bar w:val="single" w:sz="4" w:color="auto"/>
        </w:pBdr>
        <w:spacing w:after="0" w:line="20" w:lineRule="atLeast"/>
        <w:jc w:val="center"/>
        <w:rPr>
          <w:rFonts w:cstheme="minorHAnsi"/>
          <w:b/>
        </w:rPr>
      </w:pPr>
      <w:r w:rsidRPr="00645A91">
        <w:rPr>
          <w:rFonts w:cstheme="minorHAnsi"/>
          <w:b/>
        </w:rPr>
        <w:t>SANITÀ</w:t>
      </w:r>
    </w:p>
    <w:p w:rsidR="00645A91" w:rsidRDefault="00645A91" w:rsidP="0086707B">
      <w:pPr>
        <w:spacing w:after="0" w:line="20" w:lineRule="atLeast"/>
        <w:jc w:val="both"/>
        <w:rPr>
          <w:rFonts w:cstheme="minorHAnsi"/>
        </w:rPr>
      </w:pPr>
    </w:p>
    <w:p w:rsidR="0031291A" w:rsidRPr="00FD24FB" w:rsidRDefault="008B4F6D" w:rsidP="0031291A">
      <w:pPr>
        <w:autoSpaceDE w:val="0"/>
        <w:autoSpaceDN w:val="0"/>
        <w:adjustRightInd w:val="0"/>
        <w:spacing w:after="0" w:line="240" w:lineRule="auto"/>
        <w:rPr>
          <w:rFonts w:cstheme="minorHAnsi"/>
          <w:bCs/>
        </w:rPr>
      </w:pPr>
      <w:r w:rsidRPr="00FD24FB">
        <w:rPr>
          <w:rFonts w:cstheme="minorHAnsi"/>
          <w:b/>
          <w:bCs/>
        </w:rPr>
        <w:t>DGR  19 luglio 2019, n.  631</w:t>
      </w:r>
      <w:r w:rsidRPr="00FD24FB">
        <w:rPr>
          <w:rFonts w:cstheme="minorHAnsi"/>
          <w:bCs/>
        </w:rPr>
        <w:t>, Approvazione ed autorizzazione alla stipula di addendum alla Convenzione tra Regione Liguria e Università degli Studi di Genova-DISSAL Progetto CCM “Vaccinazioni antinfluenzali negli anziani” 2015.</w:t>
      </w:r>
      <w:r w:rsidR="0031291A" w:rsidRPr="0031291A">
        <w:rPr>
          <w:rFonts w:cstheme="minorHAnsi"/>
          <w:bCs/>
        </w:rPr>
        <w:t xml:space="preserve"> </w:t>
      </w:r>
      <w:r w:rsidR="0031291A">
        <w:rPr>
          <w:rFonts w:cstheme="minorHAnsi"/>
          <w:bCs/>
        </w:rPr>
        <w:t>(BUR n. 44 del 13.8.19)</w:t>
      </w:r>
    </w:p>
    <w:p w:rsidR="008B4F6D" w:rsidRPr="00FD24FB" w:rsidRDefault="008B4F6D" w:rsidP="008B4F6D">
      <w:pPr>
        <w:autoSpaceDE w:val="0"/>
        <w:autoSpaceDN w:val="0"/>
        <w:adjustRightInd w:val="0"/>
        <w:spacing w:after="0" w:line="240" w:lineRule="auto"/>
        <w:rPr>
          <w:rFonts w:cstheme="minorHAnsi"/>
          <w:b/>
        </w:rPr>
      </w:pPr>
      <w:r w:rsidRPr="00FD24FB">
        <w:rPr>
          <w:rFonts w:cstheme="minorHAnsi"/>
          <w:b/>
        </w:rPr>
        <w:t xml:space="preserve">Note </w:t>
      </w:r>
    </w:p>
    <w:p w:rsidR="0086707B" w:rsidRDefault="008B4F6D" w:rsidP="009B6094">
      <w:pPr>
        <w:autoSpaceDE w:val="0"/>
        <w:autoSpaceDN w:val="0"/>
        <w:adjustRightInd w:val="0"/>
        <w:spacing w:after="0" w:line="240" w:lineRule="auto"/>
        <w:jc w:val="both"/>
        <w:rPr>
          <w:rFonts w:cstheme="minorHAnsi"/>
        </w:rPr>
      </w:pPr>
      <w:proofErr w:type="gramStart"/>
      <w:r w:rsidRPr="00FD24FB">
        <w:rPr>
          <w:rFonts w:cstheme="minorHAnsi"/>
        </w:rPr>
        <w:t>Viene  approvato</w:t>
      </w:r>
      <w:proofErr w:type="gramEnd"/>
      <w:r w:rsidRPr="00FD24FB">
        <w:rPr>
          <w:rFonts w:cstheme="minorHAnsi"/>
        </w:rPr>
        <w:t xml:space="preserve">  lo schema dell’allegato atto aggiuntivo e modificativo alla convenzione tra la Regione Liguria, l’Università degli Studi di Genova - DISSAL e A.Li.Sa., e dare mandato al irettore Generale del Dipartimento Salute e Servizi Sociali di procedere alla relativa stipula, ai sensi dell’art. 15 comma 2 bis della L. 7 agosto 1990, n. 241 e ss.mm.ii.</w:t>
      </w:r>
    </w:p>
    <w:p w:rsidR="00FF7E92" w:rsidRDefault="00FF7E92" w:rsidP="00FF7E92">
      <w:pPr>
        <w:spacing w:after="0" w:line="20" w:lineRule="atLeast"/>
        <w:jc w:val="both"/>
        <w:rPr>
          <w:rFonts w:cstheme="minorHAnsi"/>
        </w:rPr>
      </w:pPr>
    </w:p>
    <w:p w:rsidR="00FF7E92" w:rsidRDefault="00FF7E92" w:rsidP="00FF7E92">
      <w:pPr>
        <w:spacing w:after="0" w:line="20" w:lineRule="atLeast"/>
        <w:jc w:val="center"/>
        <w:rPr>
          <w:rFonts w:ascii="Broadway" w:hAnsi="Broadway" w:cstheme="majorHAnsi"/>
          <w:b/>
          <w:sz w:val="40"/>
          <w:szCs w:val="40"/>
        </w:rPr>
      </w:pPr>
      <w:r>
        <w:rPr>
          <w:rFonts w:ascii="Broadway" w:hAnsi="Broadway" w:cstheme="majorHAnsi"/>
          <w:b/>
          <w:sz w:val="40"/>
          <w:szCs w:val="40"/>
        </w:rPr>
        <w:t>LOMBARDIA</w:t>
      </w:r>
    </w:p>
    <w:p w:rsidR="00FF7E92" w:rsidRPr="006B0B81" w:rsidRDefault="00FF7E92" w:rsidP="00FF7E92">
      <w:pPr>
        <w:spacing w:after="0" w:line="20" w:lineRule="atLeast"/>
        <w:jc w:val="both"/>
        <w:rPr>
          <w:rFonts w:cstheme="minorHAnsi"/>
        </w:rPr>
      </w:pPr>
    </w:p>
    <w:p w:rsidR="00FF7E92" w:rsidRPr="009B3050" w:rsidRDefault="00FF7E92" w:rsidP="00FF7E92">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9B3050">
        <w:rPr>
          <w:rFonts w:cstheme="minorHAnsi"/>
          <w:b/>
        </w:rPr>
        <w:t>ASSISTENZA PENITENZIARIA</w:t>
      </w:r>
    </w:p>
    <w:p w:rsidR="00FF7E92" w:rsidRDefault="00FF7E92" w:rsidP="00FF7E92">
      <w:pPr>
        <w:spacing w:after="0" w:line="20" w:lineRule="atLeast"/>
        <w:jc w:val="both"/>
        <w:rPr>
          <w:rFonts w:cstheme="minorHAnsi"/>
          <w:b/>
        </w:rPr>
      </w:pPr>
    </w:p>
    <w:p w:rsidR="00FF7E92" w:rsidRPr="006B0B81" w:rsidRDefault="00FF7E92" w:rsidP="00FF7E92">
      <w:pPr>
        <w:spacing w:after="0" w:line="20" w:lineRule="atLeast"/>
        <w:jc w:val="both"/>
        <w:rPr>
          <w:rFonts w:cstheme="minorHAnsi"/>
        </w:rPr>
      </w:pPr>
      <w:r w:rsidRPr="006B0B81">
        <w:rPr>
          <w:rFonts w:cstheme="minorHAnsi"/>
          <w:b/>
        </w:rPr>
        <w:t>DGR  31 luglio 2019 - n. XI/</w:t>
      </w:r>
      <w:proofErr w:type="gramStart"/>
      <w:r w:rsidRPr="006B0B81">
        <w:rPr>
          <w:rFonts w:cstheme="minorHAnsi"/>
          <w:b/>
        </w:rPr>
        <w:t>2022</w:t>
      </w:r>
      <w:r w:rsidRPr="006B0B81">
        <w:rPr>
          <w:rFonts w:cstheme="minorHAnsi"/>
        </w:rPr>
        <w:t>,  Presa</w:t>
      </w:r>
      <w:proofErr w:type="gramEnd"/>
      <w:r w:rsidRPr="006B0B81">
        <w:rPr>
          <w:rFonts w:cstheme="minorHAnsi"/>
        </w:rPr>
        <w:t xml:space="preserve"> d’atto dell’accordo stipulato con la conferenza delle regioni e delle province autonome per la promozione di una programmazione condivisa relativa ad interventi d’inclusione sociale a favore delle persone in esecuzione penale e relativa modifica ed integrazione dell’allegato B) della d.g.r. 5456/2016 (BUR n. 32 del 5.8.19)</w:t>
      </w:r>
    </w:p>
    <w:p w:rsidR="00FF7E92" w:rsidRPr="009B3050" w:rsidRDefault="00FF7E92" w:rsidP="00FF7E92">
      <w:pPr>
        <w:spacing w:after="0" w:line="20" w:lineRule="atLeast"/>
        <w:jc w:val="both"/>
        <w:rPr>
          <w:rFonts w:cstheme="minorHAnsi"/>
          <w:b/>
        </w:rPr>
      </w:pPr>
      <w:r w:rsidRPr="009B3050">
        <w:rPr>
          <w:rFonts w:cstheme="minorHAnsi"/>
          <w:b/>
        </w:rPr>
        <w:t>Note</w:t>
      </w:r>
    </w:p>
    <w:p w:rsidR="00FF7E92" w:rsidRPr="006B0B81" w:rsidRDefault="00FF7E92" w:rsidP="00FF7E92">
      <w:pPr>
        <w:spacing w:after="0" w:line="20" w:lineRule="atLeast"/>
        <w:jc w:val="both"/>
        <w:rPr>
          <w:rFonts w:cstheme="minorHAnsi"/>
        </w:rPr>
      </w:pPr>
      <w:r w:rsidRPr="006B0B81">
        <w:rPr>
          <w:rFonts w:cstheme="minorHAnsi"/>
        </w:rPr>
        <w:t xml:space="preserve">Viene </w:t>
      </w:r>
      <w:proofErr w:type="gramStart"/>
      <w:r w:rsidRPr="006B0B81">
        <w:rPr>
          <w:rFonts w:cstheme="minorHAnsi"/>
        </w:rPr>
        <w:t>preso  atto</w:t>
      </w:r>
      <w:proofErr w:type="gramEnd"/>
      <w:r w:rsidRPr="006B0B81">
        <w:rPr>
          <w:rFonts w:cstheme="minorHAnsi"/>
        </w:rPr>
        <w:t xml:space="preserve"> dell’Accordo stipulato tra Cassa delle Ammende, le Regioni e le Province Autonome per la promozione di una programmazione condivisa relativa ad interventi di inclusione sociale a favore delle persone in esecuzione penale e approvato in sede di Conferenza delle Regioni e delle Province Autonome lo scorso 26 luglio 2018, così come da allegato 1) parte integrante e sostanziale del presente provvedimento;</w:t>
      </w:r>
    </w:p>
    <w:p w:rsidR="00FF7E92" w:rsidRDefault="00FF7E92" w:rsidP="00FF7E92">
      <w:pPr>
        <w:spacing w:after="0" w:line="20" w:lineRule="atLeast"/>
        <w:jc w:val="both"/>
        <w:rPr>
          <w:rFonts w:cstheme="minorHAnsi"/>
        </w:rPr>
      </w:pPr>
      <w:proofErr w:type="gramStart"/>
      <w:r w:rsidRPr="006B0B81">
        <w:rPr>
          <w:rFonts w:cstheme="minorHAnsi"/>
        </w:rPr>
        <w:t>Si  aderisce</w:t>
      </w:r>
      <w:proofErr w:type="gramEnd"/>
      <w:r w:rsidRPr="006B0B81">
        <w:rPr>
          <w:rFonts w:cstheme="minorHAnsi"/>
        </w:rPr>
        <w:t xml:space="preserve"> al citato accordo, garantendo la realizzazione di una programmazione condivisa degli interventi attraverso la promozione di progetti complementari ed integrati con quanto già sostenuto sul territorio regionale</w:t>
      </w:r>
      <w:r>
        <w:rPr>
          <w:rFonts w:cstheme="minorHAnsi"/>
        </w:rPr>
        <w:t>.</w:t>
      </w:r>
    </w:p>
    <w:p w:rsidR="007E24FC" w:rsidRDefault="007E24FC" w:rsidP="00FF7E92">
      <w:pPr>
        <w:spacing w:after="0" w:line="20" w:lineRule="atLeast"/>
        <w:jc w:val="both"/>
        <w:rPr>
          <w:rFonts w:cstheme="minorHAnsi"/>
        </w:rPr>
      </w:pPr>
    </w:p>
    <w:p w:rsidR="007E24FC" w:rsidRPr="0037633A" w:rsidRDefault="007E24FC" w:rsidP="007E24F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37633A">
        <w:rPr>
          <w:rFonts w:cstheme="minorHAnsi"/>
          <w:b/>
        </w:rPr>
        <w:t>EDILIZIA</w:t>
      </w:r>
    </w:p>
    <w:p w:rsidR="007E24FC" w:rsidRPr="00B73FD1" w:rsidRDefault="007E24FC" w:rsidP="007E24FC">
      <w:pPr>
        <w:spacing w:after="0" w:line="20" w:lineRule="atLeast"/>
        <w:jc w:val="both"/>
        <w:rPr>
          <w:rFonts w:cstheme="minorHAnsi"/>
        </w:rPr>
      </w:pPr>
    </w:p>
    <w:p w:rsidR="007E24FC" w:rsidRDefault="007E24FC" w:rsidP="007E24FC">
      <w:pPr>
        <w:spacing w:after="0" w:line="20" w:lineRule="atLeast"/>
        <w:jc w:val="both"/>
        <w:rPr>
          <w:rFonts w:cstheme="minorHAnsi"/>
        </w:rPr>
      </w:pPr>
      <w:r w:rsidRPr="00B73FD1">
        <w:rPr>
          <w:rFonts w:cstheme="minorHAnsi"/>
          <w:b/>
          <w:bCs/>
        </w:rPr>
        <w:t>D</w:t>
      </w:r>
      <w:r>
        <w:rPr>
          <w:rFonts w:cstheme="minorHAnsi"/>
          <w:b/>
          <w:bCs/>
        </w:rPr>
        <w:t xml:space="preserve">GR </w:t>
      </w:r>
      <w:r w:rsidRPr="00B73FD1">
        <w:rPr>
          <w:rFonts w:cstheme="minorHAnsi"/>
          <w:b/>
          <w:bCs/>
        </w:rPr>
        <w:t>31 luglio 2019</w:t>
      </w:r>
      <w:r>
        <w:rPr>
          <w:rFonts w:cstheme="minorHAnsi"/>
          <w:b/>
          <w:bCs/>
        </w:rPr>
        <w:t xml:space="preserve">, </w:t>
      </w:r>
      <w:r w:rsidRPr="00B73FD1">
        <w:rPr>
          <w:rFonts w:cstheme="minorHAnsi"/>
          <w:b/>
          <w:bCs/>
        </w:rPr>
        <w:t>n. XI/</w:t>
      </w:r>
      <w:proofErr w:type="gramStart"/>
      <w:r w:rsidRPr="00B73FD1">
        <w:rPr>
          <w:rFonts w:cstheme="minorHAnsi"/>
          <w:b/>
          <w:bCs/>
        </w:rPr>
        <w:t>2063</w:t>
      </w:r>
      <w:r>
        <w:rPr>
          <w:rFonts w:cstheme="minorHAnsi"/>
          <w:b/>
          <w:bCs/>
        </w:rPr>
        <w:t xml:space="preserve">, </w:t>
      </w:r>
      <w:r w:rsidRPr="00B73FD1">
        <w:rPr>
          <w:rFonts w:cstheme="minorHAnsi"/>
          <w:b/>
          <w:bCs/>
        </w:rPr>
        <w:t xml:space="preserve"> </w:t>
      </w:r>
      <w:r w:rsidRPr="0037633A">
        <w:rPr>
          <w:rFonts w:cstheme="minorHAnsi"/>
          <w:bCs/>
          <w:color w:val="000000"/>
        </w:rPr>
        <w:t>Determinazioni</w:t>
      </w:r>
      <w:proofErr w:type="gramEnd"/>
      <w:r w:rsidRPr="0037633A">
        <w:rPr>
          <w:rFonts w:cstheme="minorHAnsi"/>
          <w:bCs/>
          <w:color w:val="000000"/>
        </w:rPr>
        <w:t xml:space="preserve"> in ordine alle condizioni ed alle modalità di accesso e permanenza nei servizi abitativi transitori di cui al comma 13 dell’articolo 23 della legge regionale 8 luglio 2016, n. 16 «Disciplina regionale dei servizi abitativi»</w:t>
      </w:r>
      <w:r>
        <w:rPr>
          <w:rFonts w:cstheme="minorHAnsi"/>
          <w:bCs/>
          <w:color w:val="000000"/>
        </w:rPr>
        <w:t xml:space="preserve">. </w:t>
      </w:r>
      <w:r w:rsidRPr="006B0B81">
        <w:rPr>
          <w:rFonts w:cstheme="minorHAnsi"/>
        </w:rPr>
        <w:t>(BUR n. 32 del</w:t>
      </w:r>
      <w:r>
        <w:rPr>
          <w:rFonts w:cstheme="minorHAnsi"/>
        </w:rPr>
        <w:t xml:space="preserve"> 6</w:t>
      </w:r>
      <w:r w:rsidRPr="006B0B81">
        <w:rPr>
          <w:rFonts w:cstheme="minorHAnsi"/>
        </w:rPr>
        <w:t>.8.19)</w:t>
      </w:r>
    </w:p>
    <w:p w:rsidR="007E24FC" w:rsidRPr="00C457FC" w:rsidRDefault="007E24FC" w:rsidP="007E24FC">
      <w:pPr>
        <w:pStyle w:val="Pa14"/>
        <w:spacing w:line="20" w:lineRule="atLeast"/>
        <w:jc w:val="both"/>
        <w:rPr>
          <w:rFonts w:asciiTheme="minorHAnsi" w:hAnsiTheme="minorHAnsi" w:cstheme="minorHAnsi"/>
          <w:color w:val="000000"/>
          <w:sz w:val="22"/>
          <w:szCs w:val="22"/>
        </w:rPr>
      </w:pPr>
      <w:r w:rsidRPr="00C457FC">
        <w:rPr>
          <w:rFonts w:asciiTheme="minorHAnsi" w:hAnsiTheme="minorHAnsi" w:cstheme="minorHAnsi"/>
          <w:color w:val="000000"/>
          <w:sz w:val="22"/>
          <w:szCs w:val="22"/>
        </w:rPr>
        <w:t xml:space="preserve">PREMESSA  </w:t>
      </w:r>
    </w:p>
    <w:p w:rsidR="007E24FC" w:rsidRPr="00B73FD1" w:rsidRDefault="007E24FC" w:rsidP="007E24FC">
      <w:pPr>
        <w:pStyle w:val="Pa15"/>
        <w:spacing w:line="20" w:lineRule="atLeast"/>
        <w:jc w:val="both"/>
        <w:rPr>
          <w:rFonts w:asciiTheme="minorHAnsi" w:hAnsiTheme="minorHAnsi" w:cstheme="minorHAnsi"/>
          <w:color w:val="000000"/>
          <w:sz w:val="22"/>
          <w:szCs w:val="22"/>
        </w:rPr>
      </w:pPr>
      <w:r>
        <w:rPr>
          <w:rFonts w:asciiTheme="minorHAnsi" w:hAnsiTheme="minorHAnsi" w:cstheme="minorHAnsi"/>
          <w:color w:val="000000"/>
          <w:sz w:val="22"/>
          <w:szCs w:val="22"/>
        </w:rPr>
        <w:t>L</w:t>
      </w:r>
      <w:r w:rsidRPr="00B73FD1">
        <w:rPr>
          <w:rFonts w:asciiTheme="minorHAnsi" w:hAnsiTheme="minorHAnsi" w:cstheme="minorHAnsi"/>
          <w:color w:val="000000"/>
          <w:sz w:val="22"/>
          <w:szCs w:val="22"/>
        </w:rPr>
        <w:t>a legge regionale 8 luglio 2016, n. 16 «Disciplina regio</w:t>
      </w:r>
      <w:r w:rsidRPr="00B73FD1">
        <w:rPr>
          <w:rFonts w:asciiTheme="minorHAnsi" w:hAnsiTheme="minorHAnsi" w:cstheme="minorHAnsi"/>
          <w:color w:val="000000"/>
          <w:sz w:val="22"/>
          <w:szCs w:val="22"/>
        </w:rPr>
        <w:softHyphen/>
        <w:t xml:space="preserve">nale dei servizi abitativi», ed in particolare, l’articolo 23, comma 13, il quale stabilisce che: </w:t>
      </w:r>
    </w:p>
    <w:p w:rsidR="007E24FC" w:rsidRPr="00B73FD1" w:rsidRDefault="007E24FC" w:rsidP="007E24FC">
      <w:pPr>
        <w:pStyle w:val="Default"/>
        <w:spacing w:line="20" w:lineRule="atLeast"/>
        <w:jc w:val="both"/>
        <w:rPr>
          <w:rFonts w:asciiTheme="minorHAnsi" w:hAnsiTheme="minorHAnsi" w:cstheme="minorHAnsi"/>
          <w:sz w:val="22"/>
          <w:szCs w:val="22"/>
        </w:rPr>
      </w:pPr>
      <w:r w:rsidRPr="00B73FD1">
        <w:rPr>
          <w:rFonts w:asciiTheme="minorHAnsi" w:hAnsiTheme="minorHAnsi" w:cstheme="minorHAnsi"/>
          <w:sz w:val="22"/>
          <w:szCs w:val="22"/>
        </w:rPr>
        <w:t>Al fine di contenere il disagio abitativo di particolari categorie sociali, soggette a procedure esecutive di rilascio degli immo</w:t>
      </w:r>
      <w:r w:rsidRPr="00B73FD1">
        <w:rPr>
          <w:rFonts w:asciiTheme="minorHAnsi" w:hAnsiTheme="minorHAnsi" w:cstheme="minorHAnsi"/>
          <w:sz w:val="22"/>
          <w:szCs w:val="22"/>
        </w:rPr>
        <w:softHyphen/>
        <w:t>bili adibiti ad uso di abitazione e per ogni altra esigenza con</w:t>
      </w:r>
      <w:r w:rsidRPr="00B73FD1">
        <w:rPr>
          <w:rFonts w:asciiTheme="minorHAnsi" w:hAnsiTheme="minorHAnsi" w:cstheme="minorHAnsi"/>
          <w:sz w:val="22"/>
          <w:szCs w:val="22"/>
        </w:rPr>
        <w:softHyphen/>
        <w:t>nessa alla gestione di situazioni di grave emergenza abitativa, in particolare nei comuni ad alta tensione abitativa, ALER e co</w:t>
      </w:r>
      <w:r w:rsidRPr="00B73FD1">
        <w:rPr>
          <w:rFonts w:asciiTheme="minorHAnsi" w:hAnsiTheme="minorHAnsi" w:cstheme="minorHAnsi"/>
          <w:sz w:val="22"/>
          <w:szCs w:val="22"/>
        </w:rPr>
        <w:softHyphen/>
        <w:t>muni destinano una quota del proprio patrimonio abitativo a servizi abitativi transitori, nell'ambito del piano triennale dell'of</w:t>
      </w:r>
      <w:r w:rsidRPr="00B73FD1">
        <w:rPr>
          <w:rFonts w:asciiTheme="minorHAnsi" w:hAnsiTheme="minorHAnsi" w:cstheme="minorHAnsi"/>
          <w:sz w:val="22"/>
          <w:szCs w:val="22"/>
        </w:rPr>
        <w:softHyphen/>
        <w:t>ferta abitativa pubblica e sociale e dei suoi aggiornamenti an</w:t>
      </w:r>
      <w:r w:rsidRPr="00B73FD1">
        <w:rPr>
          <w:rFonts w:asciiTheme="minorHAnsi" w:hAnsiTheme="minorHAnsi" w:cstheme="minorHAnsi"/>
          <w:sz w:val="22"/>
          <w:szCs w:val="22"/>
        </w:rPr>
        <w:softHyphen/>
        <w:t>nuali, nella misura massima del 10 per cento delle unità abitati</w:t>
      </w:r>
      <w:r w:rsidRPr="00B73FD1">
        <w:rPr>
          <w:rFonts w:asciiTheme="minorHAnsi" w:hAnsiTheme="minorHAnsi" w:cstheme="minorHAnsi"/>
          <w:sz w:val="22"/>
          <w:szCs w:val="22"/>
        </w:rPr>
        <w:softHyphen/>
        <w:t xml:space="preserve">ve disponibili alla data di entrata in vigore della presente legge. </w:t>
      </w:r>
    </w:p>
    <w:p w:rsidR="007E24FC" w:rsidRDefault="007E24FC" w:rsidP="007E24FC">
      <w:pPr>
        <w:pStyle w:val="Default"/>
        <w:spacing w:line="20" w:lineRule="atLeast"/>
        <w:jc w:val="both"/>
        <w:rPr>
          <w:rFonts w:asciiTheme="minorHAnsi" w:hAnsiTheme="minorHAnsi" w:cstheme="minorHAnsi"/>
          <w:sz w:val="22"/>
          <w:szCs w:val="22"/>
        </w:rPr>
      </w:pPr>
      <w:r w:rsidRPr="00B73FD1">
        <w:rPr>
          <w:rFonts w:asciiTheme="minorHAnsi" w:hAnsiTheme="minorHAnsi" w:cstheme="minorHAnsi"/>
          <w:sz w:val="22"/>
          <w:szCs w:val="22"/>
        </w:rPr>
        <w:t>Le unità abitative a tali fini individuate sono temporanea</w:t>
      </w:r>
      <w:r w:rsidRPr="00B73FD1">
        <w:rPr>
          <w:rFonts w:asciiTheme="minorHAnsi" w:hAnsiTheme="minorHAnsi" w:cstheme="minorHAnsi"/>
          <w:sz w:val="22"/>
          <w:szCs w:val="22"/>
        </w:rPr>
        <w:softHyphen/>
        <w:t xml:space="preserve">mente escluse dalla disciplina dei servizi abitativi pubblici. </w:t>
      </w:r>
    </w:p>
    <w:p w:rsidR="007E24FC" w:rsidRPr="00B73FD1" w:rsidRDefault="007E24FC" w:rsidP="007E24FC">
      <w:pPr>
        <w:pStyle w:val="Default"/>
        <w:spacing w:line="20" w:lineRule="atLeast"/>
        <w:jc w:val="both"/>
        <w:rPr>
          <w:rFonts w:asciiTheme="minorHAnsi" w:hAnsiTheme="minorHAnsi" w:cstheme="minorHAnsi"/>
          <w:sz w:val="22"/>
          <w:szCs w:val="22"/>
        </w:rPr>
      </w:pPr>
      <w:r w:rsidRPr="00B73FD1">
        <w:rPr>
          <w:rFonts w:asciiTheme="minorHAnsi" w:hAnsiTheme="minorHAnsi" w:cstheme="minorHAnsi"/>
          <w:sz w:val="22"/>
          <w:szCs w:val="22"/>
        </w:rPr>
        <w:t>Tali unità abitative sono assegnate ai nuclei familiari in pos</w:t>
      </w:r>
      <w:r w:rsidRPr="00B73FD1">
        <w:rPr>
          <w:rFonts w:asciiTheme="minorHAnsi" w:hAnsiTheme="minorHAnsi" w:cstheme="minorHAnsi"/>
          <w:sz w:val="22"/>
          <w:szCs w:val="22"/>
        </w:rPr>
        <w:softHyphen/>
        <w:t>sesso dei requisiti per l'accesso ai servizi abitativi pubblici per una durata massima di dodici mesi rinnovabili, una sola volta, per un periodo non superiore a dodici mesi, mediante provvedimento motivato del comune e comunicato alla Re</w:t>
      </w:r>
      <w:r w:rsidRPr="00B73FD1">
        <w:rPr>
          <w:rFonts w:asciiTheme="minorHAnsi" w:hAnsiTheme="minorHAnsi" w:cstheme="minorHAnsi"/>
          <w:sz w:val="22"/>
          <w:szCs w:val="22"/>
        </w:rPr>
        <w:softHyphen/>
        <w:t xml:space="preserve">gione, secondo le modalità stabilite dalla Giunta regionale. </w:t>
      </w:r>
    </w:p>
    <w:p w:rsidR="007E24FC" w:rsidRPr="00B73FD1" w:rsidRDefault="007E24FC" w:rsidP="007E24FC">
      <w:pPr>
        <w:pStyle w:val="Default"/>
        <w:spacing w:line="20" w:lineRule="atLeast"/>
        <w:jc w:val="both"/>
        <w:rPr>
          <w:rFonts w:asciiTheme="minorHAnsi" w:hAnsiTheme="minorHAnsi" w:cstheme="minorHAnsi"/>
          <w:sz w:val="22"/>
          <w:szCs w:val="22"/>
        </w:rPr>
      </w:pPr>
      <w:r w:rsidRPr="00B73FD1">
        <w:rPr>
          <w:rFonts w:asciiTheme="minorHAnsi" w:hAnsiTheme="minorHAnsi" w:cstheme="minorHAnsi"/>
          <w:sz w:val="22"/>
          <w:szCs w:val="22"/>
        </w:rPr>
        <w:t>I comuni possono incrementare la disponibilità di servizi abitativi transitori con unità abitative conferite da sogget</w:t>
      </w:r>
      <w:r w:rsidRPr="00B73FD1">
        <w:rPr>
          <w:rFonts w:asciiTheme="minorHAnsi" w:hAnsiTheme="minorHAnsi" w:cstheme="minorHAnsi"/>
          <w:sz w:val="22"/>
          <w:szCs w:val="22"/>
        </w:rPr>
        <w:softHyphen/>
        <w:t xml:space="preserve">ti pubblici e privati, compresi gli operatori accreditati, da reperire attraverso procedure ad evidenza pubblica e da disciplinare mediante apposite convenzioni, rinnovabili in forma espressa. </w:t>
      </w:r>
    </w:p>
    <w:p w:rsidR="007E24FC" w:rsidRPr="00B73FD1" w:rsidRDefault="007E24FC" w:rsidP="007E24FC">
      <w:pPr>
        <w:pStyle w:val="Default"/>
        <w:spacing w:line="20" w:lineRule="atLeast"/>
        <w:jc w:val="both"/>
        <w:rPr>
          <w:rFonts w:asciiTheme="minorHAnsi" w:hAnsiTheme="minorHAnsi" w:cstheme="minorHAnsi"/>
          <w:sz w:val="22"/>
          <w:szCs w:val="22"/>
        </w:rPr>
      </w:pPr>
      <w:r w:rsidRPr="00B73FD1">
        <w:rPr>
          <w:rFonts w:asciiTheme="minorHAnsi" w:hAnsiTheme="minorHAnsi" w:cstheme="minorHAnsi"/>
          <w:sz w:val="22"/>
          <w:szCs w:val="22"/>
        </w:rPr>
        <w:t>Per tali finalità le suddette unità abitative o loro porzioni, sono temporaneamente escluse dalla disciplina dei servizi abita</w:t>
      </w:r>
      <w:r w:rsidRPr="00B73FD1">
        <w:rPr>
          <w:rFonts w:asciiTheme="minorHAnsi" w:hAnsiTheme="minorHAnsi" w:cstheme="minorHAnsi"/>
          <w:sz w:val="22"/>
          <w:szCs w:val="22"/>
        </w:rPr>
        <w:softHyphen/>
        <w:t xml:space="preserve">tivi pubblici, previa comunicazione alla Giunta regionale. </w:t>
      </w:r>
    </w:p>
    <w:p w:rsidR="007E24FC" w:rsidRPr="00B73FD1" w:rsidRDefault="007E24FC" w:rsidP="007E24FC">
      <w:pPr>
        <w:pStyle w:val="Default"/>
        <w:spacing w:line="20" w:lineRule="atLeast"/>
        <w:jc w:val="both"/>
        <w:rPr>
          <w:rFonts w:asciiTheme="minorHAnsi" w:hAnsiTheme="minorHAnsi" w:cstheme="minorHAnsi"/>
          <w:sz w:val="22"/>
          <w:szCs w:val="22"/>
        </w:rPr>
      </w:pPr>
      <w:r w:rsidRPr="00B73FD1">
        <w:rPr>
          <w:rFonts w:asciiTheme="minorHAnsi" w:hAnsiTheme="minorHAnsi" w:cstheme="minorHAnsi"/>
          <w:sz w:val="22"/>
          <w:szCs w:val="22"/>
        </w:rPr>
        <w:lastRenderedPageBreak/>
        <w:t>Per la gestione dei servizi abitativi transitori di cui al presen</w:t>
      </w:r>
      <w:r w:rsidRPr="00B73FD1">
        <w:rPr>
          <w:rFonts w:asciiTheme="minorHAnsi" w:hAnsiTheme="minorHAnsi" w:cstheme="minorHAnsi"/>
          <w:sz w:val="22"/>
          <w:szCs w:val="22"/>
        </w:rPr>
        <w:softHyphen/>
        <w:t>te comma, i comuni possono avvalersi di operatori accre</w:t>
      </w:r>
      <w:r w:rsidRPr="00B73FD1">
        <w:rPr>
          <w:rFonts w:asciiTheme="minorHAnsi" w:hAnsiTheme="minorHAnsi" w:cstheme="minorHAnsi"/>
          <w:sz w:val="22"/>
          <w:szCs w:val="22"/>
        </w:rPr>
        <w:softHyphen/>
        <w:t xml:space="preserve">ditati ovvero dell'ALER territorialmente competente; </w:t>
      </w:r>
    </w:p>
    <w:p w:rsidR="007E24FC" w:rsidRPr="00BA7F92" w:rsidRDefault="007E24FC" w:rsidP="007E24FC">
      <w:pPr>
        <w:pStyle w:val="Default"/>
        <w:spacing w:line="20" w:lineRule="atLeast"/>
        <w:jc w:val="both"/>
        <w:rPr>
          <w:rFonts w:asciiTheme="minorHAnsi" w:hAnsiTheme="minorHAnsi" w:cstheme="minorHAnsi"/>
          <w:b/>
          <w:sz w:val="22"/>
          <w:szCs w:val="22"/>
        </w:rPr>
      </w:pPr>
      <w:r w:rsidRPr="00BA7F92">
        <w:rPr>
          <w:rFonts w:asciiTheme="minorHAnsi" w:hAnsiTheme="minorHAnsi" w:cstheme="minorHAnsi"/>
          <w:b/>
          <w:sz w:val="22"/>
          <w:szCs w:val="22"/>
        </w:rPr>
        <w:t xml:space="preserve">LA DISPOSIZIONE </w:t>
      </w:r>
    </w:p>
    <w:p w:rsidR="007E24FC" w:rsidRDefault="007E24FC" w:rsidP="007E24FC">
      <w:pPr>
        <w:pStyle w:val="Pa15"/>
        <w:spacing w:line="20" w:lineRule="atLeast"/>
        <w:jc w:val="both"/>
        <w:rPr>
          <w:rFonts w:asciiTheme="minorHAnsi" w:hAnsiTheme="minorHAnsi" w:cstheme="minorHAnsi"/>
          <w:color w:val="000000"/>
          <w:sz w:val="22"/>
          <w:szCs w:val="22"/>
        </w:rPr>
      </w:pPr>
      <w:proofErr w:type="gramStart"/>
      <w:r>
        <w:rPr>
          <w:rFonts w:asciiTheme="minorHAnsi" w:hAnsiTheme="minorHAnsi" w:cstheme="minorHAnsi"/>
          <w:color w:val="000000"/>
          <w:sz w:val="22"/>
          <w:szCs w:val="22"/>
        </w:rPr>
        <w:t xml:space="preserve">Vengono </w:t>
      </w:r>
      <w:r w:rsidRPr="00B73FD1">
        <w:rPr>
          <w:rFonts w:asciiTheme="minorHAnsi" w:hAnsiTheme="minorHAnsi" w:cstheme="minorHAnsi"/>
          <w:color w:val="000000"/>
          <w:sz w:val="22"/>
          <w:szCs w:val="22"/>
        </w:rPr>
        <w:t xml:space="preserve"> approva</w:t>
      </w:r>
      <w:r>
        <w:rPr>
          <w:rFonts w:asciiTheme="minorHAnsi" w:hAnsiTheme="minorHAnsi" w:cstheme="minorHAnsi"/>
          <w:color w:val="000000"/>
          <w:sz w:val="22"/>
          <w:szCs w:val="22"/>
        </w:rPr>
        <w:t>te</w:t>
      </w:r>
      <w:proofErr w:type="gramEnd"/>
      <w:r>
        <w:rPr>
          <w:rFonts w:asciiTheme="minorHAnsi" w:hAnsiTheme="minorHAnsi" w:cstheme="minorHAnsi"/>
          <w:color w:val="000000"/>
          <w:sz w:val="22"/>
          <w:szCs w:val="22"/>
        </w:rPr>
        <w:t xml:space="preserve"> </w:t>
      </w:r>
      <w:r w:rsidRPr="00B73FD1">
        <w:rPr>
          <w:rFonts w:asciiTheme="minorHAnsi" w:hAnsiTheme="minorHAnsi" w:cstheme="minorHAnsi"/>
          <w:color w:val="000000"/>
          <w:sz w:val="22"/>
          <w:szCs w:val="22"/>
        </w:rPr>
        <w:t xml:space="preserve"> le condizioni e le modalità di accesso e per</w:t>
      </w:r>
      <w:r w:rsidRPr="00B73FD1">
        <w:rPr>
          <w:rFonts w:asciiTheme="minorHAnsi" w:hAnsiTheme="minorHAnsi" w:cstheme="minorHAnsi"/>
          <w:color w:val="000000"/>
          <w:sz w:val="22"/>
          <w:szCs w:val="22"/>
        </w:rPr>
        <w:softHyphen/>
        <w:t>manenza nei servizi abitativi transitori di cui al citato comma 13 dell’articolo 23 della legge regionale 8 luglio 2016, n. 16, come da allegato parte integrante e sostan</w:t>
      </w:r>
      <w:r>
        <w:rPr>
          <w:rFonts w:asciiTheme="minorHAnsi" w:hAnsiTheme="minorHAnsi" w:cstheme="minorHAnsi"/>
          <w:color w:val="000000"/>
          <w:sz w:val="22"/>
          <w:szCs w:val="22"/>
        </w:rPr>
        <w:t>ziale del presente provvedimento.</w:t>
      </w:r>
    </w:p>
    <w:p w:rsidR="007E24FC" w:rsidRDefault="007E24FC" w:rsidP="007E24FC">
      <w:pPr>
        <w:pStyle w:val="Pa15"/>
        <w:spacing w:line="20" w:lineRule="atLeast"/>
        <w:jc w:val="both"/>
        <w:rPr>
          <w:rFonts w:asciiTheme="minorHAnsi" w:hAnsiTheme="minorHAnsi" w:cstheme="minorHAnsi"/>
          <w:color w:val="000000"/>
          <w:sz w:val="22"/>
          <w:szCs w:val="22"/>
        </w:rPr>
      </w:pPr>
      <w:r>
        <w:rPr>
          <w:rFonts w:asciiTheme="minorHAnsi" w:hAnsiTheme="minorHAnsi" w:cstheme="minorHAnsi"/>
          <w:color w:val="000000"/>
          <w:sz w:val="22"/>
          <w:szCs w:val="22"/>
        </w:rPr>
        <w:t>I</w:t>
      </w:r>
      <w:r w:rsidRPr="00B73FD1">
        <w:rPr>
          <w:rFonts w:asciiTheme="minorHAnsi" w:hAnsiTheme="minorHAnsi" w:cstheme="minorHAnsi"/>
          <w:color w:val="000000"/>
          <w:sz w:val="22"/>
          <w:szCs w:val="22"/>
        </w:rPr>
        <w:t>n considerazione della novità del servizio, la Giunta regionale si riserva di monitorarne l’andamento anche con il concorso dei comuni, per gli eventuali interventi correttivi che si dovessero rendere necessari</w:t>
      </w:r>
      <w:r>
        <w:rPr>
          <w:rFonts w:asciiTheme="minorHAnsi" w:hAnsiTheme="minorHAnsi" w:cstheme="minorHAnsi"/>
          <w:color w:val="000000"/>
          <w:sz w:val="22"/>
          <w:szCs w:val="22"/>
        </w:rPr>
        <w:t>.</w:t>
      </w:r>
    </w:p>
    <w:p w:rsidR="007E24FC" w:rsidRPr="00B73FD1" w:rsidRDefault="007E24FC" w:rsidP="007E24FC">
      <w:pPr>
        <w:spacing w:after="0" w:line="20" w:lineRule="atLeast"/>
        <w:jc w:val="both"/>
        <w:rPr>
          <w:rFonts w:cstheme="minorHAnsi"/>
          <w:color w:val="000000"/>
        </w:rPr>
      </w:pPr>
    </w:p>
    <w:p w:rsidR="007E24FC" w:rsidRDefault="007E24FC" w:rsidP="007E24FC">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Proposta di provvedimento amministrativo </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b/>
          <w:bCs/>
          <w:color w:val="000000"/>
        </w:rPr>
        <w:t>Oggetto</w:t>
      </w:r>
      <w:r w:rsidRPr="00B73FD1">
        <w:rPr>
          <w:rFonts w:cstheme="minorHAnsi"/>
          <w:color w:val="000000"/>
        </w:rPr>
        <w:t>: Determinazioni in ordine alle condizioni ed alle modalità di accesso e permanenza nei servizi abitativi transitori di cui al comma 13 dell’articolo 23 della legge regionale 8 luglio 2016, n. 16 “Disciplina regionale dei servizi abitativi</w:t>
      </w:r>
      <w:proofErr w:type="gramStart"/>
      <w:r w:rsidRPr="00B73FD1">
        <w:rPr>
          <w:rFonts w:cstheme="minorHAnsi"/>
          <w:color w:val="000000"/>
        </w:rPr>
        <w:t xml:space="preserve">” </w:t>
      </w:r>
      <w:r w:rsidR="00AC71B0">
        <w:rPr>
          <w:rFonts w:cstheme="minorHAnsi"/>
          <w:color w:val="000000"/>
        </w:rPr>
        <w:t>.</w:t>
      </w:r>
      <w:proofErr w:type="gramEnd"/>
    </w:p>
    <w:p w:rsidR="007E24FC" w:rsidRDefault="007E24FC" w:rsidP="007E24FC">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1. Destinatari del servizio abitativo transitorio </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 xml:space="preserve">La legge regionale individua due categorie di soggetti destinatari del servizio abitativo transitorio; una specifica e l’altra generica. Alla prima categoria appartengono i nuclei familiari soggetti a procedure esecutive di rilascio degli immobili. Alla seconda categoria appartengono i nuclei familiari in situazioni di grave emergenza abitativa. In entrambi i casi, trattasi di nuclei familiari che risiedono o che hanno risieduto in abitazioni a titolo di proprietà o in regime di locazione privata. Sono pertanto destinatari del servizio abitativo transitorio ai sensi dell’art. 23, comma 13 della Legge regionale 8 luglio 2016, n. 16, i nuclei familiari di seguito elencati: </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 xml:space="preserve">1. Nuclei familiari che debbono forzatamente rilasciare l’alloggio in cui abitano a seguito di provvedimento esecutivo di sfratto per finita locazione o per morosità incolpevole nel pagamento del canone di locazione; 2. Nuclei familiari che abbiano rilasciato l’alloggio in cui abitavano nei 6 mesi precedenti la presentazione della domanda, a seguito di provvedimento esecutivo di sfratto per finita locazione o per morosità incolpevole nel pagamento del canone di locazione e che permangono in una situazione di precarietà abitativa; </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 xml:space="preserve">3. Nuclei familiari che abbiano rilasciato l’alloggio in cui abitavano nei 6 mesi precedenti la presentazione della domanda a causa di sua inagibilità dovuta ad evento calamitoso, dichiarata da organismo tecnicamente competente e che permangono in una situazione di precarietà abitativa; </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 xml:space="preserve">4. Nuclei familiari che debbono forzatamente rilasciare l’alloggio di proprietà in cui abitano a seguito di decreto di trasferimento del bene pignorato per il mancato pagamento delle rate di mutuo e/o delle spese condominiali purché il mancato pagamento sia dovuto a morosità incolpevole; </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 xml:space="preserve">5. Nuclei familiari che abbiano rilasciato l’alloggio di proprietà in cui abitavano, a seguito di decreto di trasferimento del bene pignorato, emesso nei sei mesi precedenti la data di presentazione della domanda, per il mancato pagamento delle rate di mutuo e/o delle spese condominiale purché il mancato pagamento sia dovuto a morosità incolpevole e che permangono in una situazione di precarietà abitativa; </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6. Nuclei familiari privi di alloggio che necessitano di urgente sistemazione abitativa</w:t>
      </w:r>
      <w:r>
        <w:rPr>
          <w:rFonts w:cstheme="minorHAnsi"/>
          <w:color w:val="000000"/>
        </w:rPr>
        <w:t>-</w:t>
      </w:r>
    </w:p>
    <w:p w:rsidR="007E24FC" w:rsidRDefault="007E24FC" w:rsidP="007E24FC">
      <w:pPr>
        <w:autoSpaceDE w:val="0"/>
        <w:autoSpaceDN w:val="0"/>
        <w:adjustRightInd w:val="0"/>
        <w:spacing w:after="0" w:line="20" w:lineRule="atLeast"/>
        <w:jc w:val="both"/>
        <w:rPr>
          <w:rFonts w:cstheme="minorHAnsi"/>
          <w:b/>
          <w:bCs/>
          <w:color w:val="000000"/>
        </w:rPr>
      </w:pPr>
      <w:r w:rsidRPr="00B73FD1">
        <w:rPr>
          <w:rFonts w:cstheme="minorHAnsi"/>
          <w:color w:val="000000"/>
        </w:rPr>
        <w:t xml:space="preserve"> </w:t>
      </w:r>
      <w:r w:rsidRPr="00B73FD1">
        <w:rPr>
          <w:rFonts w:cstheme="minorHAnsi"/>
          <w:b/>
          <w:bCs/>
          <w:color w:val="000000"/>
        </w:rPr>
        <w:t xml:space="preserve">2. Requisiti di accesso al servizio abitativo transitorio </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 xml:space="preserve">La legge regionale stabilisce che i servizi abitativi transitori sono assegnati ai nuclei familiari in possesso dei requisiti per l’accesso ai servizi abitativi pubblici stabiliti dalla legge medesima e dall’articolo 7 del regolamento regionale del 4 agosto 2017, n. 4 (Disciplina della programmazione dell’offerta abitativa pubblica e sociale e dell’accesso e della permanenza nei servizi abitativi pubblici), ad eccezione del possesso dell’attestazione delle condizioni di indigenza di cui all’art. 13 del regolamento regionale n. 4/2017. </w:t>
      </w:r>
    </w:p>
    <w:p w:rsidR="007E24FC" w:rsidRDefault="007E24FC" w:rsidP="007E24FC">
      <w:pPr>
        <w:autoSpaceDE w:val="0"/>
        <w:autoSpaceDN w:val="0"/>
        <w:adjustRightInd w:val="0"/>
        <w:spacing w:after="0" w:line="20" w:lineRule="atLeast"/>
        <w:jc w:val="both"/>
        <w:rPr>
          <w:rFonts w:cstheme="minorHAnsi"/>
          <w:b/>
          <w:bCs/>
          <w:color w:val="000000"/>
        </w:rPr>
      </w:pPr>
      <w:r w:rsidRPr="00B73FD1">
        <w:rPr>
          <w:rFonts w:cstheme="minorHAnsi"/>
          <w:b/>
          <w:bCs/>
          <w:color w:val="000000"/>
        </w:rPr>
        <w:t xml:space="preserve">3. Programmazione e gestione dei servizi abitativi transitori </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La programmazione dei servizi abitativi transitori si articola su due livelli temporali di programmazione; il piano triennale dell’offerta dei servizi abitativi pubblici e sociali ed il piano annuale di offerta dei servizi abitativi pubblici. Il piano triennale definisce le linee d’azione per il contenimento del disagio abitativo e per il contrasto dell’emergenza abitativa, ai sensi dell’articolo 23, comma 13, della l.r.16/2016.</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 xml:space="preserve">Il Piano annuale quantifica il numero delle unità abitative da destinare ai servizi abitativi transitori, ai sensi dell’articolo 23, comma 13, della l.r.16/2016. </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lastRenderedPageBreak/>
        <w:t>Gli enti proprietari – Comuni ed ALER - programmano le unità abitative da destinare temporaneamente a servizi abitativi transitori, individuandole nell’ambito del proprio patrimonio tra le unità abitative destinate a servizi abitativi pubblici, servizi abitativi sociali o altra locazione ad uso abitativo.</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 xml:space="preserve">I comuni possono incrementare la disponibilità di servizi abitativi transitori con unità abitative conferite da soggetti pubblici e privati, da reperire attraverso procedure ad evidenza pubblica e da disciplinare mediante apposite convenzioni, rinnovabili in forma espressa. </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Per tali finalità, le suddette unità abitative o loro porzioni sono temporaneamente escluse dalla disciplina dei servizi abitativi pubblici.</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 xml:space="preserve">L’obbligo di comunicazione alla Giunta regionale è assolto attraverso l’espressa indicazione della disponibilità di tali unità nel piano annuale di offerta dei servizi abitativi pubblici. Il limite del 10 per cento di cui all’articolo 23, comma 13, si riferisce al numero massimo di unità abitative che possono essere complessivamente destinate a servizi abitativi transitori. </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 xml:space="preserve">Il calcolo di questo valore massimo è effettuato con riferimento alle unità abitative destinate a servizi abitativi pubblici complessivamente possedute a titolo di proprietà alla data di entrata in vigore della legge regionale n. 16/2016 (luglio 2016). </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 xml:space="preserve">Al fine di garantire la continuità nel tempo della disponibilità di unità abitative da destinare a servizi abitativi transitori, le unità abitative da destinare annualmente a tale servizio non devono eccedere la soglia del: </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 25% delle unità abitative destinate a servizi abitativi pubblici che si renderanno disponibili nel corso dell’anno localizzati nei territori dei comuni classificati ad alta intensità di fabbisogno abitativo ai sensi della disciplina regionale;</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 xml:space="preserve"> </w:t>
      </w:r>
      <w:r w:rsidRPr="00B73FD1">
        <w:rPr>
          <w:rFonts w:cstheme="minorHAnsi"/>
          <w:color w:val="000000"/>
        </w:rPr>
        <w:t> 10% delle unità abitative destinate a servizi abitativi pubblici che si renderanno disponibili nel corso dell’anno localizzati nei restanti territori comunali;</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 xml:space="preserve">A decorrere dal piano annuale per il 2020, in ciascun piano, sono stabilite, per ogni comune, il numero di unità abitative che gli enti proprietari – Comuni ed ALER - destinano a servizi abitativi transitori con riferimento alle unità abitative che per ciascun ente si renderanno disponibili nel corso dell’anno. </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 xml:space="preserve">A seguito dell’approvazione del piano annuale dell’offerta abitativa, l’ALER segnala al comune l’identificazione delle unità abitative da assegnare e la durata della messa a disposizione delle stesse. </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 xml:space="preserve">La gestione delle unità abitative assegnate è in capo a ciascun ente proprietario che stipula il relativo contratto di locazione con l’assegnatario del servizio abitativo transitorio. </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Per la gestione dei servizi abitativi transitori nelle unità abitative di proprietà comunale o di altro ente pubblico o privato convenzionato con il comune, i comuni possono avvalersi dell’ALER territorialmente competente, ovvero, di operatori sociali qualificati selezionati attraverso apposita procedura ad evidenza pubblica e da disciplinare mediante apposite convenzioni, rinnovabili in forma espressa, nelle more dell’adozione del regolamento regionale sull’accreditamento di cui all’articolo 4, comma 4 della legge regionale n. 16/2016. Le unità abitative non più destinate a servizi abitativi transitori riprendono automaticamente la loro originaria destinazione: a servizio abitativo pubblico, sociale o altra locazione ad uso abitativo. E’ fatto obbligo a ciascun ente proprietario di aggiornare, entro 30 giorni dalla cessazione del servizio abitativo transitorio, l’anagrafe regionale del patrimonio. Tale adempimento costituisce debito informativo ai sensi e per gli effetti di cui all’articolo 5, comma 5 della legge regionale n. 16/2016.</w:t>
      </w:r>
    </w:p>
    <w:p w:rsidR="007E24FC" w:rsidRDefault="007E24FC" w:rsidP="007E24FC">
      <w:pPr>
        <w:autoSpaceDE w:val="0"/>
        <w:autoSpaceDN w:val="0"/>
        <w:adjustRightInd w:val="0"/>
        <w:spacing w:after="0" w:line="20" w:lineRule="atLeast"/>
        <w:jc w:val="both"/>
        <w:rPr>
          <w:rFonts w:cstheme="minorHAnsi"/>
          <w:b/>
          <w:bCs/>
          <w:color w:val="000000"/>
        </w:rPr>
      </w:pPr>
      <w:r w:rsidRPr="00B73FD1">
        <w:rPr>
          <w:rFonts w:cstheme="minorHAnsi"/>
          <w:color w:val="000000"/>
        </w:rPr>
        <w:t xml:space="preserve"> </w:t>
      </w:r>
      <w:r w:rsidRPr="00B73FD1">
        <w:rPr>
          <w:rFonts w:cstheme="minorHAnsi"/>
          <w:b/>
          <w:bCs/>
          <w:color w:val="000000"/>
        </w:rPr>
        <w:t xml:space="preserve">4. Accesso al servizio abitativo transitorio </w:t>
      </w:r>
    </w:p>
    <w:p w:rsidR="007E24FC" w:rsidRPr="00B73FD1"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 xml:space="preserve">Il Comune nomina un responsabile del procedimento per l'assegnazione del servizio abitativo transitorio. Le domande di assegnazione del servizio abitativo transitorio da parte dei nuclei familiari aventi diritto sono presentate solo in modalità cartacea presso il comune di residenza del nucleo richiedente in qualsiasi momento dell’anno e sono redatte su un apposito modello di domanda predisposto dall’ufficio comunale competente e disponibile sul sito del comune o presso il competente ufficio comunale. </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Le domande presentate sono valutate in base alla gravità ed al carattere emergenziale delle condizioni dichiarate dai richiedenti.</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 xml:space="preserve">Le assegnazioni annualmente avvengono entro la soglia delle percentuali indicate al precedente punto 3 da applicarsi sul totale delle unità abitative destinate ai servizi abitativi pubblici che si rendono disponibili nel corso dell’anno. </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 xml:space="preserve">L’abbinamento delle unità abitative prescinde dalle dimensioni e caratteristiche del nucleo familiare richiedente. Per valutare la sussistenza delle condizioni per l’assegnazione del servizio abitativo transitorio, nel caso di Comune con popolazione superiore a 5.000 abitanti, il responsabile del procedimento si avvale, </w:t>
      </w:r>
      <w:r w:rsidRPr="00B73FD1">
        <w:rPr>
          <w:rFonts w:cstheme="minorHAnsi"/>
          <w:color w:val="000000"/>
        </w:rPr>
        <w:lastRenderedPageBreak/>
        <w:t xml:space="preserve">senza alcun onere per il comune, di un nucleo di valutazione tecnico composto da personale di comprovata esperienza in materia di politiche abitative e sociali, appartenente all’amministrazione comunale e all’ALER territorialmente competente. </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 xml:space="preserve">Per i comuni con popolazione pari o inferiore ai 5.000 abitanti, la scelta di avvalersi del nucleo di valutazione è facoltativa. Le modalità di funzionamento del nucleo, i criteri e le priorità da seguire per la valutazione delle domande, sono disciplinate da un apposito regolamento approvato dal Comune, sentite le organizzazioni sindacali dell’utenza maggiormente rappresentative sul territorio. </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 xml:space="preserve">Verificata la sussistenza dei requisiti di accesso al servizio abitativo transitorio dei richiedenti, a cura del responsabile del procedimento, il nucleo di valutazione valuta la sussistenza delle condizioni per l’assegnazione del servizio abitativo. Il nucleo di valutazione rassegna al responsabile del procedimento una relazione conclusiva dell'attività di valutazione svolta con il relativo parere. Il parere del nucleo di valutazione, laddove costituito, è obbligatorio ma non vincolante. </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 xml:space="preserve">Per le funzioni amministrative concernenti la verifica dei requisiti di accesso ai servizi abitativi transitori, i comuni possono avvalersi dell’ALER territorialmente competente. </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Le assegnazioni sono effettuate con provvedimento espresso e motivato da parte del responsabile del procedimento.</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 xml:space="preserve"> Avverso il provvedimento di diniego può essere presentato ricorso in opposizione entro trenta giorni dalla sua comunicazione. </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 xml:space="preserve">L'ente si esprime con decisione motivata nei successivi trenta giorni. L’assegnazione del servizio abitativo con la conseguente sottoscrizione del contratto di locazione è subordinata alla sottoscrizione di un patto di servizio con cui l’assegnatario si impegna a partecipare a progetti di inclusione proposti dai servizi comunali personalizzati in relazione alle condizioni di disagio del nucleo stesso, e finalizzati al recupero dell’autonomia economica e sociale. </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L’assegnatario si impegna altresì a presentare domanda per l’assegnazione di un alloggio SAP.</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 xml:space="preserve">Per la determinazione del canone di locazione l’ente proprietario può tener conto del valore locativo di cui all’allegato B della legge regionale n. 27/2009 e delle condizioni economiche del nucleo familiare. </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 xml:space="preserve">Il provvedimento di assegnazione contiene i seguenti elementi minimi obbligatori: </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 xml:space="preserve">a) Estremi identificativi del comune; </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 xml:space="preserve">b) Motivazione dell’assegnazione; </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 xml:space="preserve">c) Dati anagrafici dell’assegnatario e dei componenti del nucleo familiare; </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 xml:space="preserve">d) Dati relativi all’unità abitativa assegnata; </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 xml:space="preserve">e) Importo mensile del canone di locazione applicato; </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 xml:space="preserve">f) Data di decorrenza del servizio abitativo transitorio; </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 xml:space="preserve">g) Data di termine del servizio abitativo transitorio; </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 xml:space="preserve">La data di sottoscrizione del contratto costituisce il termine a partire dal quale computare la decorrenza del periodo dell’assegnazione del servizio abitativo transitorio. </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 xml:space="preserve">Sarà sviluppato nella piattaforma informatica regionale un apposito modulo contenente i dati essenziali del provvedimento di assegnazione del servizio abitativo transitorio. Il responsabile del procedimento provvede alla compilazione del modulo informativo entro cinque giorni lavorativi dalla data di assegnazione del servizio. I comuni e le ALER, entro trenta giorni dalla data di assegnazione, aggiornano l’anagrafe regionale del patrimonio e dell’utenza con i dati e le informazioni sopra riportate. Tale adempimento costituisce debito informativo ai sensi e per gli effetti di cui all’articolo 5, comma 5 della legge regionale n. 16/2016. </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Il provvedimento motivato di rinnovo dell’assegnazione, per un periodo non superiore a 12 mesi, deve essere adottato dal responsabile unico del procedimento nei sessanta giorni precedenti la scadenza del termine di assegnazione del servizio abitativo.</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 xml:space="preserve">Il provvedimento di rinnovo è subordinato alla verifica della sussistenza dei requisiti e delle condizioni previsti per l’accesso al servizio abitativo transitorio. </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 xml:space="preserve">Trovano applicazione le disposizioni procedurali e gli adempimenti previsti per l’assegnazione del servizio abitativo transitorio. </w:t>
      </w:r>
    </w:p>
    <w:p w:rsidR="007E24FC" w:rsidRDefault="007E24FC" w:rsidP="007E24FC">
      <w:pPr>
        <w:autoSpaceDE w:val="0"/>
        <w:autoSpaceDN w:val="0"/>
        <w:adjustRightInd w:val="0"/>
        <w:spacing w:after="0" w:line="20" w:lineRule="atLeast"/>
        <w:jc w:val="both"/>
        <w:rPr>
          <w:rFonts w:cstheme="minorHAnsi"/>
          <w:color w:val="000000"/>
        </w:rPr>
      </w:pPr>
      <w:r w:rsidRPr="00B73FD1">
        <w:rPr>
          <w:rFonts w:cstheme="minorHAnsi"/>
          <w:color w:val="000000"/>
        </w:rPr>
        <w:t xml:space="preserve">Al servizio abitativo transitorio si applicano le procedure previste dalla legge regionale n. 16/2016 e dal regolamento regionale n. 4/2017 in materia di annullamento e decadenza. La permanenza nell’alloggio senza averne titolo comporta inoltre l’inserimento nella banca dati occupanti senza titolo di cui all’articolo 22, comma 3 della legge regionale n. 16/2016. Ai sensi dell’articolo 28, comma 11 del regolamento regionale n. </w:t>
      </w:r>
      <w:r w:rsidRPr="00B73FD1">
        <w:rPr>
          <w:rFonts w:cstheme="minorHAnsi"/>
          <w:color w:val="000000"/>
        </w:rPr>
        <w:lastRenderedPageBreak/>
        <w:t xml:space="preserve">4/2017, le assegnazioni in deroga alla graduatoria di cui all'articolo 14 del regolamento n. 1/2004, possono essere disposte sino al 31 dicembre del 2019. </w:t>
      </w:r>
    </w:p>
    <w:p w:rsidR="007E24FC" w:rsidRDefault="007E24FC" w:rsidP="007E24FC">
      <w:pPr>
        <w:autoSpaceDE w:val="0"/>
        <w:autoSpaceDN w:val="0"/>
        <w:adjustRightInd w:val="0"/>
        <w:spacing w:after="0" w:line="20" w:lineRule="atLeast"/>
        <w:jc w:val="both"/>
        <w:rPr>
          <w:rFonts w:cstheme="minorHAnsi"/>
          <w:color w:val="000000"/>
        </w:rPr>
      </w:pPr>
    </w:p>
    <w:p w:rsidR="007A5543" w:rsidRDefault="007E24FC" w:rsidP="007A5543">
      <w:pPr>
        <w:spacing w:after="0" w:line="20" w:lineRule="atLeast"/>
        <w:jc w:val="both"/>
        <w:rPr>
          <w:rFonts w:cstheme="minorHAnsi"/>
        </w:rPr>
      </w:pPr>
      <w:r w:rsidRPr="00EC6ED6">
        <w:rPr>
          <w:rFonts w:cstheme="minorHAnsi"/>
          <w:b/>
        </w:rPr>
        <w:t>DGR  31 luglio 2019, n. XI/</w:t>
      </w:r>
      <w:proofErr w:type="gramStart"/>
      <w:r w:rsidRPr="00EC6ED6">
        <w:rPr>
          <w:rFonts w:cstheme="minorHAnsi"/>
          <w:b/>
        </w:rPr>
        <w:t>2064</w:t>
      </w:r>
      <w:r>
        <w:rPr>
          <w:rFonts w:cstheme="minorHAnsi"/>
        </w:rPr>
        <w:t xml:space="preserve">, </w:t>
      </w:r>
      <w:r w:rsidRPr="006B0B81">
        <w:rPr>
          <w:rFonts w:cstheme="minorHAnsi"/>
        </w:rPr>
        <w:t xml:space="preserve"> Contributo</w:t>
      </w:r>
      <w:proofErr w:type="gramEnd"/>
      <w:r w:rsidRPr="006B0B81">
        <w:rPr>
          <w:rFonts w:cstheme="minorHAnsi"/>
        </w:rPr>
        <w:t xml:space="preserve"> regionale di solidarietà 2019 - Riparto delle risorse e linee guida per l’accesso al contributo, in attuazione alla l.r. n. 16/2016 «Disciplina regionale dei servizi abitativi»</w:t>
      </w:r>
      <w:r>
        <w:rPr>
          <w:rFonts w:cstheme="minorHAnsi"/>
        </w:rPr>
        <w:t>. (BUR n. 32 dell’8.8.19)</w:t>
      </w:r>
    </w:p>
    <w:p w:rsidR="007A5543" w:rsidRDefault="007A5543" w:rsidP="007A5543">
      <w:pPr>
        <w:spacing w:after="0" w:line="20" w:lineRule="atLeast"/>
        <w:jc w:val="both"/>
        <w:rPr>
          <w:rFonts w:cstheme="minorHAnsi"/>
        </w:rPr>
      </w:pPr>
      <w:r>
        <w:rPr>
          <w:rFonts w:cstheme="minorHAnsi"/>
        </w:rPr>
        <w:t xml:space="preserve">RIFERIMENTI NORMATIVI ED AMMINISTRATIVI </w:t>
      </w:r>
    </w:p>
    <w:p w:rsidR="007A5543" w:rsidRDefault="007E24FC" w:rsidP="007A5543">
      <w:pPr>
        <w:spacing w:after="0" w:line="20" w:lineRule="atLeast"/>
        <w:jc w:val="both"/>
        <w:rPr>
          <w:rFonts w:cstheme="minorHAnsi"/>
        </w:rPr>
      </w:pPr>
      <w:r w:rsidRPr="006B0B81">
        <w:rPr>
          <w:rFonts w:cstheme="minorHAnsi"/>
        </w:rPr>
        <w:t xml:space="preserve">• la legge regionale 8 luglio 2016, n. 16 «Disciplina regionale dei servizi abitativi» e in particolare: </w:t>
      </w:r>
    </w:p>
    <w:p w:rsidR="007A5543" w:rsidRDefault="007E24FC" w:rsidP="007A5543">
      <w:pPr>
        <w:spacing w:after="0" w:line="20" w:lineRule="atLeast"/>
        <w:jc w:val="both"/>
        <w:rPr>
          <w:rFonts w:cstheme="minorHAnsi"/>
        </w:rPr>
      </w:pPr>
      <w:r w:rsidRPr="006B0B81">
        <w:rPr>
          <w:rFonts w:cstheme="minorHAnsi"/>
        </w:rPr>
        <w:t xml:space="preserve">− l’articolo 25 comma 2 «la Regione concorre, insieme ai comuni e alle ALER, a sostenere l’accesso ai servizi abitativi pubblici dei nuclei familiari in condizioni di indigenza di cui all’articolo 23, comma 3, attraverso un contributo regionale di solidarietà per il nucleo familiare, a carattere temporaneo, che sostiene il pagamento del canone e dei servizi a rimborso nell’ambito dei programmi volti al recupero dell’autonomia economica e sociale»; </w:t>
      </w:r>
    </w:p>
    <w:p w:rsidR="007A5543" w:rsidRDefault="007E24FC" w:rsidP="007A5543">
      <w:pPr>
        <w:spacing w:after="0" w:line="20" w:lineRule="atLeast"/>
        <w:jc w:val="both"/>
        <w:rPr>
          <w:rFonts w:cstheme="minorHAnsi"/>
        </w:rPr>
      </w:pPr>
      <w:r w:rsidRPr="006B0B81">
        <w:rPr>
          <w:rFonts w:cstheme="minorHAnsi"/>
        </w:rPr>
        <w:t xml:space="preserve">− l’articolo 25 comma 3 «al fine di sostenere gli assegnatari dei servizi abitativi pubblici in comprovate difficoltà economiche, è istituito un contributo regionale di solidarietà, a carattere temporaneo, che copre il pagamento dei servizi a rimborso e, nei casi e modi previsti dal regolamento regionale, il pagamento dei costi della locazione sociale»; </w:t>
      </w:r>
    </w:p>
    <w:p w:rsidR="007A5543" w:rsidRDefault="007E24FC" w:rsidP="007A5543">
      <w:pPr>
        <w:spacing w:after="0" w:line="20" w:lineRule="atLeast"/>
        <w:jc w:val="both"/>
        <w:rPr>
          <w:rFonts w:cstheme="minorHAnsi"/>
        </w:rPr>
      </w:pPr>
      <w:r w:rsidRPr="006B0B81">
        <w:rPr>
          <w:rFonts w:cstheme="minorHAnsi"/>
        </w:rPr>
        <w:t>− l’articolo 43 «Disposizioni transitorie e finali» comma 11 secondo cui in fase di prima applicazione per gli anni 2016, 2017 e 2018 le condizioni di accesso, la misura e la durata del contributo regionale sono definiti con provvedimento della Giunta regionale»</w:t>
      </w:r>
      <w:r w:rsidR="007A5543">
        <w:rPr>
          <w:rFonts w:cstheme="minorHAnsi"/>
        </w:rPr>
        <w:t>.</w:t>
      </w:r>
      <w:r w:rsidRPr="006B0B81">
        <w:rPr>
          <w:rFonts w:cstheme="minorHAnsi"/>
        </w:rPr>
        <w:t xml:space="preserve"> </w:t>
      </w:r>
    </w:p>
    <w:p w:rsidR="007A5543" w:rsidRPr="007A5543" w:rsidRDefault="007A5543" w:rsidP="007A5543">
      <w:pPr>
        <w:spacing w:after="0" w:line="20" w:lineRule="atLeast"/>
        <w:jc w:val="both"/>
        <w:rPr>
          <w:rFonts w:cstheme="minorHAnsi"/>
          <w:b/>
        </w:rPr>
      </w:pPr>
      <w:r w:rsidRPr="007A5543">
        <w:rPr>
          <w:rFonts w:cstheme="minorHAnsi"/>
          <w:b/>
        </w:rPr>
        <w:t xml:space="preserve">LA DISPOSIZIONE </w:t>
      </w:r>
    </w:p>
    <w:p w:rsidR="007A5543" w:rsidRDefault="007A5543" w:rsidP="007A5543">
      <w:pPr>
        <w:spacing w:after="0" w:line="20" w:lineRule="atLeast"/>
        <w:jc w:val="both"/>
        <w:rPr>
          <w:rFonts w:cstheme="minorHAnsi"/>
        </w:rPr>
      </w:pPr>
      <w:r>
        <w:rPr>
          <w:rFonts w:cstheme="minorHAnsi"/>
        </w:rPr>
        <w:t xml:space="preserve">Viene approvato lo </w:t>
      </w:r>
      <w:r w:rsidR="007E24FC" w:rsidRPr="006B0B81">
        <w:rPr>
          <w:rFonts w:cstheme="minorHAnsi"/>
        </w:rPr>
        <w:t>schema di Patto di servizio contenente gli elementi minimi necessari per la concessione del contributo regionale di solidarietà, di cui all’Allegato C del presente provvedimento, parte integrante e sostanziale dello stesso</w:t>
      </w:r>
    </w:p>
    <w:p w:rsidR="007A5543" w:rsidRDefault="007E24FC" w:rsidP="007A5543">
      <w:pPr>
        <w:spacing w:after="0" w:line="20" w:lineRule="atLeast"/>
        <w:jc w:val="both"/>
        <w:rPr>
          <w:rFonts w:cstheme="minorHAnsi"/>
        </w:rPr>
      </w:pPr>
      <w:r w:rsidRPr="006B0B81">
        <w:rPr>
          <w:rFonts w:cstheme="minorHAnsi"/>
        </w:rPr>
        <w:t xml:space="preserve">Allegato A </w:t>
      </w:r>
    </w:p>
    <w:p w:rsidR="007A5543" w:rsidRDefault="007E24FC" w:rsidP="007A5543">
      <w:pPr>
        <w:spacing w:after="0" w:line="20" w:lineRule="atLeast"/>
        <w:jc w:val="both"/>
        <w:rPr>
          <w:rFonts w:cstheme="minorHAnsi"/>
        </w:rPr>
      </w:pPr>
      <w:r w:rsidRPr="006B0B81">
        <w:rPr>
          <w:rFonts w:cstheme="minorHAnsi"/>
        </w:rPr>
        <w:t xml:space="preserve">LINEE GUIDA PER L’ACCESSO AL CONTRIBUTO REGIONALE DI SOLIDARIETÀ IN ATTUAZIONE ALL’ART. 25 DELLA L.R. N. 16/2016 </w:t>
      </w:r>
    </w:p>
    <w:p w:rsidR="007A5543" w:rsidRDefault="007E24FC" w:rsidP="007A5543">
      <w:pPr>
        <w:spacing w:after="0" w:line="20" w:lineRule="atLeast"/>
        <w:jc w:val="both"/>
        <w:rPr>
          <w:rFonts w:cstheme="minorHAnsi"/>
        </w:rPr>
      </w:pPr>
      <w:r w:rsidRPr="006B0B81">
        <w:rPr>
          <w:rFonts w:cstheme="minorHAnsi"/>
        </w:rPr>
        <w:t xml:space="preserve">Premessa </w:t>
      </w:r>
    </w:p>
    <w:p w:rsidR="007A5543" w:rsidRDefault="007E24FC" w:rsidP="007A5543">
      <w:pPr>
        <w:spacing w:after="0" w:line="20" w:lineRule="atLeast"/>
        <w:jc w:val="both"/>
        <w:rPr>
          <w:rFonts w:cstheme="minorHAnsi"/>
        </w:rPr>
      </w:pPr>
      <w:r w:rsidRPr="006B0B81">
        <w:rPr>
          <w:rFonts w:cstheme="minorHAnsi"/>
        </w:rPr>
        <w:t xml:space="preserve">L’art. 25 della l.r. 16/2016 Sostenibilità dei servizi abitativi pubblici disciplina due misure di sostegno destinate ai nuclei familiari in condizione di difficoltà economica e in particolare: </w:t>
      </w:r>
    </w:p>
    <w:p w:rsidR="007A5543" w:rsidRDefault="007E24FC" w:rsidP="007A5543">
      <w:pPr>
        <w:spacing w:after="0" w:line="20" w:lineRule="atLeast"/>
        <w:jc w:val="both"/>
        <w:rPr>
          <w:rFonts w:cstheme="minorHAnsi"/>
        </w:rPr>
      </w:pPr>
      <w:r w:rsidRPr="006B0B81">
        <w:rPr>
          <w:rFonts w:cstheme="minorHAnsi"/>
        </w:rPr>
        <w:t>- ai nuclei familiari indigenti, cioè coloro che si trovano in una condizione di povertà assoluta e di grave deprivazione materiale, che accedono ai servizi abitativi pubblici (di seguito SAP) (comma 2);</w:t>
      </w:r>
    </w:p>
    <w:p w:rsidR="007A5543" w:rsidRDefault="007E24FC" w:rsidP="007A5543">
      <w:pPr>
        <w:spacing w:after="0" w:line="20" w:lineRule="atLeast"/>
        <w:jc w:val="both"/>
        <w:rPr>
          <w:rFonts w:cstheme="minorHAnsi"/>
        </w:rPr>
      </w:pPr>
      <w:r w:rsidRPr="006B0B81">
        <w:rPr>
          <w:rFonts w:cstheme="minorHAnsi"/>
        </w:rPr>
        <w:t xml:space="preserve"> - ai nuclei familiari già assegnatari di SAP che si trovano in una condizione di comprovata difficoltà economica (comma 3). In attuazione al disposto normativo della l.r. 16/2016, per definire una più compiuta ed organica disciplina regolamentare, è stata avviata una sperimentazione con risorse regionali negli esercizi 2016 (11,2 Mln €), 2017 (20,9 Mln €) e 2018 (25 Mln €). </w:t>
      </w:r>
    </w:p>
    <w:p w:rsidR="007A5543" w:rsidRDefault="007E24FC" w:rsidP="007A5543">
      <w:pPr>
        <w:spacing w:after="0" w:line="20" w:lineRule="atLeast"/>
        <w:jc w:val="both"/>
        <w:rPr>
          <w:rFonts w:cstheme="minorHAnsi"/>
        </w:rPr>
      </w:pPr>
      <w:r w:rsidRPr="006B0B81">
        <w:rPr>
          <w:rFonts w:cstheme="minorHAnsi"/>
        </w:rPr>
        <w:t xml:space="preserve">Tale sperimentazione si conclude con il presente provvedimento che mette a disposizione 23,75 Mln € per l’esercizio 2019. </w:t>
      </w:r>
    </w:p>
    <w:p w:rsidR="007A5543" w:rsidRDefault="007E24FC" w:rsidP="007A5543">
      <w:pPr>
        <w:spacing w:after="0" w:line="20" w:lineRule="atLeast"/>
        <w:jc w:val="both"/>
        <w:rPr>
          <w:rFonts w:cstheme="minorHAnsi"/>
        </w:rPr>
      </w:pPr>
      <w:r w:rsidRPr="006B0B81">
        <w:rPr>
          <w:rFonts w:cstheme="minorHAnsi"/>
        </w:rPr>
        <w:t xml:space="preserve">1. Caratteristiche del contributo regionale di solidarietà </w:t>
      </w:r>
    </w:p>
    <w:p w:rsidR="007A5543" w:rsidRDefault="007E24FC" w:rsidP="007A5543">
      <w:pPr>
        <w:spacing w:after="0" w:line="20" w:lineRule="atLeast"/>
        <w:jc w:val="both"/>
        <w:rPr>
          <w:rFonts w:cstheme="minorHAnsi"/>
        </w:rPr>
      </w:pPr>
      <w:r w:rsidRPr="006B0B81">
        <w:rPr>
          <w:rFonts w:cstheme="minorHAnsi"/>
        </w:rPr>
        <w:t xml:space="preserve">Il contributo regionale di solidarietà è diretto ai nuclei familiari di cui ai commi 2 e 3 dell’art. 25 che si trovano in condizioni economiche tali da non consentire di sostenere i costi della locazione sociale, dati dalla somma del canone applicato e delle spese per i servizi comuni a rimborso. </w:t>
      </w:r>
    </w:p>
    <w:p w:rsidR="007A5543" w:rsidRDefault="007E24FC" w:rsidP="007A5543">
      <w:pPr>
        <w:spacing w:after="0" w:line="20" w:lineRule="atLeast"/>
        <w:jc w:val="both"/>
        <w:rPr>
          <w:rFonts w:cstheme="minorHAnsi"/>
        </w:rPr>
      </w:pPr>
      <w:r w:rsidRPr="006B0B81">
        <w:rPr>
          <w:rFonts w:cstheme="minorHAnsi"/>
        </w:rPr>
        <w:t xml:space="preserve">1.1 Contributo diretto ai nuclei familiari in condizione di indigenza (comma 2) </w:t>
      </w:r>
    </w:p>
    <w:p w:rsidR="007A5543" w:rsidRDefault="007E24FC" w:rsidP="007A5543">
      <w:pPr>
        <w:spacing w:after="0" w:line="20" w:lineRule="atLeast"/>
        <w:jc w:val="both"/>
        <w:rPr>
          <w:rFonts w:cstheme="minorHAnsi"/>
        </w:rPr>
      </w:pPr>
      <w:r w:rsidRPr="006B0B81">
        <w:rPr>
          <w:rFonts w:cstheme="minorHAnsi"/>
        </w:rPr>
        <w:t xml:space="preserve">Il contributo regionale di solidarietà è diretto ai nuclei indigenti che hanno ricevuto l’assegnazione di un alloggio SAP ai sensi della d.g.r. 7316/2017 “Individuazione degli ambiti territoriali e delle modalità per la sperimentazione di cui all’art. 27 del regolamento regionale n. 4 del 4 agosto 2017” e ai sensi degli Avvisi di cui al regolamento regionale n. 4 del 4 agosto 2017. </w:t>
      </w:r>
    </w:p>
    <w:p w:rsidR="007A5543" w:rsidRDefault="007E24FC" w:rsidP="007A5543">
      <w:pPr>
        <w:spacing w:after="0" w:line="20" w:lineRule="atLeast"/>
        <w:jc w:val="both"/>
        <w:rPr>
          <w:rFonts w:cstheme="minorHAnsi"/>
        </w:rPr>
      </w:pPr>
      <w:r w:rsidRPr="006B0B81">
        <w:rPr>
          <w:rFonts w:cstheme="minorHAnsi"/>
        </w:rPr>
        <w:t xml:space="preserve">La condizione di indigenza dei nuclei familiari, ai sensi dell’art. 13 del r.r. 4/2017, si presenta quando il valore ISEE (Indicatore della Situazione Economica Equivalente) risulta pari o inferiore a 3.000 € e quando i servizi sociali del comune di residenza, a seguito di valutazione delle condizioni personali, familiari e lavorative, attestano che le predette condizioni sono tali da non consentire di soddisfare autonomamente i bisogni primari del nucleo stesso. </w:t>
      </w:r>
    </w:p>
    <w:p w:rsidR="007A5543" w:rsidRDefault="007E24FC" w:rsidP="007A5543">
      <w:pPr>
        <w:spacing w:after="0" w:line="20" w:lineRule="atLeast"/>
        <w:jc w:val="both"/>
        <w:rPr>
          <w:rFonts w:cstheme="minorHAnsi"/>
        </w:rPr>
      </w:pPr>
      <w:r w:rsidRPr="006B0B81">
        <w:rPr>
          <w:rFonts w:cstheme="minorHAnsi"/>
        </w:rPr>
        <w:t>1.2 Contributo diretto ai nuclei familiari in comprovate difficoltà economiche (comma 3)</w:t>
      </w:r>
    </w:p>
    <w:p w:rsidR="007A5543" w:rsidRDefault="007E24FC" w:rsidP="007A5543">
      <w:pPr>
        <w:spacing w:after="0" w:line="20" w:lineRule="atLeast"/>
        <w:jc w:val="both"/>
        <w:rPr>
          <w:rFonts w:cstheme="minorHAnsi"/>
        </w:rPr>
      </w:pPr>
      <w:r w:rsidRPr="006B0B81">
        <w:rPr>
          <w:rFonts w:cstheme="minorHAnsi"/>
        </w:rPr>
        <w:lastRenderedPageBreak/>
        <w:t xml:space="preserve">Il contributo regionale di solidarietà è diretto ai nuclei familiari già assegnatari di SAP che si trovano in una condizione di comprovata difficoltà economica tale da non consentire di sostenere i costi della locazione sociale. </w:t>
      </w:r>
    </w:p>
    <w:p w:rsidR="007A5543" w:rsidRDefault="007E24FC" w:rsidP="007A5543">
      <w:pPr>
        <w:spacing w:after="0" w:line="20" w:lineRule="atLeast"/>
        <w:jc w:val="both"/>
        <w:rPr>
          <w:rFonts w:cstheme="minorHAnsi"/>
        </w:rPr>
      </w:pPr>
      <w:r w:rsidRPr="006B0B81">
        <w:rPr>
          <w:rFonts w:cstheme="minorHAnsi"/>
        </w:rPr>
        <w:t xml:space="preserve">Tale condizione, che si manifesta generalmente in presenza di una riduzione della capacità reddituale, compromette in tutto o anche solo in parte il pagamento della locazione sociale. </w:t>
      </w:r>
    </w:p>
    <w:p w:rsidR="007A5543" w:rsidRDefault="007E24FC" w:rsidP="007A5543">
      <w:pPr>
        <w:spacing w:after="0" w:line="20" w:lineRule="atLeast"/>
        <w:jc w:val="both"/>
        <w:rPr>
          <w:rFonts w:cstheme="minorHAnsi"/>
        </w:rPr>
      </w:pPr>
      <w:r w:rsidRPr="006B0B81">
        <w:rPr>
          <w:rFonts w:cstheme="minorHAnsi"/>
        </w:rPr>
        <w:t xml:space="preserve">Attualmente l’impianto normativo prevede solo per il canone di locazione la commisurazione alla condizione economica del nucleo familiare (art. 31 della l.r. 27/2009). </w:t>
      </w:r>
    </w:p>
    <w:p w:rsidR="007A5543" w:rsidRDefault="007E24FC" w:rsidP="007A5543">
      <w:pPr>
        <w:spacing w:after="0" w:line="20" w:lineRule="atLeast"/>
        <w:jc w:val="both"/>
        <w:rPr>
          <w:rFonts w:cstheme="minorHAnsi"/>
        </w:rPr>
      </w:pPr>
      <w:r w:rsidRPr="006B0B81">
        <w:rPr>
          <w:rFonts w:cstheme="minorHAnsi"/>
        </w:rPr>
        <w:t xml:space="preserve">Al contrario, le spese per i servizi comuni a rimborso (rappresentate dalle spese relative al servizio di pulizia, al funzionamento e all'ordinaria manutenzione dell'ascensore, alla fornitura dell'acqua, della energia elettrica, del riscaldamento e del condizionamento dell'aria, allo spurgo delle fognature, dei pozzi neri nonché alla fornitura di altri servizi comuni) sono ripartite tra gli inquilini in base a criteri meramente quantitativi che non tengono conto della capacità economica del nucleo familiare. </w:t>
      </w:r>
    </w:p>
    <w:p w:rsidR="00053CA9" w:rsidRDefault="007E24FC" w:rsidP="007A5543">
      <w:pPr>
        <w:spacing w:after="0" w:line="20" w:lineRule="atLeast"/>
        <w:jc w:val="both"/>
        <w:rPr>
          <w:rFonts w:cstheme="minorHAnsi"/>
        </w:rPr>
      </w:pPr>
      <w:r w:rsidRPr="006B0B81">
        <w:rPr>
          <w:rFonts w:cstheme="minorHAnsi"/>
        </w:rPr>
        <w:t xml:space="preserve">Pertanto, quanto più incidono le spese per i servizi comuni sul reddito familiare complessivamente disponibile, tanto più la locazione sociale può diventare insostenibile e, conseguentemente, aumentare il rischio di morosità. </w:t>
      </w:r>
    </w:p>
    <w:p w:rsidR="00053CA9" w:rsidRDefault="007E24FC" w:rsidP="007A5543">
      <w:pPr>
        <w:spacing w:after="0" w:line="20" w:lineRule="atLeast"/>
        <w:jc w:val="both"/>
        <w:rPr>
          <w:rFonts w:cstheme="minorHAnsi"/>
        </w:rPr>
      </w:pPr>
      <w:r w:rsidRPr="006B0B81">
        <w:rPr>
          <w:rFonts w:cstheme="minorHAnsi"/>
        </w:rPr>
        <w:t xml:space="preserve">Si evidenzia, infine, il carattere temporaneo del contributo regionale di solidarietà, in quanto la finalità ultima della misura regionale è il recupero dell'autonomia economica del nucleo familiare. </w:t>
      </w:r>
    </w:p>
    <w:p w:rsidR="00053CA9" w:rsidRDefault="007E24FC" w:rsidP="007A5543">
      <w:pPr>
        <w:spacing w:after="0" w:line="20" w:lineRule="atLeast"/>
        <w:jc w:val="both"/>
        <w:rPr>
          <w:rFonts w:cstheme="minorHAnsi"/>
        </w:rPr>
      </w:pPr>
      <w:r w:rsidRPr="006B0B81">
        <w:rPr>
          <w:rFonts w:cstheme="minorHAnsi"/>
        </w:rPr>
        <w:t xml:space="preserve">Pertanto, la misura di sostegno economico deve essere sempre associata a una collaborazione attiva del beneficiario e a una serie di iniziative utili a superare la condizione di difficoltà. </w:t>
      </w:r>
    </w:p>
    <w:p w:rsidR="00053CA9" w:rsidRDefault="007E24FC" w:rsidP="007A5543">
      <w:pPr>
        <w:spacing w:after="0" w:line="20" w:lineRule="atLeast"/>
        <w:jc w:val="both"/>
        <w:rPr>
          <w:rFonts w:cstheme="minorHAnsi"/>
        </w:rPr>
      </w:pPr>
      <w:r w:rsidRPr="006B0B81">
        <w:rPr>
          <w:rFonts w:cstheme="minorHAnsi"/>
        </w:rPr>
        <w:t xml:space="preserve">Uno scambio che trova espressione nel “Patto di servizio” – condizionalità - la cui sottoscrizione tra ente proprietario e assegnatario costituisce la condizione per beneficiare del contributo. </w:t>
      </w:r>
    </w:p>
    <w:p w:rsidR="00053CA9" w:rsidRDefault="007E24FC" w:rsidP="007A5543">
      <w:pPr>
        <w:spacing w:after="0" w:line="20" w:lineRule="atLeast"/>
        <w:jc w:val="both"/>
        <w:rPr>
          <w:rFonts w:cstheme="minorHAnsi"/>
        </w:rPr>
      </w:pPr>
      <w:r w:rsidRPr="006B0B81">
        <w:rPr>
          <w:rFonts w:cstheme="minorHAnsi"/>
        </w:rPr>
        <w:t xml:space="preserve">2. Entità e finalità del contributo regionale di solidarietà </w:t>
      </w:r>
    </w:p>
    <w:p w:rsidR="00053CA9" w:rsidRDefault="007E24FC" w:rsidP="007A5543">
      <w:pPr>
        <w:spacing w:after="0" w:line="20" w:lineRule="atLeast"/>
        <w:jc w:val="both"/>
        <w:rPr>
          <w:rFonts w:cstheme="minorHAnsi"/>
        </w:rPr>
      </w:pPr>
      <w:r w:rsidRPr="006B0B81">
        <w:rPr>
          <w:rFonts w:cstheme="minorHAnsi"/>
        </w:rPr>
        <w:t>L’entità del contributo è stabilita in un importo massimo variabile in funzione dei valori di ISEE (Indicatore della Situazione Economica Equivalente) del nucleo familiare assegnatario e sulla base degli importi delle risorse regionali assegnate agli Enti proprietari. In particolare, è stabilito:</w:t>
      </w:r>
    </w:p>
    <w:p w:rsidR="00053CA9" w:rsidRDefault="007E24FC" w:rsidP="007A5543">
      <w:pPr>
        <w:spacing w:after="0" w:line="20" w:lineRule="atLeast"/>
        <w:jc w:val="both"/>
        <w:rPr>
          <w:rFonts w:cstheme="minorHAnsi"/>
        </w:rPr>
      </w:pPr>
      <w:r w:rsidRPr="006B0B81">
        <w:rPr>
          <w:rFonts w:cstheme="minorHAnsi"/>
        </w:rPr>
        <w:t>A. un contributo massimo pari a 2.000 € per i nuclei assegnatari in condizioni di indigenza di cui al precedente paragrafo 1.1; Il contributo è finalizzato alla copertura dei costi della locazione sociale (canone applicato e servizi comuni a rimborso) per un periodo non superiore ai 12 mesi e fino ad un importo massimo di 2.000 €; B. un contributo massimo, per i nuclei familiari già assegnatari di SAP che si trovano in una condizione di comprovata difficoltà economica di cui al paragrafo 1.2., pari a: - 2.500 € per i nuclei familiari con un ISEE da zero a 7.000 € - 2.000 € per i nuclei familiari con un ISEE da 7.001 € a 9.000 € - 1.500 € per i nuclei familiari con un ISEE da 9.001€ a 15.000 €. Il contributo è finalizzato:</w:t>
      </w:r>
    </w:p>
    <w:p w:rsidR="00053CA9" w:rsidRDefault="007E24FC" w:rsidP="007A5543">
      <w:pPr>
        <w:spacing w:after="0" w:line="20" w:lineRule="atLeast"/>
        <w:jc w:val="both"/>
        <w:rPr>
          <w:rFonts w:cstheme="minorHAnsi"/>
        </w:rPr>
      </w:pPr>
      <w:r w:rsidRPr="006B0B81">
        <w:rPr>
          <w:rFonts w:cstheme="minorHAnsi"/>
        </w:rPr>
        <w:t xml:space="preserve">B.1. </w:t>
      </w:r>
      <w:proofErr w:type="gramStart"/>
      <w:r w:rsidRPr="006B0B81">
        <w:rPr>
          <w:rFonts w:cstheme="minorHAnsi"/>
        </w:rPr>
        <w:t>in</w:t>
      </w:r>
      <w:proofErr w:type="gramEnd"/>
      <w:r w:rsidRPr="006B0B81">
        <w:rPr>
          <w:rFonts w:cstheme="minorHAnsi"/>
        </w:rPr>
        <w:t xml:space="preserve"> primo ordine alla copertura delle spese dei servizi comuni a rimborso dell’anno 2019, comprese le bollette di conguaglio dei servizi emesse nel 2019; </w:t>
      </w:r>
    </w:p>
    <w:p w:rsidR="00053CA9" w:rsidRDefault="007E24FC" w:rsidP="007A5543">
      <w:pPr>
        <w:spacing w:after="0" w:line="20" w:lineRule="atLeast"/>
        <w:jc w:val="both"/>
        <w:rPr>
          <w:rFonts w:cstheme="minorHAnsi"/>
        </w:rPr>
      </w:pPr>
      <w:r w:rsidRPr="006B0B81">
        <w:rPr>
          <w:rFonts w:cstheme="minorHAnsi"/>
        </w:rPr>
        <w:t xml:space="preserve">B.2. </w:t>
      </w:r>
      <w:proofErr w:type="gramStart"/>
      <w:r w:rsidRPr="006B0B81">
        <w:rPr>
          <w:rFonts w:cstheme="minorHAnsi"/>
        </w:rPr>
        <w:t>in</w:t>
      </w:r>
      <w:proofErr w:type="gramEnd"/>
      <w:r w:rsidRPr="006B0B81">
        <w:rPr>
          <w:rFonts w:cstheme="minorHAnsi"/>
        </w:rPr>
        <w:t xml:space="preserve"> secondo ordine, e fino al raggiungimento massimo del valore fissato per le fasce ISEE, come credito per la locazione sociale del nucleo familiare per l’anno 2019, compresa la copertura del debito pregresso, secondo modalità che saranno definite dal Nucleo di valutazione istituito a supporto del responsabile del procedimento. </w:t>
      </w:r>
    </w:p>
    <w:p w:rsidR="00053CA9" w:rsidRDefault="007E24FC" w:rsidP="007A5543">
      <w:pPr>
        <w:spacing w:after="0" w:line="20" w:lineRule="atLeast"/>
        <w:jc w:val="both"/>
        <w:rPr>
          <w:rFonts w:cstheme="minorHAnsi"/>
        </w:rPr>
      </w:pPr>
      <w:r w:rsidRPr="006B0B81">
        <w:rPr>
          <w:rFonts w:cstheme="minorHAnsi"/>
        </w:rPr>
        <w:t xml:space="preserve">3. Il modello di riparto delle risorse: il coefficiente di sopportabilità della locazione sociale Il fabbisogno degli enti proprietari per l’anno 2019 è stato determinato, come per l’anno 2018, fissando come parametro di riferimento un indicatore di sopportabilità della locazione, che misura l’incidenza della spesa complessiva della locazione sociale sul reddito dei singoli nuclei familiari. </w:t>
      </w:r>
    </w:p>
    <w:p w:rsidR="00053CA9" w:rsidRDefault="007E24FC" w:rsidP="007A5543">
      <w:pPr>
        <w:spacing w:after="0" w:line="20" w:lineRule="atLeast"/>
        <w:jc w:val="both"/>
        <w:rPr>
          <w:rFonts w:cstheme="minorHAnsi"/>
        </w:rPr>
      </w:pPr>
      <w:r w:rsidRPr="006B0B81">
        <w:rPr>
          <w:rFonts w:cstheme="minorHAnsi"/>
        </w:rPr>
        <w:t xml:space="preserve">Le risorse regionali per il 2019 sono state ripartite sulla base di un coefficiente, che tiene conto dei seguenti elementi: </w:t>
      </w:r>
    </w:p>
    <w:p w:rsidR="00053CA9" w:rsidRDefault="007E24FC" w:rsidP="007A5543">
      <w:pPr>
        <w:spacing w:after="0" w:line="20" w:lineRule="atLeast"/>
        <w:jc w:val="both"/>
        <w:rPr>
          <w:rFonts w:cstheme="minorHAnsi"/>
        </w:rPr>
      </w:pPr>
      <w:r w:rsidRPr="006B0B81">
        <w:rPr>
          <w:rFonts w:cstheme="minorHAnsi"/>
        </w:rPr>
        <w:t>- spesa per la locazione sociale, data dalla somma del canone di locazione e dei servizi comuni a rimborso</w:t>
      </w:r>
    </w:p>
    <w:p w:rsidR="00053CA9" w:rsidRDefault="007E24FC" w:rsidP="007A5543">
      <w:pPr>
        <w:spacing w:after="0" w:line="20" w:lineRule="atLeast"/>
        <w:jc w:val="both"/>
        <w:rPr>
          <w:rFonts w:cstheme="minorHAnsi"/>
        </w:rPr>
      </w:pPr>
      <w:r w:rsidRPr="006B0B81">
        <w:rPr>
          <w:rFonts w:cstheme="minorHAnsi"/>
        </w:rPr>
        <w:t xml:space="preserve"> - indicatore di sopportabilità, quale rapporto tra la spesa della locazione sociale e il valore ISE-ERP del nucleo familiare </w:t>
      </w:r>
    </w:p>
    <w:p w:rsidR="00053CA9" w:rsidRDefault="007E24FC" w:rsidP="007A5543">
      <w:pPr>
        <w:spacing w:after="0" w:line="20" w:lineRule="atLeast"/>
        <w:jc w:val="both"/>
        <w:rPr>
          <w:rFonts w:cstheme="minorHAnsi"/>
        </w:rPr>
      </w:pPr>
      <w:r w:rsidRPr="006B0B81">
        <w:rPr>
          <w:rFonts w:cstheme="minorHAnsi"/>
        </w:rPr>
        <w:t xml:space="preserve">- soglie di sopportabilità individuate in funzione delle aree di appartenenza dei nuclei; </w:t>
      </w:r>
    </w:p>
    <w:p w:rsidR="00053CA9" w:rsidRDefault="007E24FC" w:rsidP="007A5543">
      <w:pPr>
        <w:spacing w:after="0" w:line="20" w:lineRule="atLeast"/>
        <w:jc w:val="both"/>
        <w:rPr>
          <w:rFonts w:cstheme="minorHAnsi"/>
        </w:rPr>
      </w:pPr>
      <w:r w:rsidRPr="006B0B81">
        <w:rPr>
          <w:rFonts w:cstheme="minorHAnsi"/>
        </w:rPr>
        <w:t xml:space="preserve">Con comunicazione, protocollate il 14 febbraio e il 28 marzo 2019, trasmesse a tutti i comuni lombardi e alle ALER, si è dato avvio alla ricognizione del fabbisogno degli enti proprietari per ripartire le risorse regionali 2019, sulla base di un’elaborazione dei dati presenti in Piattaforma Casa - Piattaforma informatica regionale per la gestione dei servizi abitativi (LR n.16/2016), dando come termine per la certificazione dei dati il 13 maggio 2019. </w:t>
      </w:r>
    </w:p>
    <w:p w:rsidR="00053CA9" w:rsidRDefault="007E24FC" w:rsidP="007A5543">
      <w:pPr>
        <w:spacing w:after="0" w:line="20" w:lineRule="atLeast"/>
        <w:jc w:val="both"/>
        <w:rPr>
          <w:rFonts w:cstheme="minorHAnsi"/>
        </w:rPr>
      </w:pPr>
      <w:r w:rsidRPr="006B0B81">
        <w:rPr>
          <w:rFonts w:cstheme="minorHAnsi"/>
        </w:rPr>
        <w:lastRenderedPageBreak/>
        <w:t>In particolare, per la determinazione della spesa della locazione sociale, sono stati estratti ed esaminati i seguenti dati dei nuclei familiari dalla Piattaforma Casa:</w:t>
      </w:r>
    </w:p>
    <w:p w:rsidR="00053CA9" w:rsidRDefault="007E24FC" w:rsidP="007A5543">
      <w:pPr>
        <w:spacing w:after="0" w:line="20" w:lineRule="atLeast"/>
        <w:jc w:val="both"/>
        <w:rPr>
          <w:rFonts w:cstheme="minorHAnsi"/>
        </w:rPr>
      </w:pPr>
      <w:r w:rsidRPr="006B0B81">
        <w:rPr>
          <w:rFonts w:cstheme="minorHAnsi"/>
        </w:rPr>
        <w:t xml:space="preserve"> - valore ISEE-ERP - numero componenti del nucleo familiare </w:t>
      </w:r>
    </w:p>
    <w:p w:rsidR="00053CA9" w:rsidRDefault="007E24FC" w:rsidP="007A5543">
      <w:pPr>
        <w:spacing w:after="0" w:line="20" w:lineRule="atLeast"/>
        <w:jc w:val="both"/>
        <w:rPr>
          <w:rFonts w:cstheme="minorHAnsi"/>
        </w:rPr>
      </w:pPr>
      <w:r w:rsidRPr="006B0B81">
        <w:rPr>
          <w:rFonts w:cstheme="minorHAnsi"/>
        </w:rPr>
        <w:t xml:space="preserve">- canone applicato </w:t>
      </w:r>
    </w:p>
    <w:p w:rsidR="00053CA9" w:rsidRDefault="007E24FC" w:rsidP="007A5543">
      <w:pPr>
        <w:spacing w:after="0" w:line="20" w:lineRule="atLeast"/>
        <w:jc w:val="both"/>
        <w:rPr>
          <w:rFonts w:cstheme="minorHAnsi"/>
        </w:rPr>
      </w:pPr>
      <w:r w:rsidRPr="006B0B81">
        <w:rPr>
          <w:rFonts w:cstheme="minorHAnsi"/>
        </w:rPr>
        <w:t xml:space="preserve">- spesa per i servizi comuni rimborso (laddove disponibili) </w:t>
      </w:r>
    </w:p>
    <w:p w:rsidR="00053CA9" w:rsidRDefault="007E24FC" w:rsidP="007A5543">
      <w:pPr>
        <w:spacing w:after="0" w:line="20" w:lineRule="atLeast"/>
        <w:jc w:val="both"/>
        <w:rPr>
          <w:rFonts w:cstheme="minorHAnsi"/>
        </w:rPr>
      </w:pPr>
      <w:r w:rsidRPr="006B0B81">
        <w:rPr>
          <w:rFonts w:cstheme="minorHAnsi"/>
        </w:rPr>
        <w:t xml:space="preserve">- classe di appartenenza </w:t>
      </w:r>
    </w:p>
    <w:p w:rsidR="00053CA9" w:rsidRDefault="007E24FC" w:rsidP="007A5543">
      <w:pPr>
        <w:spacing w:after="0" w:line="20" w:lineRule="atLeast"/>
        <w:jc w:val="both"/>
        <w:rPr>
          <w:rFonts w:cstheme="minorHAnsi"/>
        </w:rPr>
      </w:pPr>
      <w:r w:rsidRPr="006B0B81">
        <w:rPr>
          <w:rFonts w:cstheme="minorHAnsi"/>
        </w:rPr>
        <w:t>Dai dati, è emerso che il parametro della spesa per i servizi comuni a rimborso presenta un indice di variabilità particolarmente mutevole in specifiche aree territoriali della Lombardia;</w:t>
      </w:r>
      <w:r w:rsidR="00053CA9">
        <w:rPr>
          <w:rFonts w:cstheme="minorHAnsi"/>
        </w:rPr>
        <w:t xml:space="preserve"> </w:t>
      </w:r>
      <w:r w:rsidRPr="006B0B81">
        <w:rPr>
          <w:rFonts w:cstheme="minorHAnsi"/>
        </w:rPr>
        <w:t xml:space="preserve">tale aspetto è essenzialmente dovuto all’entità e alla tipologia dei servizi comuni offerti dall’ente proprietario (a titolo di esempio la tipologia del riscaldamento dell’alloggio, la gestione del verde, la presenza dei custodi e di altri specifici servizi connessi alla locazione dell’alloggio sociale). </w:t>
      </w:r>
    </w:p>
    <w:p w:rsidR="00053CA9" w:rsidRDefault="007E24FC" w:rsidP="007A5543">
      <w:pPr>
        <w:spacing w:after="0" w:line="20" w:lineRule="atLeast"/>
        <w:jc w:val="both"/>
        <w:rPr>
          <w:rFonts w:cstheme="minorHAnsi"/>
        </w:rPr>
      </w:pPr>
      <w:r w:rsidRPr="006B0B81">
        <w:rPr>
          <w:rFonts w:cstheme="minorHAnsi"/>
        </w:rPr>
        <w:t xml:space="preserve">Pertanto, per non discriminare i nuclei assegnatari che pagano le utenze direttamente ai gestori dei servizi, rispetto ai nuclei assegnatari che rimborsano le spese per i servizi comuni agli Enti proprietari, si è attribuito un unico importo, pari a 1.090 €/annui per ciascun nucleo. </w:t>
      </w:r>
    </w:p>
    <w:p w:rsidR="00053CA9" w:rsidRDefault="007E24FC" w:rsidP="007A5543">
      <w:pPr>
        <w:spacing w:after="0" w:line="20" w:lineRule="atLeast"/>
        <w:jc w:val="both"/>
        <w:rPr>
          <w:rFonts w:cstheme="minorHAnsi"/>
        </w:rPr>
      </w:pPr>
      <w:r w:rsidRPr="006B0B81">
        <w:rPr>
          <w:rFonts w:cstheme="minorHAnsi"/>
        </w:rPr>
        <w:t>L’importo di 1.090€/annuo deriva dal calcolo della media regionale degli acconti per le spese dei servizi comuni bollettate dagli enti (Comuni e Aler) ad aprile 2018.</w:t>
      </w:r>
    </w:p>
    <w:p w:rsidR="00053CA9" w:rsidRDefault="007E24FC" w:rsidP="007A5543">
      <w:pPr>
        <w:spacing w:after="0" w:line="20" w:lineRule="atLeast"/>
        <w:jc w:val="both"/>
        <w:rPr>
          <w:rFonts w:cstheme="minorHAnsi"/>
        </w:rPr>
      </w:pPr>
      <w:r w:rsidRPr="006B0B81">
        <w:rPr>
          <w:rFonts w:cstheme="minorHAnsi"/>
        </w:rPr>
        <w:t>L’indice di sopportabilità applicato ad ogni singolo nucleo familiare assegnatario è definito dalla seguente formula: Indice di sopportabilità = canone di locazione annuale + 1.090€ reddito (ISE − ERP) &lt; soglia (20%, 25%, 30%</w:t>
      </w:r>
      <w:r w:rsidRPr="006B0B81">
        <w:rPr>
          <w:rFonts w:ascii="Cambria Math" w:hAnsi="Cambria Math" w:cs="Cambria Math"/>
        </w:rPr>
        <w:t>∗</w:t>
      </w:r>
      <w:r w:rsidRPr="006B0B81">
        <w:rPr>
          <w:rFonts w:cstheme="minorHAnsi"/>
        </w:rPr>
        <w:t xml:space="preserve">) * Soglia 20% per l’area della Protezione, soglia 25% per l’area dell’Accesso, soglia 30% per l’area della Permanenza. </w:t>
      </w:r>
    </w:p>
    <w:p w:rsidR="00053CA9" w:rsidRDefault="007E24FC" w:rsidP="007A5543">
      <w:pPr>
        <w:spacing w:after="0" w:line="20" w:lineRule="atLeast"/>
        <w:jc w:val="both"/>
        <w:rPr>
          <w:rFonts w:cstheme="minorHAnsi"/>
        </w:rPr>
      </w:pPr>
      <w:r w:rsidRPr="006B0B81">
        <w:rPr>
          <w:rFonts w:cstheme="minorHAnsi"/>
        </w:rPr>
        <w:t xml:space="preserve">Le risorse regionali sono state ripartire sulla base del peso complessivo degli indici di sopportabilità applicati ai singoli nuclei familiari, tra i soli enti proprietari che hanno provveduto a certificare, entro il termine stabilito dalla sopracitata comunicazione, fissato al 13 maggio 2019, l’Anagrafe regionale dell’Utenza e del Patrimonio (Allegato B). </w:t>
      </w:r>
    </w:p>
    <w:p w:rsidR="00053CA9" w:rsidRDefault="007E24FC" w:rsidP="007A5543">
      <w:pPr>
        <w:spacing w:after="0" w:line="20" w:lineRule="atLeast"/>
        <w:jc w:val="both"/>
        <w:rPr>
          <w:rFonts w:cstheme="minorHAnsi"/>
        </w:rPr>
      </w:pPr>
      <w:r w:rsidRPr="006B0B81">
        <w:rPr>
          <w:rFonts w:cstheme="minorHAnsi"/>
        </w:rPr>
        <w:t xml:space="preserve">In particolare, si evidenzia che agli Enti che, a seguito dell’applicazione del coefficiente di sopportabilità risultano essere beneficiari di un importo inferiore a 2.000 €, è stato comunque riconosciuto un contributo regionale pari a 2.000 € </w:t>
      </w:r>
    </w:p>
    <w:p w:rsidR="00053CA9" w:rsidRDefault="007E24FC" w:rsidP="007A5543">
      <w:pPr>
        <w:spacing w:after="0" w:line="20" w:lineRule="atLeast"/>
        <w:jc w:val="both"/>
        <w:rPr>
          <w:rFonts w:cstheme="minorHAnsi"/>
        </w:rPr>
      </w:pPr>
      <w:r w:rsidRPr="006B0B81">
        <w:rPr>
          <w:rFonts w:cstheme="minorHAnsi"/>
        </w:rPr>
        <w:t xml:space="preserve">4. Trasferimento delle risorse regionali e utilizzo delle risorse residue Le risorse regionali sono trasferite agli enti proprietari entro 60 giorni dall’approvazione del presente provvedimento e previa entrata in vigore della legge regionale di “Assestamento al bilancio 2019-2021 con modifiche di leggi regionali”. </w:t>
      </w:r>
    </w:p>
    <w:p w:rsidR="00053CA9" w:rsidRDefault="007E24FC" w:rsidP="007A5543">
      <w:pPr>
        <w:spacing w:after="0" w:line="20" w:lineRule="atLeast"/>
        <w:jc w:val="both"/>
        <w:rPr>
          <w:rFonts w:cstheme="minorHAnsi"/>
        </w:rPr>
      </w:pPr>
      <w:r w:rsidRPr="006B0B81">
        <w:rPr>
          <w:rFonts w:cstheme="minorHAnsi"/>
        </w:rPr>
        <w:t xml:space="preserve">Le risorse residue a valere sulle ripartizioni 2016, 2017 e 2018 trasferite agli enti proprietari e non assegnate ai nuclei familiari sono da utilizzare sulla base dei criteri stabiliti dal presente provvedimento. Le eventuali economie derivanti dall'assegnazione dei contributi regionali di solidarietà da parte degli enti proprietari ai sensi del presente provvedimento rimangono nelle disponibilità degli enti medesimi che le utilizzano per le future nuove assegnazioni del contributo regionale di solidarietà ai sensi del Regolamento regionale di cui all’art. 25 della l.r. 16/2016. </w:t>
      </w:r>
    </w:p>
    <w:p w:rsidR="00053CA9" w:rsidRDefault="007E24FC" w:rsidP="007A5543">
      <w:pPr>
        <w:spacing w:after="0" w:line="20" w:lineRule="atLeast"/>
        <w:jc w:val="both"/>
        <w:rPr>
          <w:rFonts w:cstheme="minorHAnsi"/>
        </w:rPr>
      </w:pPr>
      <w:r w:rsidRPr="006B0B81">
        <w:rPr>
          <w:rFonts w:cstheme="minorHAnsi"/>
        </w:rPr>
        <w:t xml:space="preserve">Ai fini del trasferimento delle risorse regionali, le ALER utilizzano il conto corrente bancario, istituto con le precedenti misure, denominato "Contributo regionale di solidarietà ai sensi dell'art. 25 della legge regionale n. 16/2016”. </w:t>
      </w:r>
    </w:p>
    <w:p w:rsidR="00053CA9" w:rsidRDefault="007E24FC" w:rsidP="007A5543">
      <w:pPr>
        <w:spacing w:after="0" w:line="20" w:lineRule="atLeast"/>
        <w:jc w:val="both"/>
        <w:rPr>
          <w:rFonts w:cstheme="minorHAnsi"/>
        </w:rPr>
      </w:pPr>
      <w:r w:rsidRPr="006B0B81">
        <w:rPr>
          <w:rFonts w:cstheme="minorHAnsi"/>
        </w:rPr>
        <w:t xml:space="preserve">Il presente provvedimento, a seguito dell’approvazione in Giunta regionale, sarà pubblicato sul B.U.R.L. </w:t>
      </w:r>
    </w:p>
    <w:p w:rsidR="00053CA9" w:rsidRDefault="007E24FC" w:rsidP="007A5543">
      <w:pPr>
        <w:spacing w:after="0" w:line="20" w:lineRule="atLeast"/>
        <w:jc w:val="both"/>
        <w:rPr>
          <w:rFonts w:cstheme="minorHAnsi"/>
        </w:rPr>
      </w:pPr>
      <w:r w:rsidRPr="006B0B81">
        <w:rPr>
          <w:rFonts w:cstheme="minorHAnsi"/>
        </w:rPr>
        <w:t xml:space="preserve">5. Condizioni per accedere al contributo regionale di solidarietà I nuclei familiari beneficiari del contributo regionale di solidarietà dovranno possedere i seguenti requisiti alla data dell’approvazione del presente provvedimento: </w:t>
      </w:r>
    </w:p>
    <w:p w:rsidR="00053CA9" w:rsidRDefault="007E24FC" w:rsidP="007A5543">
      <w:pPr>
        <w:spacing w:after="0" w:line="20" w:lineRule="atLeast"/>
        <w:jc w:val="both"/>
        <w:rPr>
          <w:rFonts w:cstheme="minorHAnsi"/>
        </w:rPr>
      </w:pPr>
      <w:r w:rsidRPr="006B0B81">
        <w:rPr>
          <w:rFonts w:cstheme="minorHAnsi"/>
        </w:rPr>
        <w:t xml:space="preserve">a) essere assegnatari degli alloggi SAP di proprietà dei comuni e delle Aler destinatari delle risorse regionali; b) possedere un periodo minimo di permanenza negli alloggi SAP, individuabile in 12 mesi dalla data di stipula del contratto di locazione sociale; </w:t>
      </w:r>
    </w:p>
    <w:p w:rsidR="00053CA9" w:rsidRDefault="007E24FC" w:rsidP="007A5543">
      <w:pPr>
        <w:spacing w:after="0" w:line="20" w:lineRule="atLeast"/>
        <w:jc w:val="both"/>
        <w:rPr>
          <w:rFonts w:cstheme="minorHAnsi"/>
        </w:rPr>
      </w:pPr>
      <w:r w:rsidRPr="006B0B81">
        <w:rPr>
          <w:rFonts w:cstheme="minorHAnsi"/>
        </w:rPr>
        <w:t>c) appartenere alle aree della Protezione e dell'Accesso ai sensi dell’art. 31 della l.r. 27/2009;</w:t>
      </w:r>
    </w:p>
    <w:p w:rsidR="00053CA9" w:rsidRDefault="007E24FC" w:rsidP="007A5543">
      <w:pPr>
        <w:spacing w:after="0" w:line="20" w:lineRule="atLeast"/>
        <w:jc w:val="both"/>
        <w:rPr>
          <w:rFonts w:cstheme="minorHAnsi"/>
        </w:rPr>
      </w:pPr>
      <w:r w:rsidRPr="006B0B81">
        <w:rPr>
          <w:rFonts w:cstheme="minorHAnsi"/>
        </w:rPr>
        <w:t xml:space="preserve">Sono esclusi gli assegnatari con un importo di morosità superiore a 8.000 </w:t>
      </w:r>
    </w:p>
    <w:p w:rsidR="00053CA9" w:rsidRDefault="007E24FC" w:rsidP="007A5543">
      <w:pPr>
        <w:spacing w:after="0" w:line="20" w:lineRule="atLeast"/>
        <w:jc w:val="both"/>
        <w:rPr>
          <w:rFonts w:cstheme="minorHAnsi"/>
        </w:rPr>
      </w:pPr>
      <w:r w:rsidRPr="006B0B81">
        <w:rPr>
          <w:rFonts w:cstheme="minorHAnsi"/>
        </w:rPr>
        <w:t xml:space="preserve">6. Condizionalità – Patto di servizio </w:t>
      </w:r>
    </w:p>
    <w:p w:rsidR="00053CA9" w:rsidRDefault="007E24FC" w:rsidP="007A5543">
      <w:pPr>
        <w:spacing w:after="0" w:line="20" w:lineRule="atLeast"/>
        <w:jc w:val="both"/>
        <w:rPr>
          <w:rFonts w:cstheme="minorHAnsi"/>
        </w:rPr>
      </w:pPr>
      <w:r w:rsidRPr="006B0B81">
        <w:rPr>
          <w:rFonts w:cstheme="minorHAnsi"/>
        </w:rPr>
        <w:t xml:space="preserve">Ai fini del riconoscimento del contributo regionale di solidarietà 2019, il beneficiario, di cui al comma 3 dell’art. 25, deve sottoscrivere il Patto di servizio, in ragione dell’esigenza di stimolare un atteggiamento proattivo del beneficiario del contributo nella direzione del progressivo recupero dell’autonomia economica e sociale del nucleo familiare. </w:t>
      </w:r>
    </w:p>
    <w:p w:rsidR="00053CA9" w:rsidRDefault="007E24FC" w:rsidP="007A5543">
      <w:pPr>
        <w:spacing w:after="0" w:line="20" w:lineRule="atLeast"/>
        <w:jc w:val="both"/>
        <w:rPr>
          <w:rFonts w:cstheme="minorHAnsi"/>
        </w:rPr>
      </w:pPr>
      <w:r w:rsidRPr="006B0B81">
        <w:rPr>
          <w:rFonts w:cstheme="minorHAnsi"/>
        </w:rPr>
        <w:lastRenderedPageBreak/>
        <w:t xml:space="preserve">Il Patto deve essere inoltre sottoscritto da un rappresentante dell’Ente proprietario, ovvero dal Responsabile del procedimento o da altro componente del nucleo di valutazione. Con la sottoscrizione del Patto il beneficiario si impegna a: </w:t>
      </w:r>
    </w:p>
    <w:p w:rsidR="00053CA9" w:rsidRDefault="007E24FC" w:rsidP="007A5543">
      <w:pPr>
        <w:spacing w:after="0" w:line="20" w:lineRule="atLeast"/>
        <w:jc w:val="both"/>
        <w:rPr>
          <w:rFonts w:cstheme="minorHAnsi"/>
        </w:rPr>
      </w:pPr>
      <w:r w:rsidRPr="006B0B81">
        <w:rPr>
          <w:rFonts w:cstheme="minorHAnsi"/>
        </w:rPr>
        <w:t xml:space="preserve">a) mantenere aggiornata la propria posizione anagrafica ed economico-patrimoniale nell’ambito dell’anagrafe utenza; </w:t>
      </w:r>
    </w:p>
    <w:p w:rsidR="00053CA9" w:rsidRDefault="007E24FC" w:rsidP="007A5543">
      <w:pPr>
        <w:spacing w:after="0" w:line="20" w:lineRule="atLeast"/>
        <w:jc w:val="both"/>
        <w:rPr>
          <w:rFonts w:cstheme="minorHAnsi"/>
        </w:rPr>
      </w:pPr>
      <w:r w:rsidRPr="006B0B81">
        <w:rPr>
          <w:rFonts w:cstheme="minorHAnsi"/>
        </w:rPr>
        <w:t xml:space="preserve">b) corrispondere le mensilità correnti del canone di locazione a far data dalla sottoscrizione del Patto di servizio; </w:t>
      </w:r>
    </w:p>
    <w:p w:rsidR="00053CA9" w:rsidRDefault="007E24FC" w:rsidP="007A5543">
      <w:pPr>
        <w:spacing w:after="0" w:line="20" w:lineRule="atLeast"/>
        <w:jc w:val="both"/>
        <w:rPr>
          <w:rFonts w:cstheme="minorHAnsi"/>
        </w:rPr>
      </w:pPr>
      <w:r w:rsidRPr="006B0B81">
        <w:rPr>
          <w:rFonts w:cstheme="minorHAnsi"/>
        </w:rPr>
        <w:t>c) se disoccupato ed in età lavorativa (per i componenti disoccupati dei nuclei familiari beneficiari), attivare un percorso di Politica attiva del lavoro, entro 3 mesi dalla data di sottoscrizione del Patto di Servizio.</w:t>
      </w:r>
    </w:p>
    <w:p w:rsidR="00053CA9" w:rsidRDefault="007E24FC" w:rsidP="007A5543">
      <w:pPr>
        <w:spacing w:after="0" w:line="20" w:lineRule="atLeast"/>
        <w:jc w:val="both"/>
        <w:rPr>
          <w:rFonts w:cstheme="minorHAnsi"/>
        </w:rPr>
      </w:pPr>
      <w:r w:rsidRPr="006B0B81">
        <w:rPr>
          <w:rFonts w:cstheme="minorHAnsi"/>
        </w:rPr>
        <w:t xml:space="preserve"> Fermo restando che i suddetti impegni (se applicabili) costituiscono contenuti minimi indispensabili del Patto di servizio, il responsabile del procedimento, con il supporto del nucleo di valutazione, può valutare l’inserimento di ulteriori impegno (a titolo di esempio, un piano di rientro personalizzato del debito). </w:t>
      </w:r>
    </w:p>
    <w:p w:rsidR="005E3EEE" w:rsidRDefault="007E24FC" w:rsidP="007A5543">
      <w:pPr>
        <w:spacing w:after="0" w:line="20" w:lineRule="atLeast"/>
        <w:jc w:val="both"/>
        <w:rPr>
          <w:rFonts w:cstheme="minorHAnsi"/>
        </w:rPr>
      </w:pPr>
      <w:r w:rsidRPr="006B0B81">
        <w:rPr>
          <w:rFonts w:cstheme="minorHAnsi"/>
        </w:rPr>
        <w:t xml:space="preserve">7. Accesso al contributo regionale di solidarietà: la procedura di selezione dei potenziali beneficiari </w:t>
      </w:r>
    </w:p>
    <w:p w:rsidR="005E3EEE" w:rsidRDefault="007E24FC" w:rsidP="007A5543">
      <w:pPr>
        <w:spacing w:after="0" w:line="20" w:lineRule="atLeast"/>
        <w:jc w:val="both"/>
        <w:rPr>
          <w:rFonts w:cstheme="minorHAnsi"/>
        </w:rPr>
      </w:pPr>
      <w:r w:rsidRPr="006B0B81">
        <w:rPr>
          <w:rFonts w:cstheme="minorHAnsi"/>
        </w:rPr>
        <w:t xml:space="preserve">L'ente proprietario nomina un responsabile del procedimento (RUP) per l'assegnazione del contributo regionale di solidarietà e istituisce, senza alcun onere per l'ente proprietario, un nucleo di valutazione composto e presieduto da personale interno nonché da personale dell'ente gestore. </w:t>
      </w:r>
    </w:p>
    <w:p w:rsidR="005E3EEE" w:rsidRDefault="007E24FC" w:rsidP="007A5543">
      <w:pPr>
        <w:spacing w:after="0" w:line="20" w:lineRule="atLeast"/>
        <w:jc w:val="both"/>
        <w:rPr>
          <w:rFonts w:cstheme="minorHAnsi"/>
        </w:rPr>
      </w:pPr>
      <w:r w:rsidRPr="006B0B81">
        <w:rPr>
          <w:rFonts w:cstheme="minorHAnsi"/>
        </w:rPr>
        <w:t xml:space="preserve">7.1. Contributo diretto ai nuclei familiari in condizione di indigenza (comma 2) Il RUP assegnerà il contributo ai nuclei familiari in condizioni di indigenza di cui al precedente paragrafo 1.1 nel caso in cui l’amministrazione ha assegnato alloggi a tali nuclei. In tale ipotesi il RUP assegnerà il contributo tenendo conto dei costi del canone applicato e delle spese dei servizi comuni a rimborso per un periodo massimo di dodici mesi e fino all’importo massimo di 2.000 €. </w:t>
      </w:r>
    </w:p>
    <w:p w:rsidR="005E3EEE" w:rsidRDefault="007E24FC" w:rsidP="007A5543">
      <w:pPr>
        <w:spacing w:after="0" w:line="20" w:lineRule="atLeast"/>
        <w:jc w:val="both"/>
        <w:rPr>
          <w:rFonts w:cstheme="minorHAnsi"/>
        </w:rPr>
      </w:pPr>
      <w:r w:rsidRPr="006B0B81">
        <w:rPr>
          <w:rFonts w:cstheme="minorHAnsi"/>
        </w:rPr>
        <w:t xml:space="preserve">7.2. Contributo diretto ai nuclei familiari in comprovate difficoltà economiche (comma 3) Il responsabile del procedimento deve assicurare la massima trasparenza dell’iniziativa attraverso idonee forme di pubblicità, fissando un termine per la presentazione, da parte dei nuclei familiari interessati alla misura di sostegno, delle domande di accesso al contributo regionale di solidarietà. </w:t>
      </w:r>
    </w:p>
    <w:p w:rsidR="005E3EEE" w:rsidRDefault="007E24FC" w:rsidP="007A5543">
      <w:pPr>
        <w:spacing w:after="0" w:line="20" w:lineRule="atLeast"/>
        <w:jc w:val="both"/>
        <w:rPr>
          <w:rFonts w:cstheme="minorHAnsi"/>
        </w:rPr>
      </w:pPr>
      <w:r w:rsidRPr="006B0B81">
        <w:rPr>
          <w:rFonts w:cstheme="minorHAnsi"/>
        </w:rPr>
        <w:t xml:space="preserve">I nuclei familiari devono presentare domanda, sul facsimile redatto dall’ente proprietario, entro il termine indicato dal RUP, completa del valore ISEE, in corso di validità. Per valutare la sussistenza dei requisiti e delle condizioni per accedere al contributo, il responsabile del procedimento si avvale del sopracitato nucleo di valutazione. </w:t>
      </w:r>
    </w:p>
    <w:p w:rsidR="005E3EEE" w:rsidRDefault="007E24FC" w:rsidP="007A5543">
      <w:pPr>
        <w:spacing w:after="0" w:line="20" w:lineRule="atLeast"/>
        <w:jc w:val="both"/>
        <w:rPr>
          <w:rFonts w:cstheme="minorHAnsi"/>
        </w:rPr>
      </w:pPr>
      <w:r w:rsidRPr="006B0B81">
        <w:rPr>
          <w:rFonts w:cstheme="minorHAnsi"/>
        </w:rPr>
        <w:t xml:space="preserve">Il RUP con il supporto del Nucleo di valutazione: a) Verifica la sussistenza dei requisiti di accesso b) Predispone un elenco dei potenziali beneficiari in ordine di ISEE crescente c) Convoca i potenziali beneficiari per la sottoscrizione del Patto di Servizio d) Predispone la graduatoria finale Il nucleo di valutazione per verificare la difficoltà economica può applicare il coefficiente di sopportabilità di cui alla formula del sopracitato paragrafo 3. Il RUP con il supporto nucleo di valutazione può valutare l’opportunità di assegnare il contributo 2019 ai beneficiari dei contributi 2016, 2017 e 2018, tenendo conto della situazione economica e sociale del nucleo familiare, purché lo stesso abbia adempiuto agli impegni del Patto di servizio sottoscritto. 8. Rendicontazione e monitoraggio delle risorse regionali Ai fini della rendicontazione della misura 2019, gli enti proprietari accederanno ad una apposita sezione della Piattaforma Casa per compilare le informazioni relative alla rendicontazione della misura 2019. </w:t>
      </w:r>
    </w:p>
    <w:p w:rsidR="005E3EEE" w:rsidRDefault="007E24FC" w:rsidP="007A5543">
      <w:pPr>
        <w:spacing w:after="0" w:line="20" w:lineRule="atLeast"/>
        <w:jc w:val="both"/>
        <w:rPr>
          <w:rFonts w:cstheme="minorHAnsi"/>
        </w:rPr>
      </w:pPr>
      <w:r w:rsidRPr="006B0B81">
        <w:rPr>
          <w:rFonts w:cstheme="minorHAnsi"/>
        </w:rPr>
        <w:t>Al termine dell’inserimento dei dati, il sistema elabora in automatico un documento di riepilogo che dovrà essere ricaricato in Piattaforma Casa previa firma digitale del responsabile del procedimento di assegnazione del contributo regionale di solidarietà. Il temine per l’inserimento in Piattaforma Casa dei dati relativi all’utilizzo delle risorse regionali 2019 è fissato al 31 luglio 2020.</w:t>
      </w:r>
    </w:p>
    <w:p w:rsidR="005E3EEE" w:rsidRDefault="007E24FC" w:rsidP="007A5543">
      <w:pPr>
        <w:spacing w:after="0" w:line="20" w:lineRule="atLeast"/>
        <w:jc w:val="both"/>
        <w:rPr>
          <w:rFonts w:cstheme="minorHAnsi"/>
        </w:rPr>
      </w:pPr>
      <w:r w:rsidRPr="006B0B81">
        <w:rPr>
          <w:rFonts w:cstheme="minorHAnsi"/>
        </w:rPr>
        <w:t xml:space="preserve"> Le informazioni e i dati della rendicontazione costituiscono debito informativo nei confronti della Regione il cui adempimento è condizione necessaria per l'ammissione ai futuri contributi regionali. </w:t>
      </w:r>
    </w:p>
    <w:p w:rsidR="005E3EEE" w:rsidRDefault="007E24FC" w:rsidP="007A5543">
      <w:pPr>
        <w:spacing w:after="0" w:line="20" w:lineRule="atLeast"/>
        <w:jc w:val="both"/>
        <w:rPr>
          <w:rFonts w:cstheme="minorHAnsi"/>
        </w:rPr>
      </w:pPr>
      <w:r w:rsidRPr="006B0B81">
        <w:rPr>
          <w:rFonts w:cstheme="minorHAnsi"/>
        </w:rPr>
        <w:t>9. Controlli Regione Lombardia potrà effettuare controlli presso gli enti proprietari, ALER e comuni, allo scopo di accertare l’applicazione delle disposizioni dettate in ordine all’assegnazione del contributo regionale di solidarietà e alla completezza della documentazione.</w:t>
      </w:r>
    </w:p>
    <w:p w:rsidR="005E3EEE" w:rsidRDefault="007E24FC" w:rsidP="007A5543">
      <w:pPr>
        <w:spacing w:after="0" w:line="20" w:lineRule="atLeast"/>
        <w:jc w:val="both"/>
        <w:rPr>
          <w:rFonts w:cstheme="minorHAnsi"/>
        </w:rPr>
      </w:pPr>
      <w:r w:rsidRPr="006B0B81">
        <w:rPr>
          <w:rFonts w:cstheme="minorHAnsi"/>
        </w:rPr>
        <w:t xml:space="preserve">A tal fine gli enti proprietari si impegnano a tenere a disposizione ed esibire per verifiche e controlli tutta la documentazione contabile e amministrativa in originale relativa alle attività sviluppate. </w:t>
      </w:r>
    </w:p>
    <w:p w:rsidR="005E3EEE" w:rsidRDefault="007E24FC" w:rsidP="007A5543">
      <w:pPr>
        <w:spacing w:after="0" w:line="20" w:lineRule="atLeast"/>
        <w:jc w:val="both"/>
        <w:rPr>
          <w:rFonts w:cstheme="minorHAnsi"/>
        </w:rPr>
      </w:pPr>
      <w:r w:rsidRPr="006B0B81">
        <w:rPr>
          <w:rFonts w:cstheme="minorHAnsi"/>
        </w:rPr>
        <w:t xml:space="preserve">10. Informativa sul trattamento dei dati I dati e le informazioni acquisiti in esecuzione del presente provvedimento verranno utilizzati ai sensi del Regolamento Europeo sulla protezione dei dati personali (UE)2016/679 e dei d.lgs. n. 196/2003 e d.lgs.101/2018, esclusivamente per le finalità relative al </w:t>
      </w:r>
      <w:r w:rsidRPr="006B0B81">
        <w:rPr>
          <w:rFonts w:cstheme="minorHAnsi"/>
        </w:rPr>
        <w:lastRenderedPageBreak/>
        <w:t xml:space="preserve">procedimento attivato con le presenti Linee Guida. I dati acquisiti saranno trattati con l’ausilio di strumenti, anche elettronici, idonei a garantire la sicurezza e la riservatezza secondo le modalità previste dalle leggi e dai regolamenti vigenti. </w:t>
      </w:r>
    </w:p>
    <w:p w:rsidR="007E24FC" w:rsidRPr="006B0B81" w:rsidRDefault="007E24FC" w:rsidP="007A5543">
      <w:pPr>
        <w:spacing w:after="0" w:line="20" w:lineRule="atLeast"/>
        <w:jc w:val="both"/>
        <w:rPr>
          <w:rFonts w:cstheme="minorHAnsi"/>
        </w:rPr>
      </w:pPr>
      <w:r w:rsidRPr="006B0B81">
        <w:rPr>
          <w:rFonts w:cstheme="minorHAnsi"/>
        </w:rPr>
        <w:t xml:space="preserve">11. Informazioni e contatti Per qualsiasi chiarimento ed informazione riguardante le presenti linee guida, gli enti possono contattare la struttura competente Sviluppo dell’offerta abitativa inviando una mail a: </w:t>
      </w:r>
      <w:hyperlink r:id="rId11" w:history="1">
        <w:r w:rsidRPr="006B0B81">
          <w:rPr>
            <w:rStyle w:val="Collegamentoipertestuale"/>
            <w:rFonts w:cstheme="minorHAnsi"/>
          </w:rPr>
          <w:t>contributosolidarieta@regione.lombardia.it</w:t>
        </w:r>
      </w:hyperlink>
    </w:p>
    <w:p w:rsidR="007E24FC" w:rsidRDefault="007E24FC" w:rsidP="007E24FC">
      <w:pPr>
        <w:autoSpaceDE w:val="0"/>
        <w:autoSpaceDN w:val="0"/>
        <w:adjustRightInd w:val="0"/>
        <w:spacing w:after="0" w:line="20" w:lineRule="atLeast"/>
        <w:jc w:val="both"/>
        <w:rPr>
          <w:rFonts w:cstheme="minorHAnsi"/>
          <w:color w:val="000000"/>
        </w:rPr>
      </w:pPr>
    </w:p>
    <w:p w:rsidR="005E3EEE" w:rsidRDefault="007E24FC" w:rsidP="007E24FC">
      <w:pPr>
        <w:spacing w:after="0" w:line="20" w:lineRule="atLeast"/>
        <w:jc w:val="both"/>
        <w:rPr>
          <w:rFonts w:cstheme="minorHAnsi"/>
        </w:rPr>
      </w:pPr>
      <w:r w:rsidRPr="005E3EEE">
        <w:rPr>
          <w:rFonts w:cstheme="minorHAnsi"/>
          <w:b/>
        </w:rPr>
        <w:t>D</w:t>
      </w:r>
      <w:r w:rsidR="005E3EEE" w:rsidRPr="005E3EEE">
        <w:rPr>
          <w:rFonts w:cstheme="minorHAnsi"/>
          <w:b/>
        </w:rPr>
        <w:t xml:space="preserve">GR </w:t>
      </w:r>
      <w:r w:rsidRPr="005E3EEE">
        <w:rPr>
          <w:rFonts w:cstheme="minorHAnsi"/>
          <w:b/>
        </w:rPr>
        <w:t xml:space="preserve"> 31 luglio 2019</w:t>
      </w:r>
      <w:r w:rsidR="005E3EEE" w:rsidRPr="005E3EEE">
        <w:rPr>
          <w:rFonts w:cstheme="minorHAnsi"/>
          <w:b/>
        </w:rPr>
        <w:t xml:space="preserve">, </w:t>
      </w:r>
      <w:r w:rsidRPr="005E3EEE">
        <w:rPr>
          <w:rFonts w:cstheme="minorHAnsi"/>
          <w:b/>
        </w:rPr>
        <w:t>n. XI/2065</w:t>
      </w:r>
      <w:r w:rsidR="005E3EEE">
        <w:rPr>
          <w:rFonts w:cstheme="minorHAnsi"/>
        </w:rPr>
        <w:t xml:space="preserve">, </w:t>
      </w:r>
      <w:r w:rsidRPr="006B0B81">
        <w:rPr>
          <w:rFonts w:cstheme="minorHAnsi"/>
        </w:rPr>
        <w:t>Approvazione linee guida per interventi volti al contenimento dell’emergenza abitativa e al mantenimento dell’alloggio in locazione – Anno 2019</w:t>
      </w:r>
      <w:r w:rsidR="005E3EEE">
        <w:rPr>
          <w:rFonts w:cstheme="minorHAnsi"/>
        </w:rPr>
        <w:t xml:space="preserve"> (BUR n. 32 dell</w:t>
      </w:r>
      <w:proofErr w:type="gramStart"/>
      <w:r w:rsidR="005E3EEE">
        <w:rPr>
          <w:rFonts w:cstheme="minorHAnsi"/>
        </w:rPr>
        <w:t>’.8.8.19</w:t>
      </w:r>
      <w:proofErr w:type="gramEnd"/>
      <w:r w:rsidR="005E3EEE">
        <w:rPr>
          <w:rFonts w:cstheme="minorHAnsi"/>
        </w:rPr>
        <w:t>)</w:t>
      </w:r>
    </w:p>
    <w:p w:rsidR="005E3EEE" w:rsidRPr="005E3EEE" w:rsidRDefault="005E3EEE" w:rsidP="007E24FC">
      <w:pPr>
        <w:spacing w:after="0" w:line="20" w:lineRule="atLeast"/>
        <w:jc w:val="both"/>
        <w:rPr>
          <w:rFonts w:cstheme="minorHAnsi"/>
          <w:b/>
        </w:rPr>
      </w:pPr>
      <w:r w:rsidRPr="005E3EEE">
        <w:rPr>
          <w:rFonts w:cstheme="minorHAnsi"/>
          <w:b/>
        </w:rPr>
        <w:t xml:space="preserve">RIFERIMENTI NORMATIVI ED AMINISTRATIVI </w:t>
      </w:r>
    </w:p>
    <w:p w:rsidR="003E4CC1" w:rsidRDefault="005E3EEE" w:rsidP="007E24FC">
      <w:pPr>
        <w:spacing w:after="0" w:line="20" w:lineRule="atLeast"/>
        <w:jc w:val="both"/>
        <w:rPr>
          <w:rFonts w:cstheme="minorHAnsi"/>
        </w:rPr>
      </w:pPr>
      <w:r>
        <w:rPr>
          <w:rFonts w:cstheme="minorHAnsi"/>
        </w:rPr>
        <w:t>L</w:t>
      </w:r>
      <w:r w:rsidR="007E24FC" w:rsidRPr="006B0B81">
        <w:rPr>
          <w:rFonts w:cstheme="minorHAnsi"/>
        </w:rPr>
        <w:t>egge regionale 8 luglio 2016, n.16 «Disciplina regionale dei servizi abitativi», all’art. 2 lettera d) individua tra le funzioni regionali la realizzazione di piani e programmi di contrasto all’emergenza abitativa e che all’art. 3 riconosce ai Comuni un ruolo di coordinamento per le azioni di contrasto all’emergenza stessa, attraverso azioni di sostegno alla locazione</w:t>
      </w:r>
      <w:r w:rsidR="003E4CC1">
        <w:rPr>
          <w:rFonts w:cstheme="minorHAnsi"/>
        </w:rPr>
        <w:t>.</w:t>
      </w:r>
    </w:p>
    <w:p w:rsidR="003E4CC1" w:rsidRDefault="003E4CC1" w:rsidP="007E24FC">
      <w:pPr>
        <w:spacing w:after="0" w:line="20" w:lineRule="atLeast"/>
        <w:jc w:val="both"/>
        <w:rPr>
          <w:rFonts w:cstheme="minorHAnsi"/>
        </w:rPr>
      </w:pPr>
      <w:r>
        <w:rPr>
          <w:rFonts w:cstheme="minorHAnsi"/>
        </w:rPr>
        <w:t>L</w:t>
      </w:r>
      <w:r w:rsidR="007E24FC" w:rsidRPr="006B0B81">
        <w:rPr>
          <w:rFonts w:cstheme="minorHAnsi"/>
        </w:rPr>
        <w:t>’art. 39 della citata legge regionale n. 16/2016, stabilisce che con apposito provvedimento di giunta regionale vengono definiti i requisiti e le modalità di attuazione delle misure per il mantenimento dell’abitazione in locazione nel libero mercato e nei servizi abitativi sociali</w:t>
      </w:r>
      <w:r>
        <w:rPr>
          <w:rFonts w:cstheme="minorHAnsi"/>
        </w:rPr>
        <w:t>.</w:t>
      </w:r>
    </w:p>
    <w:p w:rsidR="003E4CC1" w:rsidRDefault="003E4CC1" w:rsidP="007E24FC">
      <w:pPr>
        <w:spacing w:after="0" w:line="20" w:lineRule="atLeast"/>
        <w:jc w:val="both"/>
        <w:rPr>
          <w:rFonts w:cstheme="minorHAnsi"/>
        </w:rPr>
      </w:pPr>
      <w:r>
        <w:rPr>
          <w:rFonts w:cstheme="minorHAnsi"/>
        </w:rPr>
        <w:t>I</w:t>
      </w:r>
      <w:r w:rsidR="007E24FC" w:rsidRPr="006B0B81">
        <w:rPr>
          <w:rFonts w:cstheme="minorHAnsi"/>
        </w:rPr>
        <w:t>l Programma Regionale di Sviluppo prevede, tra le priorità programmatiche, interventi finalizzati a garantire il diritto alla casa ed in particolare la promozione di forme di sostegno all’affitto destinate a cittadini in situazioni di grave disagio economico</w:t>
      </w:r>
      <w:r>
        <w:rPr>
          <w:rFonts w:cstheme="minorHAnsi"/>
        </w:rPr>
        <w:t>.</w:t>
      </w:r>
    </w:p>
    <w:p w:rsidR="003E4CC1" w:rsidRDefault="003E4CC1" w:rsidP="007E24FC">
      <w:pPr>
        <w:spacing w:after="0" w:line="20" w:lineRule="atLeast"/>
        <w:jc w:val="both"/>
        <w:rPr>
          <w:rFonts w:cstheme="minorHAnsi"/>
        </w:rPr>
      </w:pPr>
      <w:r>
        <w:rPr>
          <w:rFonts w:cstheme="minorHAnsi"/>
        </w:rPr>
        <w:t>P</w:t>
      </w:r>
      <w:r w:rsidR="007E24FC" w:rsidRPr="006B0B81">
        <w:rPr>
          <w:rFonts w:cstheme="minorHAnsi"/>
        </w:rPr>
        <w:t>er gli anni 2016, 2017 e 2018 il Fondo nazionale per il sostegno all’accesso alle abitazioni in locazione, di cui all’art. 11, legge 431/98, non è stato finanziato con risorse statali</w:t>
      </w:r>
      <w:r>
        <w:rPr>
          <w:rFonts w:cstheme="minorHAnsi"/>
        </w:rPr>
        <w:t>.</w:t>
      </w:r>
    </w:p>
    <w:p w:rsidR="003E4CC1" w:rsidRPr="003E4CC1" w:rsidRDefault="003E4CC1" w:rsidP="007E24FC">
      <w:pPr>
        <w:spacing w:after="0" w:line="20" w:lineRule="atLeast"/>
        <w:jc w:val="both"/>
        <w:rPr>
          <w:rFonts w:cstheme="minorHAnsi"/>
          <w:b/>
        </w:rPr>
      </w:pPr>
      <w:r w:rsidRPr="003E4CC1">
        <w:rPr>
          <w:rFonts w:cstheme="minorHAnsi"/>
          <w:b/>
        </w:rPr>
        <w:t>IL RUOLO DEI PIANI DI ZONA</w:t>
      </w:r>
    </w:p>
    <w:p w:rsidR="003E4CC1" w:rsidRDefault="003E4CC1" w:rsidP="007E24FC">
      <w:pPr>
        <w:spacing w:after="0" w:line="20" w:lineRule="atLeast"/>
        <w:jc w:val="both"/>
        <w:rPr>
          <w:rFonts w:cstheme="minorHAnsi"/>
        </w:rPr>
      </w:pPr>
      <w:r>
        <w:rPr>
          <w:rFonts w:cstheme="minorHAnsi"/>
        </w:rPr>
        <w:t>L</w:t>
      </w:r>
      <w:r w:rsidR="007E24FC" w:rsidRPr="006B0B81">
        <w:rPr>
          <w:rFonts w:cstheme="minorHAnsi"/>
        </w:rPr>
        <w:t>a l.r. 3/2008 art. 18 c. 1 individua i Piani Zona come unità di programmazione dell’offerta sociale regionale</w:t>
      </w:r>
      <w:r>
        <w:rPr>
          <w:rFonts w:cstheme="minorHAnsi"/>
        </w:rPr>
        <w:t xml:space="preserve">, </w:t>
      </w:r>
      <w:proofErr w:type="gramStart"/>
      <w:r>
        <w:rPr>
          <w:rFonts w:cstheme="minorHAnsi"/>
        </w:rPr>
        <w:t xml:space="preserve">e </w:t>
      </w:r>
      <w:r w:rsidR="007E24FC" w:rsidRPr="006B0B81">
        <w:rPr>
          <w:rFonts w:cstheme="minorHAnsi"/>
        </w:rPr>
        <w:t xml:space="preserve"> inoltre</w:t>
      </w:r>
      <w:proofErr w:type="gramEnd"/>
      <w:r w:rsidR="007E24FC" w:rsidRPr="006B0B81">
        <w:rPr>
          <w:rFonts w:cstheme="minorHAnsi"/>
        </w:rPr>
        <w:t xml:space="preserve"> dà mandato all’assemblea dei Sindaci di individuare i Comuni capofila dell’Ambito</w:t>
      </w:r>
      <w:r>
        <w:rPr>
          <w:rFonts w:cstheme="minorHAnsi"/>
        </w:rPr>
        <w:t>.</w:t>
      </w:r>
    </w:p>
    <w:p w:rsidR="00F43D53" w:rsidRDefault="00F43D53" w:rsidP="007E24FC">
      <w:pPr>
        <w:spacing w:after="0" w:line="20" w:lineRule="atLeast"/>
        <w:jc w:val="both"/>
        <w:rPr>
          <w:rFonts w:cstheme="minorHAnsi"/>
        </w:rPr>
      </w:pPr>
      <w:r>
        <w:rPr>
          <w:rFonts w:cstheme="minorHAnsi"/>
        </w:rPr>
        <w:t>S</w:t>
      </w:r>
      <w:r w:rsidR="007E24FC" w:rsidRPr="006B0B81">
        <w:rPr>
          <w:rFonts w:cstheme="minorHAnsi"/>
        </w:rPr>
        <w:t>i è creata</w:t>
      </w:r>
      <w:r>
        <w:rPr>
          <w:rFonts w:cstheme="minorHAnsi"/>
        </w:rPr>
        <w:t xml:space="preserve">, pertanto, </w:t>
      </w:r>
      <w:r w:rsidR="007E24FC" w:rsidRPr="006B0B81">
        <w:rPr>
          <w:rFonts w:cstheme="minorHAnsi"/>
        </w:rPr>
        <w:t>una rete lombarda di 95 Enti capofila in attuazione dei Piani di zona</w:t>
      </w:r>
    </w:p>
    <w:p w:rsidR="00F43D53" w:rsidRDefault="00F43D53" w:rsidP="007E24FC">
      <w:pPr>
        <w:spacing w:after="0" w:line="20" w:lineRule="atLeast"/>
        <w:jc w:val="both"/>
        <w:rPr>
          <w:rFonts w:cstheme="minorHAnsi"/>
        </w:rPr>
      </w:pPr>
      <w:r>
        <w:rPr>
          <w:rFonts w:cstheme="minorHAnsi"/>
        </w:rPr>
        <w:t xml:space="preserve">Viene </w:t>
      </w:r>
      <w:r w:rsidR="007E24FC" w:rsidRPr="006B0B81">
        <w:rPr>
          <w:rFonts w:cstheme="minorHAnsi"/>
        </w:rPr>
        <w:t>acco</w:t>
      </w:r>
      <w:r>
        <w:rPr>
          <w:rFonts w:cstheme="minorHAnsi"/>
        </w:rPr>
        <w:t xml:space="preserve">lta </w:t>
      </w:r>
      <w:r w:rsidR="007E24FC" w:rsidRPr="006B0B81">
        <w:rPr>
          <w:rFonts w:cstheme="minorHAnsi"/>
        </w:rPr>
        <w:t>la sollecitazione proveniente dai Comuni, riguardo alla necessità di gestire le risorse per il contrasto all’emergenza abitativa su ambito sovracomunale per migliorare l’efficacia degli interventi, come già avvenuto in modo positivo nel 2018</w:t>
      </w:r>
      <w:r>
        <w:rPr>
          <w:rFonts w:cstheme="minorHAnsi"/>
        </w:rPr>
        <w:t>.</w:t>
      </w:r>
    </w:p>
    <w:p w:rsidR="00F43D53" w:rsidRPr="00F43D53" w:rsidRDefault="00F43D53" w:rsidP="007E24FC">
      <w:pPr>
        <w:spacing w:after="0" w:line="20" w:lineRule="atLeast"/>
        <w:jc w:val="both"/>
        <w:rPr>
          <w:rFonts w:cstheme="minorHAnsi"/>
          <w:b/>
        </w:rPr>
      </w:pPr>
      <w:r w:rsidRPr="00F43D53">
        <w:rPr>
          <w:rFonts w:cstheme="minorHAnsi"/>
          <w:b/>
        </w:rPr>
        <w:t xml:space="preserve">LA DISPOSIZIONE </w:t>
      </w:r>
    </w:p>
    <w:p w:rsidR="00F43D53" w:rsidRDefault="00F43D53" w:rsidP="007E24FC">
      <w:pPr>
        <w:spacing w:after="0" w:line="20" w:lineRule="atLeast"/>
        <w:jc w:val="both"/>
        <w:rPr>
          <w:rFonts w:cstheme="minorHAnsi"/>
        </w:rPr>
      </w:pPr>
      <w:r>
        <w:rPr>
          <w:rFonts w:cstheme="minorHAnsi"/>
        </w:rPr>
        <w:t xml:space="preserve">Viene </w:t>
      </w:r>
      <w:proofErr w:type="gramStart"/>
      <w:r w:rsidR="007E24FC" w:rsidRPr="006B0B81">
        <w:rPr>
          <w:rFonts w:cstheme="minorHAnsi"/>
        </w:rPr>
        <w:t>approva</w:t>
      </w:r>
      <w:r>
        <w:rPr>
          <w:rFonts w:cstheme="minorHAnsi"/>
        </w:rPr>
        <w:t xml:space="preserve">to </w:t>
      </w:r>
      <w:r w:rsidR="007E24FC" w:rsidRPr="006B0B81">
        <w:rPr>
          <w:rFonts w:cstheme="minorHAnsi"/>
        </w:rPr>
        <w:t xml:space="preserve"> l’Allegato</w:t>
      </w:r>
      <w:proofErr w:type="gramEnd"/>
      <w:r w:rsidR="007E24FC" w:rsidRPr="006B0B81">
        <w:rPr>
          <w:rFonts w:cstheme="minorHAnsi"/>
        </w:rPr>
        <w:t xml:space="preserve"> 1 «Linee Guida per interventi volti al contenimento dell’emergenza abitativa e al mantenimento dell’abitazione in locazione – anno 2019»</w:t>
      </w:r>
      <w:r>
        <w:rPr>
          <w:rFonts w:cstheme="minorHAnsi"/>
        </w:rPr>
        <w:t>.</w:t>
      </w:r>
    </w:p>
    <w:p w:rsidR="00F43D53" w:rsidRDefault="00F43D53" w:rsidP="007E24FC">
      <w:pPr>
        <w:spacing w:after="0" w:line="20" w:lineRule="atLeast"/>
        <w:jc w:val="both"/>
        <w:rPr>
          <w:rFonts w:cstheme="minorHAnsi"/>
        </w:rPr>
      </w:pPr>
      <w:r>
        <w:rPr>
          <w:rFonts w:cstheme="minorHAnsi"/>
        </w:rPr>
        <w:t>P</w:t>
      </w:r>
      <w:r w:rsidR="007E24FC" w:rsidRPr="006B0B81">
        <w:rPr>
          <w:rFonts w:cstheme="minorHAnsi"/>
        </w:rPr>
        <w:t xml:space="preserve">er l’anno 2019 le risorse sono pari a complessivi € 6.445.324,00 a valere </w:t>
      </w:r>
    </w:p>
    <w:p w:rsidR="00F43D53" w:rsidRDefault="007E24FC" w:rsidP="007E24FC">
      <w:pPr>
        <w:spacing w:after="0" w:line="20" w:lineRule="atLeast"/>
        <w:jc w:val="both"/>
        <w:rPr>
          <w:rFonts w:cstheme="minorHAnsi"/>
        </w:rPr>
      </w:pPr>
      <w:r w:rsidRPr="006B0B81">
        <w:rPr>
          <w:rFonts w:cstheme="minorHAnsi"/>
        </w:rPr>
        <w:t xml:space="preserve">Allegato 1 </w:t>
      </w:r>
    </w:p>
    <w:p w:rsidR="00F43D53" w:rsidRDefault="007E24FC" w:rsidP="007E24FC">
      <w:pPr>
        <w:spacing w:after="0" w:line="20" w:lineRule="atLeast"/>
        <w:jc w:val="both"/>
        <w:rPr>
          <w:rFonts w:cstheme="minorHAnsi"/>
        </w:rPr>
      </w:pPr>
      <w:r w:rsidRPr="006B0B81">
        <w:rPr>
          <w:rFonts w:cstheme="minorHAnsi"/>
        </w:rPr>
        <w:t xml:space="preserve">LINEE GUIDA PER INTERVENTI VOLTI AL CONTENIMENTO DELL’EMERGENZA ABITATIVA E AL MANTENIMENTO DELL’ABITAZIONE IN LOCAZIONE – ANNO 2019 </w:t>
      </w:r>
    </w:p>
    <w:p w:rsidR="00F43D53" w:rsidRDefault="007E24FC" w:rsidP="007E24FC">
      <w:pPr>
        <w:spacing w:after="0" w:line="20" w:lineRule="atLeast"/>
        <w:jc w:val="both"/>
        <w:rPr>
          <w:rFonts w:cstheme="minorHAnsi"/>
        </w:rPr>
      </w:pPr>
      <w:r w:rsidRPr="006B0B81">
        <w:rPr>
          <w:rFonts w:cstheme="minorHAnsi"/>
        </w:rPr>
        <w:t xml:space="preserve">Premessa </w:t>
      </w:r>
    </w:p>
    <w:p w:rsidR="00F43D53" w:rsidRDefault="007E24FC" w:rsidP="007E24FC">
      <w:pPr>
        <w:spacing w:after="0" w:line="20" w:lineRule="atLeast"/>
        <w:jc w:val="both"/>
        <w:rPr>
          <w:rFonts w:cstheme="minorHAnsi"/>
        </w:rPr>
      </w:pPr>
      <w:r w:rsidRPr="006B0B81">
        <w:rPr>
          <w:rFonts w:cstheme="minorHAnsi"/>
        </w:rPr>
        <w:t xml:space="preserve">Nell’ambito delle misure per il contrasto all’emergenza abitativa, Regione Lombardia ha promosso iniziative di welfare coinvolgendo i Piani di Zona e tramite essi i Comuni e altri soggetti presenti sul territorio dell’ambito. </w:t>
      </w:r>
    </w:p>
    <w:p w:rsidR="00F43D53" w:rsidRDefault="007E24FC" w:rsidP="007E24FC">
      <w:pPr>
        <w:spacing w:after="0" w:line="20" w:lineRule="atLeast"/>
        <w:jc w:val="both"/>
        <w:rPr>
          <w:rFonts w:cstheme="minorHAnsi"/>
        </w:rPr>
      </w:pPr>
      <w:r w:rsidRPr="006B0B81">
        <w:rPr>
          <w:rFonts w:cstheme="minorHAnsi"/>
        </w:rPr>
        <w:t xml:space="preserve">Lo scopo è cercare nuove soluzioni abitative, anche temporanee, che possano ridurre l’emergenza abitativa di nuclei familiari in temporanea difficoltà. </w:t>
      </w:r>
    </w:p>
    <w:p w:rsidR="00F43D53" w:rsidRDefault="007E24FC" w:rsidP="007E24FC">
      <w:pPr>
        <w:spacing w:after="0" w:line="20" w:lineRule="atLeast"/>
        <w:jc w:val="both"/>
        <w:rPr>
          <w:rFonts w:cstheme="minorHAnsi"/>
        </w:rPr>
      </w:pPr>
      <w:r w:rsidRPr="006B0B81">
        <w:rPr>
          <w:rFonts w:cstheme="minorHAnsi"/>
        </w:rPr>
        <w:t xml:space="preserve">Le linee guida hanno obiettivi specifici che sono stati monitorati attraverso indicatori di risultato, alimentati con periodicità semestrale dai Comuni o da altri Enti Capofila dei piani di zona e hanno offerti interessanti spunti di riflessione. </w:t>
      </w:r>
    </w:p>
    <w:p w:rsidR="00F43D53" w:rsidRDefault="007E24FC" w:rsidP="007E24FC">
      <w:pPr>
        <w:spacing w:after="0" w:line="20" w:lineRule="atLeast"/>
        <w:jc w:val="both"/>
        <w:rPr>
          <w:rFonts w:cstheme="minorHAnsi"/>
        </w:rPr>
      </w:pPr>
      <w:r w:rsidRPr="006B0B81">
        <w:rPr>
          <w:rFonts w:cstheme="minorHAnsi"/>
        </w:rPr>
        <w:t xml:space="preserve">I primi risultati delle misure sperimentali </w:t>
      </w:r>
    </w:p>
    <w:p w:rsidR="00F43D53" w:rsidRDefault="007E24FC" w:rsidP="007E24FC">
      <w:pPr>
        <w:spacing w:after="0" w:line="20" w:lineRule="atLeast"/>
        <w:jc w:val="both"/>
        <w:rPr>
          <w:rFonts w:cstheme="minorHAnsi"/>
        </w:rPr>
      </w:pPr>
      <w:r w:rsidRPr="006B0B81">
        <w:rPr>
          <w:rFonts w:cstheme="minorHAnsi"/>
        </w:rPr>
        <w:t xml:space="preserve">La prima DGR rivolta a piani di zona per l’attuazione delle politiche abitative (DGR n. 6465/2017) ha stanziato circa 8 mln di euro e ad oggi risultano erogati attraverso i Piani di zona ai cittadini circa l’80% delle risorse. </w:t>
      </w:r>
    </w:p>
    <w:p w:rsidR="00F43D53" w:rsidRDefault="007E24FC" w:rsidP="007E24FC">
      <w:pPr>
        <w:spacing w:after="0" w:line="20" w:lineRule="atLeast"/>
        <w:jc w:val="both"/>
        <w:rPr>
          <w:rFonts w:cstheme="minorHAnsi"/>
        </w:rPr>
      </w:pPr>
      <w:r w:rsidRPr="006B0B81">
        <w:rPr>
          <w:rFonts w:cstheme="minorHAnsi"/>
        </w:rPr>
        <w:t xml:space="preserve">Di queste risorse erogate: - il 38% è stato speso sulla Misura 2 (volta ad alleviare il disagio delle famiglie che si trovano in situazione di morosità incolpevole iniziale nel pagamento del canone di locazione, soprattutto a causa della crescente precarietà del lavoro o di precarie condizioni economiche derivanti da episodi imprevisti). - il 24% è stato speso sulla Misura 4 (volta a sostenere nuclei familiari per il mantenimento dell’alloggio in locazione, il cui reddito provenga esclusivamente da pensione). </w:t>
      </w:r>
    </w:p>
    <w:p w:rsidR="00F43D53" w:rsidRDefault="007E24FC" w:rsidP="007E24FC">
      <w:pPr>
        <w:spacing w:after="0" w:line="20" w:lineRule="atLeast"/>
        <w:jc w:val="both"/>
        <w:rPr>
          <w:rFonts w:cstheme="minorHAnsi"/>
        </w:rPr>
      </w:pPr>
      <w:r w:rsidRPr="006B0B81">
        <w:rPr>
          <w:rFonts w:cstheme="minorHAnsi"/>
        </w:rPr>
        <w:lastRenderedPageBreak/>
        <w:t xml:space="preserve">Questi dati, confermano che le misure più simili al vecchio Fondo Sostegno Affitto sono comunque le più attuate e quelle che hanno maggiore utilizzo di risorse (62% del totale). </w:t>
      </w:r>
    </w:p>
    <w:p w:rsidR="00F43D53" w:rsidRDefault="007E24FC" w:rsidP="007E24FC">
      <w:pPr>
        <w:spacing w:after="0" w:line="20" w:lineRule="atLeast"/>
        <w:jc w:val="both"/>
        <w:rPr>
          <w:rFonts w:cstheme="minorHAnsi"/>
        </w:rPr>
      </w:pPr>
      <w:r w:rsidRPr="006B0B81">
        <w:rPr>
          <w:rFonts w:cstheme="minorHAnsi"/>
        </w:rPr>
        <w:t xml:space="preserve">Una novità di questa DGR era rappresentata dall’introduzione della misura 3 – volta a sostenere temporaneamente nuclei familiari che sono proprietari di alloggio “all’asta”, a seguito di pignoramento per mancato pagamento delle rate di mutuo, e / o spese condominiali, per nuove soluzioni abitative in locazione. La richiesta di forme di aiuto per perdita della casa all’asta sta progressivamente aumentando e rappresenta una vera emergenza a cui occorre dare risposte, alla luce del crescente indebitamento delle famiglie lombarde. </w:t>
      </w:r>
    </w:p>
    <w:p w:rsidR="00F43D53" w:rsidRDefault="007E24FC" w:rsidP="007E24FC">
      <w:pPr>
        <w:spacing w:after="0" w:line="20" w:lineRule="atLeast"/>
        <w:jc w:val="both"/>
        <w:rPr>
          <w:rFonts w:cstheme="minorHAnsi"/>
        </w:rPr>
      </w:pPr>
      <w:r w:rsidRPr="006B0B81">
        <w:rPr>
          <w:rFonts w:cstheme="minorHAnsi"/>
        </w:rPr>
        <w:t xml:space="preserve">La misura 5 (volta a rimettere in circolo alloggi sfitti sul libero mercato a canone concordato o comunque inferiore al mercato) stenta a decollare, anche per la difficoltà di reperire alloggi privati disponibili. Nonostante questo, vale la pena confermare la misura, perché l’obiettivo è allargare la platea degli alloggi ad un canone inferiore al mercato. </w:t>
      </w:r>
    </w:p>
    <w:p w:rsidR="00F43D53" w:rsidRDefault="007E24FC" w:rsidP="007E24FC">
      <w:pPr>
        <w:spacing w:after="0" w:line="20" w:lineRule="atLeast"/>
        <w:jc w:val="both"/>
        <w:rPr>
          <w:rFonts w:cstheme="minorHAnsi"/>
        </w:rPr>
      </w:pPr>
      <w:r w:rsidRPr="006B0B81">
        <w:rPr>
          <w:rFonts w:cstheme="minorHAnsi"/>
        </w:rPr>
        <w:t xml:space="preserve">Occorre più tempo del previsto per queste operazioni, che comportano un radicale cambio culturale. Dall’avvio delle attività, sono stati raggiunti circa 4.000 nuclei familiari e sono 59 su 98 gli ambiti che hanno completamente terminato le risorse assegnate. </w:t>
      </w:r>
    </w:p>
    <w:p w:rsidR="00F43D53" w:rsidRDefault="007E24FC" w:rsidP="007E24FC">
      <w:pPr>
        <w:spacing w:after="0" w:line="20" w:lineRule="atLeast"/>
        <w:jc w:val="both"/>
        <w:rPr>
          <w:rFonts w:cstheme="minorHAnsi"/>
        </w:rPr>
      </w:pPr>
      <w:r w:rsidRPr="006B0B81">
        <w:rPr>
          <w:rFonts w:cstheme="minorHAnsi"/>
        </w:rPr>
        <w:t xml:space="preserve">Il costante monitoraggio semestrale delle attività svolte dagli Enti capofila ha messo in evidenza che dopo la sperimentazione con le prime linee guida del 2016 e del 2017, con la annualità 2018 gli ambiti hanno incrementato la velocità di spesa. </w:t>
      </w:r>
    </w:p>
    <w:p w:rsidR="00F43D53" w:rsidRDefault="007E24FC" w:rsidP="007E24FC">
      <w:pPr>
        <w:spacing w:after="0" w:line="20" w:lineRule="atLeast"/>
        <w:jc w:val="both"/>
        <w:rPr>
          <w:rFonts w:cstheme="minorHAnsi"/>
        </w:rPr>
      </w:pPr>
      <w:r w:rsidRPr="006B0B81">
        <w:rPr>
          <w:rFonts w:cstheme="minorHAnsi"/>
        </w:rPr>
        <w:t xml:space="preserve">Questo è in parte dovuto al fatto che si sono creati “uffici” dedicati alle politiche abitative, a livello di territoriale, grazie alle risorse dedicate alle spese di gestione. </w:t>
      </w:r>
    </w:p>
    <w:p w:rsidR="007E24FC" w:rsidRDefault="007E24FC" w:rsidP="007E24FC">
      <w:pPr>
        <w:spacing w:after="0" w:line="20" w:lineRule="atLeast"/>
        <w:jc w:val="both"/>
        <w:rPr>
          <w:rFonts w:cstheme="minorHAnsi"/>
        </w:rPr>
      </w:pPr>
      <w:r w:rsidRPr="006B0B81">
        <w:rPr>
          <w:rFonts w:cstheme="minorHAnsi"/>
        </w:rPr>
        <w:t xml:space="preserve">Con le risorse della DGR 606/2018, da novembre 2018 a oggi sono stati raggiunti circa 1700 nuclei familiari in difficoltà, il 42% delle risorse erogate ai Capofila è stato utilizzato e sono già 25 gli ambiti che hanno completamente terminato le risorse assegnate. TABELLA 1: Esiti Interventi DGR 6465/2017 - € 8.520.000,00 Misura 1 Misura 2 Misura 3 Misura 4 Misura 5 Totale N. nuclei beneficiari/domande finanziate 190 1.940 240 1.310 250 3.930 Risorse erogate dagli Ambiti € 806.530 € 2.407.730 € 616.620 € </w:t>
      </w:r>
      <w:r w:rsidR="00F43D53">
        <w:rPr>
          <w:rFonts w:cstheme="minorHAnsi"/>
        </w:rPr>
        <w:t>1.550.060 € 934.560 € 6.315.500</w:t>
      </w:r>
      <w:r w:rsidRPr="006B0B81">
        <w:rPr>
          <w:rFonts w:cstheme="minorHAnsi"/>
        </w:rPr>
        <w:t xml:space="preserve"> </w:t>
      </w:r>
    </w:p>
    <w:p w:rsidR="00F43D53" w:rsidRPr="006B0B81" w:rsidRDefault="00F43D53" w:rsidP="007E24FC">
      <w:pPr>
        <w:spacing w:after="0" w:line="20" w:lineRule="atLeast"/>
        <w:jc w:val="both"/>
        <w:rPr>
          <w:rFonts w:cstheme="minorHAnsi"/>
        </w:rPr>
      </w:pPr>
    </w:p>
    <w:p w:rsidR="007E24FC" w:rsidRPr="00F43D53" w:rsidRDefault="00F43D53" w:rsidP="00F43D53">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color w:val="000000"/>
        </w:rPr>
      </w:pPr>
      <w:r w:rsidRPr="00F43D53">
        <w:rPr>
          <w:rFonts w:cstheme="minorHAnsi"/>
          <w:b/>
          <w:color w:val="000000"/>
        </w:rPr>
        <w:t>FAMIGLIA</w:t>
      </w:r>
    </w:p>
    <w:p w:rsidR="00F43D53" w:rsidRDefault="00F43D53" w:rsidP="007E24FC">
      <w:pPr>
        <w:autoSpaceDE w:val="0"/>
        <w:autoSpaceDN w:val="0"/>
        <w:adjustRightInd w:val="0"/>
        <w:spacing w:after="0" w:line="20" w:lineRule="atLeast"/>
        <w:jc w:val="both"/>
        <w:rPr>
          <w:rFonts w:cstheme="minorHAnsi"/>
          <w:color w:val="000000"/>
        </w:rPr>
      </w:pPr>
    </w:p>
    <w:p w:rsidR="002C33CD" w:rsidRDefault="00694535" w:rsidP="002C33CD">
      <w:pPr>
        <w:spacing w:after="0" w:line="20" w:lineRule="atLeast"/>
        <w:jc w:val="both"/>
        <w:rPr>
          <w:rFonts w:cstheme="minorHAnsi"/>
        </w:rPr>
      </w:pPr>
      <w:r w:rsidRPr="00F43D53">
        <w:rPr>
          <w:rFonts w:cstheme="minorHAnsi"/>
          <w:b/>
        </w:rPr>
        <w:t>D</w:t>
      </w:r>
      <w:r w:rsidR="00F43D53" w:rsidRPr="00F43D53">
        <w:rPr>
          <w:rFonts w:cstheme="minorHAnsi"/>
          <w:b/>
        </w:rPr>
        <w:t xml:space="preserve">GR </w:t>
      </w:r>
      <w:r w:rsidRPr="00F43D53">
        <w:rPr>
          <w:rFonts w:cstheme="minorHAnsi"/>
          <w:b/>
        </w:rPr>
        <w:t xml:space="preserve"> 31 luglio </w:t>
      </w:r>
      <w:proofErr w:type="gramStart"/>
      <w:r w:rsidRPr="00F43D53">
        <w:rPr>
          <w:rFonts w:cstheme="minorHAnsi"/>
          <w:b/>
        </w:rPr>
        <w:t>2019</w:t>
      </w:r>
      <w:r w:rsidR="00F43D53" w:rsidRPr="00F43D53">
        <w:rPr>
          <w:rFonts w:cstheme="minorHAnsi"/>
          <w:b/>
        </w:rPr>
        <w:t xml:space="preserve">, </w:t>
      </w:r>
      <w:r w:rsidRPr="00F43D53">
        <w:rPr>
          <w:rFonts w:cstheme="minorHAnsi"/>
          <w:b/>
        </w:rPr>
        <w:t xml:space="preserve"> n.</w:t>
      </w:r>
      <w:proofErr w:type="gramEnd"/>
      <w:r w:rsidRPr="00F43D53">
        <w:rPr>
          <w:rFonts w:cstheme="minorHAnsi"/>
          <w:b/>
        </w:rPr>
        <w:t xml:space="preserve"> XI/2023</w:t>
      </w:r>
      <w:r w:rsidR="00F43D53" w:rsidRPr="00F43D53">
        <w:rPr>
          <w:rFonts w:cstheme="minorHAnsi"/>
          <w:b/>
        </w:rPr>
        <w:t>,</w:t>
      </w:r>
      <w:r w:rsidR="00F43D53">
        <w:rPr>
          <w:rFonts w:cstheme="minorHAnsi"/>
        </w:rPr>
        <w:t xml:space="preserve"> </w:t>
      </w:r>
      <w:r w:rsidRPr="006B0B81">
        <w:rPr>
          <w:rFonts w:cstheme="minorHAnsi"/>
        </w:rPr>
        <w:t xml:space="preserve"> Fondo nazionale per le politiche della famiglia anno 2019 - d.m. 30 aprile 2019: destinazione delle risorse</w:t>
      </w:r>
      <w:r w:rsidR="002C33CD">
        <w:rPr>
          <w:rFonts w:cstheme="minorHAnsi"/>
        </w:rPr>
        <w:t xml:space="preserve">. </w:t>
      </w:r>
      <w:r w:rsidR="002C33CD" w:rsidRPr="006B0B81">
        <w:rPr>
          <w:rFonts w:cstheme="minorHAnsi"/>
        </w:rPr>
        <w:t xml:space="preserve">(BUR n. 32 del </w:t>
      </w:r>
      <w:r w:rsidR="002C33CD">
        <w:rPr>
          <w:rFonts w:cstheme="minorHAnsi"/>
        </w:rPr>
        <w:t>9</w:t>
      </w:r>
      <w:r w:rsidR="002C33CD" w:rsidRPr="006B0B81">
        <w:rPr>
          <w:rFonts w:cstheme="minorHAnsi"/>
        </w:rPr>
        <w:t>.8.19)</w:t>
      </w:r>
    </w:p>
    <w:p w:rsidR="003F613F" w:rsidRPr="003F613F" w:rsidRDefault="003F613F" w:rsidP="00694535">
      <w:pPr>
        <w:spacing w:after="0" w:line="20" w:lineRule="atLeast"/>
        <w:jc w:val="both"/>
        <w:rPr>
          <w:rFonts w:cstheme="minorHAnsi"/>
          <w:b/>
        </w:rPr>
      </w:pPr>
      <w:r w:rsidRPr="003F613F">
        <w:rPr>
          <w:rFonts w:cstheme="minorHAnsi"/>
          <w:b/>
        </w:rPr>
        <w:t xml:space="preserve">RIFERIMENTI NORMATIVI ED AMMINISTRATIVI </w:t>
      </w:r>
    </w:p>
    <w:p w:rsidR="003F613F" w:rsidRDefault="003F613F" w:rsidP="00694535">
      <w:pPr>
        <w:spacing w:after="0" w:line="20" w:lineRule="atLeast"/>
        <w:jc w:val="both"/>
        <w:rPr>
          <w:rFonts w:cstheme="minorHAnsi"/>
        </w:rPr>
      </w:pPr>
      <w:r>
        <w:rPr>
          <w:rFonts w:cstheme="minorHAnsi"/>
        </w:rPr>
        <w:t>L</w:t>
      </w:r>
      <w:r w:rsidR="00694535" w:rsidRPr="006B0B81">
        <w:rPr>
          <w:rFonts w:cstheme="minorHAnsi"/>
        </w:rPr>
        <w:t>’art. 2, comma 4, lett. b) dello Statuto d’autonomia della Regione Lombardia in base al quale la Regione tutela la famiglia, come riconosciuta dalla Costituzione, con adeguate politiche sociali, economiche e fiscali, avendo particolare riguardo ai figli, alla funzione educativa e alla cura delle persone anziane</w:t>
      </w:r>
      <w:r>
        <w:rPr>
          <w:rFonts w:cstheme="minorHAnsi"/>
        </w:rPr>
        <w:t>.</w:t>
      </w:r>
    </w:p>
    <w:p w:rsidR="003F613F" w:rsidRDefault="003F613F" w:rsidP="00694535">
      <w:pPr>
        <w:spacing w:after="0" w:line="20" w:lineRule="atLeast"/>
        <w:jc w:val="both"/>
        <w:rPr>
          <w:rFonts w:cstheme="minorHAnsi"/>
        </w:rPr>
      </w:pPr>
      <w:r>
        <w:rPr>
          <w:rFonts w:cstheme="minorHAnsi"/>
        </w:rPr>
        <w:t>L</w:t>
      </w:r>
      <w:r w:rsidR="00694535" w:rsidRPr="006B0B81">
        <w:rPr>
          <w:rFonts w:cstheme="minorHAnsi"/>
        </w:rPr>
        <w:t xml:space="preserve">e leggi regionali: </w:t>
      </w:r>
    </w:p>
    <w:p w:rsidR="003F613F" w:rsidRDefault="00694535" w:rsidP="00694535">
      <w:pPr>
        <w:spacing w:after="0" w:line="20" w:lineRule="atLeast"/>
        <w:jc w:val="both"/>
        <w:rPr>
          <w:rFonts w:cstheme="minorHAnsi"/>
        </w:rPr>
      </w:pPr>
      <w:r w:rsidRPr="006B0B81">
        <w:rPr>
          <w:rFonts w:cstheme="minorHAnsi"/>
        </w:rPr>
        <w:t xml:space="preserve">• la l. r. 6 dicembre 1999, n. 23 «Politiche regionali per la famiglia»; </w:t>
      </w:r>
    </w:p>
    <w:p w:rsidR="003F613F" w:rsidRDefault="00694535" w:rsidP="00694535">
      <w:pPr>
        <w:spacing w:after="0" w:line="20" w:lineRule="atLeast"/>
        <w:jc w:val="both"/>
        <w:rPr>
          <w:rFonts w:cstheme="minorHAnsi"/>
        </w:rPr>
      </w:pPr>
      <w:r w:rsidRPr="006B0B81">
        <w:rPr>
          <w:rFonts w:cstheme="minorHAnsi"/>
        </w:rPr>
        <w:t>• la l.r 14 dicembre 2014, n. 34 «Politiche regionali per i minori»;</w:t>
      </w:r>
    </w:p>
    <w:p w:rsidR="003F613F" w:rsidRDefault="00694535" w:rsidP="00694535">
      <w:pPr>
        <w:spacing w:after="0" w:line="20" w:lineRule="atLeast"/>
        <w:jc w:val="both"/>
        <w:rPr>
          <w:rFonts w:cstheme="minorHAnsi"/>
        </w:rPr>
      </w:pPr>
      <w:r w:rsidRPr="006B0B81">
        <w:rPr>
          <w:rFonts w:cstheme="minorHAnsi"/>
        </w:rPr>
        <w:t xml:space="preserve"> • la l. r. 12 marzo 2008 n. 3 «Governo della rete degli interventi e dei servizi alla persona in ambito sociale» ed in particolare l’articolo 11 che prevede che Regione Lombardia possa promuovere e sostenere unità di offerta innovative che comprendono altresì interventi di sostegno economico alle persone</w:t>
      </w:r>
      <w:r w:rsidR="003F613F">
        <w:rPr>
          <w:rFonts w:cstheme="minorHAnsi"/>
        </w:rPr>
        <w:t>.</w:t>
      </w:r>
    </w:p>
    <w:p w:rsidR="003F613F" w:rsidRDefault="003F613F" w:rsidP="00694535">
      <w:pPr>
        <w:spacing w:after="0" w:line="20" w:lineRule="atLeast"/>
        <w:jc w:val="both"/>
        <w:rPr>
          <w:rFonts w:cstheme="minorHAnsi"/>
        </w:rPr>
      </w:pPr>
      <w:r>
        <w:rPr>
          <w:rFonts w:cstheme="minorHAnsi"/>
        </w:rPr>
        <w:t>G</w:t>
      </w:r>
      <w:r w:rsidR="00694535" w:rsidRPr="006B0B81">
        <w:rPr>
          <w:rFonts w:cstheme="minorHAnsi"/>
        </w:rPr>
        <w:t>li atti di programmazione strategica regionale ed in particolare il Programma Regionale di Sviluppo dell’XI legislatura approvato con d.c.r. XI/64 del 10 luglio 2018 che nell'Area Sociale valorizza e promuove il valore sociale della famiglia, creando interventi coordinati e di sistema in risposta alle varie e mutevoli esigenze familiari, anche attraverso il sostegno e il finanziamento di iniziative finalizzate, e la definizione di misure anche economiche volte a facilitare i percorsi di crescita all’interno del contesto famigliare</w:t>
      </w:r>
      <w:r>
        <w:rPr>
          <w:rFonts w:cstheme="minorHAnsi"/>
        </w:rPr>
        <w:t>,</w:t>
      </w:r>
    </w:p>
    <w:p w:rsidR="003F613F" w:rsidRDefault="003F613F" w:rsidP="00694535">
      <w:pPr>
        <w:spacing w:after="0" w:line="20" w:lineRule="atLeast"/>
        <w:jc w:val="both"/>
        <w:rPr>
          <w:rFonts w:cstheme="minorHAnsi"/>
        </w:rPr>
      </w:pPr>
      <w:r>
        <w:rPr>
          <w:rFonts w:cstheme="minorHAnsi"/>
        </w:rPr>
        <w:t>L</w:t>
      </w:r>
      <w:r w:rsidR="00694535" w:rsidRPr="006B0B81">
        <w:rPr>
          <w:rFonts w:cstheme="minorHAnsi"/>
        </w:rPr>
        <w:t>’art. 2, comma 1, lett. A) della l.r. 33/2009 come modificata dalla l.r. 23/2015, che prevede che la programmazione, la gestione e l’organizzazione del SSR, si conformino, tra gli altri, al principio di centralità del ruolo della famiglia</w:t>
      </w:r>
      <w:r>
        <w:rPr>
          <w:rFonts w:cstheme="minorHAnsi"/>
        </w:rPr>
        <w:t>.</w:t>
      </w:r>
    </w:p>
    <w:p w:rsidR="003F613F" w:rsidRDefault="003F613F" w:rsidP="00694535">
      <w:pPr>
        <w:spacing w:after="0" w:line="20" w:lineRule="atLeast"/>
        <w:jc w:val="both"/>
        <w:rPr>
          <w:rFonts w:cstheme="minorHAnsi"/>
        </w:rPr>
      </w:pPr>
      <w:r>
        <w:rPr>
          <w:rFonts w:cstheme="minorHAnsi"/>
        </w:rPr>
        <w:t xml:space="preserve">DGR </w:t>
      </w:r>
      <w:r w:rsidR="00694535" w:rsidRPr="006B0B81">
        <w:rPr>
          <w:rFonts w:cstheme="minorHAnsi"/>
        </w:rPr>
        <w:t xml:space="preserve">29 aprile 2016 - n. X/5113, nella parte in cui prevede che, nelle ATS, il Dipartimento della programmazione per l’integrazione delle prestazioni sociosanitarie con quelle sociali di cui all’art. 6 della l.r. 33/2009 come modificata dalla l.r. 23/2015, promuove, sviluppa e monitora, le progettualità finalizzate ad </w:t>
      </w:r>
      <w:r w:rsidR="00694535" w:rsidRPr="006B0B81">
        <w:rPr>
          <w:rFonts w:cstheme="minorHAnsi"/>
        </w:rPr>
        <w:lastRenderedPageBreak/>
        <w:t xml:space="preserve">assicurare la continuità assistenziale e l’appropriata collocazione delle persone, in particolare dei soggetti fragili, all’interno delle reti di servizi, che, tra l’altro, comprendono: </w:t>
      </w:r>
    </w:p>
    <w:p w:rsidR="003F613F" w:rsidRDefault="00694535" w:rsidP="00694535">
      <w:pPr>
        <w:spacing w:after="0" w:line="20" w:lineRule="atLeast"/>
        <w:jc w:val="both"/>
        <w:rPr>
          <w:rFonts w:cstheme="minorHAnsi"/>
        </w:rPr>
      </w:pPr>
      <w:r w:rsidRPr="006B0B81">
        <w:rPr>
          <w:rFonts w:cstheme="minorHAnsi"/>
        </w:rPr>
        <w:t xml:space="preserve">− sperimentazioni per l’area famiglia e minori, ivi compresa l’area della tutela minorile e della neuropsichiatria infantile; </w:t>
      </w:r>
    </w:p>
    <w:p w:rsidR="003F613F" w:rsidRDefault="00694535" w:rsidP="00694535">
      <w:pPr>
        <w:spacing w:after="0" w:line="20" w:lineRule="atLeast"/>
        <w:jc w:val="both"/>
        <w:rPr>
          <w:rFonts w:cstheme="minorHAnsi"/>
        </w:rPr>
      </w:pPr>
      <w:r w:rsidRPr="006B0B81">
        <w:rPr>
          <w:rFonts w:cstheme="minorHAnsi"/>
        </w:rPr>
        <w:t xml:space="preserve">− gli interventi di conciliazione famiglia lavoro; </w:t>
      </w:r>
    </w:p>
    <w:p w:rsidR="003F613F" w:rsidRDefault="00694535" w:rsidP="00694535">
      <w:pPr>
        <w:spacing w:after="0" w:line="20" w:lineRule="atLeast"/>
        <w:jc w:val="both"/>
        <w:rPr>
          <w:rFonts w:cstheme="minorHAnsi"/>
        </w:rPr>
      </w:pPr>
      <w:r w:rsidRPr="006B0B81">
        <w:rPr>
          <w:rFonts w:cstheme="minorHAnsi"/>
        </w:rPr>
        <w:t xml:space="preserve">− altri interventi regionali (quali ad esempio bonus bebè, Nasko, bonus famiglia, altre sperimentazioni, ecc.) </w:t>
      </w:r>
      <w:r w:rsidR="003F613F">
        <w:rPr>
          <w:rFonts w:cstheme="minorHAnsi"/>
        </w:rPr>
        <w:t>L</w:t>
      </w:r>
      <w:r w:rsidRPr="006B0B81">
        <w:rPr>
          <w:rFonts w:cstheme="minorHAnsi"/>
        </w:rPr>
        <w:t xml:space="preserve">e seguenti deliberazioni approvate dalla Giunta regionale, di istituzione di iniziative a sostegno della famiglia, rientranti nell’ambito della tipologia di interventi esemplificati dalla d.g.r. 29 aprile 2016, n. X/5113 con riferimento alla Funzione di coordinamento e monitoraggio delle progettualità innovative prevista in capo al Dipartimento della Programmazione per l’integrazione delle prestazioni sociosanitarie con quelle sociali di cui all’art. 6 della l.r. 33/2009, come modificata dalla l.r. 23/2015, e precisamente: </w:t>
      </w:r>
    </w:p>
    <w:p w:rsidR="003F613F" w:rsidRDefault="00694535" w:rsidP="00694535">
      <w:pPr>
        <w:spacing w:after="0" w:line="20" w:lineRule="atLeast"/>
        <w:jc w:val="both"/>
        <w:rPr>
          <w:rFonts w:cstheme="minorHAnsi"/>
        </w:rPr>
      </w:pPr>
      <w:r w:rsidRPr="006B0B81">
        <w:rPr>
          <w:rFonts w:cstheme="minorHAnsi"/>
        </w:rPr>
        <w:t xml:space="preserve">− d.g.r. n. 7602 del 20 dicembre 2017 «Implementazione di percorsi territoriali attraverso la realizzazione di un modello d’intervento flessibile e integrato con le risorse del territorio, in risposta alle difficoltà e alle problematiche di disagio sociale di giovani e adolescenti e delle loro famiglie»; </w:t>
      </w:r>
    </w:p>
    <w:p w:rsidR="003F613F" w:rsidRDefault="00694535" w:rsidP="00694535">
      <w:pPr>
        <w:spacing w:after="0" w:line="20" w:lineRule="atLeast"/>
        <w:jc w:val="both"/>
        <w:rPr>
          <w:rFonts w:cstheme="minorHAnsi"/>
        </w:rPr>
      </w:pPr>
      <w:r w:rsidRPr="006B0B81">
        <w:rPr>
          <w:rFonts w:cstheme="minorHAnsi"/>
        </w:rPr>
        <w:t>− d.g.r. n. 539 del 17 settembre 2018 «Interventi per la prevenzione e il contrasto al fenomeno del bullismo e cyberbullismo – approvazione dello schema di convenzione con l’Ufficio Scolastico Regionale per la Lombardia per l’attuazione della linea di intervento «Bullout» per l’anno scolastico 2018-2019 – l.r. 1/2017»; − d.g.r. n. 644 del 16 ottobre 2018 «Interventi di sostegno abitativo a favore dei coniugi separati o divorziati in condizioni di disagio economico (art. 5 l.r. 24 giugno 2014, n. 18): integrazione e proroga d.g.r. n. 7545 del 1° dicembre 2017;</w:t>
      </w:r>
    </w:p>
    <w:p w:rsidR="003F613F" w:rsidRDefault="00694535" w:rsidP="00694535">
      <w:pPr>
        <w:spacing w:after="0" w:line="20" w:lineRule="atLeast"/>
        <w:jc w:val="both"/>
        <w:rPr>
          <w:rFonts w:cstheme="minorHAnsi"/>
        </w:rPr>
      </w:pPr>
      <w:r w:rsidRPr="006B0B81">
        <w:rPr>
          <w:rFonts w:cstheme="minorHAnsi"/>
        </w:rPr>
        <w:t xml:space="preserve">− d.g.r. n. 681 del 24 ottobre 2018 «Interventi a favore di giovani e adulti disabili ovvero minori e giovani con disturbi specifici dell’apprendimento (DSA) per l’acquisizione di ausili o strumenti tecnologicamente avanzati – l.r. 23/1999 e l.r. 4/2010 – anno 2018/2019»; </w:t>
      </w:r>
    </w:p>
    <w:p w:rsidR="003F613F" w:rsidRDefault="00694535" w:rsidP="00694535">
      <w:pPr>
        <w:spacing w:after="0" w:line="20" w:lineRule="atLeast"/>
        <w:jc w:val="both"/>
        <w:rPr>
          <w:rFonts w:cstheme="minorHAnsi"/>
        </w:rPr>
      </w:pPr>
      <w:r w:rsidRPr="006B0B81">
        <w:rPr>
          <w:rFonts w:cstheme="minorHAnsi"/>
        </w:rPr>
        <w:t xml:space="preserve">− d.g.r. n. 859 del 26 novembre 2018 «Bonus famiglia: approvazione dei nuovi requisiti di accesso e attivazione della misura per il periodo 1° gennaio 2019 - 30 giugno 2019 nell’ambito del più generale percorso di riforma degli interventi a favore della Famiglia di cui alla l.r. 23/99»; </w:t>
      </w:r>
    </w:p>
    <w:p w:rsidR="003F613F" w:rsidRDefault="00694535" w:rsidP="00694535">
      <w:pPr>
        <w:spacing w:after="0" w:line="20" w:lineRule="atLeast"/>
        <w:jc w:val="both"/>
        <w:rPr>
          <w:rFonts w:cstheme="minorHAnsi"/>
        </w:rPr>
      </w:pPr>
      <w:r w:rsidRPr="006B0B81">
        <w:rPr>
          <w:rFonts w:cstheme="minorHAnsi"/>
        </w:rPr>
        <w:t xml:space="preserve">d.g.r. n. 914 del 3 dicembre 2018 «Sostegno agli sportelli per l'assistenza familiare e istituzione del “bonus assistenti familiari” in attuazione della l.r 15/2015 “Interventi a favore del lavoro di assistenza e cura svolto dagli assistenti familiari”»; </w:t>
      </w:r>
    </w:p>
    <w:p w:rsidR="003F613F" w:rsidRDefault="00694535" w:rsidP="00694535">
      <w:pPr>
        <w:spacing w:after="0" w:line="20" w:lineRule="atLeast"/>
        <w:jc w:val="both"/>
        <w:rPr>
          <w:rFonts w:cstheme="minorHAnsi"/>
        </w:rPr>
      </w:pPr>
      <w:r w:rsidRPr="006B0B81">
        <w:rPr>
          <w:rFonts w:cstheme="minorHAnsi"/>
        </w:rPr>
        <w:t xml:space="preserve">− d.g.r. n. 915 del 3 dicembre 2018 «Applicazione del Fattore Famiglia Lombardo ai sensi della l.r. 10/2017 – anno 2018»; </w:t>
      </w:r>
    </w:p>
    <w:p w:rsidR="003F613F" w:rsidRDefault="00694535" w:rsidP="00694535">
      <w:pPr>
        <w:spacing w:after="0" w:line="20" w:lineRule="atLeast"/>
        <w:jc w:val="both"/>
        <w:rPr>
          <w:rFonts w:cstheme="minorHAnsi"/>
        </w:rPr>
      </w:pPr>
      <w:r w:rsidRPr="006B0B81">
        <w:rPr>
          <w:rFonts w:cstheme="minorHAnsi"/>
        </w:rPr>
        <w:t xml:space="preserve">− d.g.r. n.  1638 del 20 </w:t>
      </w:r>
      <w:proofErr w:type="gramStart"/>
      <w:r w:rsidRPr="006B0B81">
        <w:rPr>
          <w:rFonts w:cstheme="minorHAnsi"/>
        </w:rPr>
        <w:t>maggio  2019</w:t>
      </w:r>
      <w:proofErr w:type="gramEnd"/>
      <w:r w:rsidRPr="006B0B81">
        <w:rPr>
          <w:rFonts w:cstheme="minorHAnsi"/>
        </w:rPr>
        <w:t xml:space="preserve">  «Legge regionale 6 dicembre 2018, n.  18 “Iniziative a favore dei minori che frequentano nidi e micro nidi”: approvazione delle modalità di attuazione e riparto delle risorse alle ATS -anno 2019/2020»; </w:t>
      </w:r>
    </w:p>
    <w:p w:rsidR="003F613F" w:rsidRDefault="00694535" w:rsidP="00694535">
      <w:pPr>
        <w:spacing w:after="0" w:line="20" w:lineRule="atLeast"/>
        <w:jc w:val="both"/>
        <w:rPr>
          <w:rFonts w:cstheme="minorHAnsi"/>
        </w:rPr>
      </w:pPr>
      <w:r w:rsidRPr="006B0B81">
        <w:rPr>
          <w:rFonts w:cstheme="minorHAnsi"/>
        </w:rPr>
        <w:t xml:space="preserve">− d.g.r. n. 1829 del 2 luglio 2019 «Azioni per la qualità della vita e l’inclusione sociale delle persone sottoposte a terapia oncologica. </w:t>
      </w:r>
      <w:proofErr w:type="gramStart"/>
      <w:r w:rsidRPr="006B0B81">
        <w:rPr>
          <w:rFonts w:cstheme="minorHAnsi"/>
        </w:rPr>
        <w:t>nuove</w:t>
      </w:r>
      <w:proofErr w:type="gramEnd"/>
      <w:r w:rsidRPr="006B0B81">
        <w:rPr>
          <w:rFonts w:cstheme="minorHAnsi"/>
        </w:rPr>
        <w:t xml:space="preserve"> modalità di attuazione»</w:t>
      </w:r>
    </w:p>
    <w:p w:rsidR="003F613F" w:rsidRDefault="003F613F" w:rsidP="00694535">
      <w:pPr>
        <w:spacing w:after="0" w:line="20" w:lineRule="atLeast"/>
        <w:jc w:val="both"/>
        <w:rPr>
          <w:rFonts w:cstheme="minorHAnsi"/>
        </w:rPr>
      </w:pPr>
      <w:r>
        <w:rPr>
          <w:rFonts w:cstheme="minorHAnsi"/>
        </w:rPr>
        <w:t>D</w:t>
      </w:r>
      <w:r w:rsidR="00694535" w:rsidRPr="006B0B81">
        <w:rPr>
          <w:rFonts w:cstheme="minorHAnsi"/>
        </w:rPr>
        <w:t>ecreto del Dipartimento per le Politiche della Famiglia della Presidenza del Consiglio dei Ministri del 30 aprile 2019, approvato a seguito dell’Intesa in Conferenza Unificata – Atti rep. N. 30/CU del 17 aprile 2019, che definisce il riparto del Fondo per le politiche della famiglia - anno 2019 mediante uno stanziamento di euro 15.000.000,00 per le attività di competenza regionale, di cui euro 2.122.500,00 assegnati a Regione Lombardia</w:t>
      </w:r>
      <w:r>
        <w:rPr>
          <w:rFonts w:cstheme="minorHAnsi"/>
        </w:rPr>
        <w:t>.</w:t>
      </w:r>
    </w:p>
    <w:p w:rsidR="003F613F" w:rsidRDefault="003F613F" w:rsidP="00694535">
      <w:pPr>
        <w:spacing w:after="0" w:line="20" w:lineRule="atLeast"/>
        <w:jc w:val="both"/>
        <w:rPr>
          <w:rFonts w:cstheme="minorHAnsi"/>
        </w:rPr>
      </w:pPr>
      <w:r>
        <w:rPr>
          <w:rFonts w:cstheme="minorHAnsi"/>
        </w:rPr>
        <w:t>I</w:t>
      </w:r>
      <w:r w:rsidR="00694535" w:rsidRPr="006B0B81">
        <w:rPr>
          <w:rFonts w:cstheme="minorHAnsi"/>
        </w:rPr>
        <w:t xml:space="preserve">l citato decreto dispone all’art. 3, c. 1 l’utilizzo delle risorse per il finanziamento di «interventi di competenza regionale e degli enti locali volti a favorire la natalità anche con carattere di innovatività rispetto alle misure previste a livello nazionale. </w:t>
      </w:r>
    </w:p>
    <w:p w:rsidR="003F613F" w:rsidRDefault="00694535" w:rsidP="00694535">
      <w:pPr>
        <w:spacing w:after="0" w:line="20" w:lineRule="atLeast"/>
        <w:jc w:val="both"/>
        <w:rPr>
          <w:rFonts w:cstheme="minorHAnsi"/>
        </w:rPr>
      </w:pPr>
      <w:r w:rsidRPr="006B0B81">
        <w:rPr>
          <w:rFonts w:cstheme="minorHAnsi"/>
        </w:rPr>
        <w:t>Gli interventi potranno essere volti al supporto delle attività svolte dai Centri per le famiglie e nell’ambito delle competenze sociali dei consultori, a sostegno della natalità, nonché a supporto della genitorialità»; Considerato inoltre che il citato decreto dispone all’art. 3, c. 4 l’impegno per le Regioni di cofinanziare i progetti/attività per un importo pari ad almeno il 20% del finanziamento assegnato, pari quindi a euro 424.500.00, in relazione al finanziamento assegnato a Regione Lombardia</w:t>
      </w:r>
      <w:r w:rsidR="003F613F">
        <w:rPr>
          <w:rFonts w:cstheme="minorHAnsi"/>
        </w:rPr>
        <w:t>.</w:t>
      </w:r>
    </w:p>
    <w:p w:rsidR="003F613F" w:rsidRPr="003F613F" w:rsidRDefault="003F613F" w:rsidP="00694535">
      <w:pPr>
        <w:spacing w:after="0" w:line="20" w:lineRule="atLeast"/>
        <w:jc w:val="both"/>
        <w:rPr>
          <w:rFonts w:cstheme="minorHAnsi"/>
          <w:b/>
        </w:rPr>
      </w:pPr>
      <w:r w:rsidRPr="003F613F">
        <w:rPr>
          <w:rFonts w:cstheme="minorHAnsi"/>
          <w:b/>
        </w:rPr>
        <w:t xml:space="preserve">LA DISPOSIZIONE </w:t>
      </w:r>
    </w:p>
    <w:p w:rsidR="003F613F" w:rsidRDefault="003F613F" w:rsidP="00694535">
      <w:pPr>
        <w:spacing w:after="0" w:line="20" w:lineRule="atLeast"/>
        <w:jc w:val="both"/>
        <w:rPr>
          <w:rFonts w:cstheme="minorHAnsi"/>
        </w:rPr>
      </w:pPr>
      <w:r>
        <w:rPr>
          <w:rFonts w:cstheme="minorHAnsi"/>
        </w:rPr>
        <w:t xml:space="preserve">Vengono </w:t>
      </w:r>
      <w:r w:rsidR="00694535" w:rsidRPr="006B0B81">
        <w:rPr>
          <w:rFonts w:cstheme="minorHAnsi"/>
        </w:rPr>
        <w:t>destina</w:t>
      </w:r>
      <w:r>
        <w:rPr>
          <w:rFonts w:cstheme="minorHAnsi"/>
        </w:rPr>
        <w:t>t</w:t>
      </w:r>
      <w:r w:rsidR="00694535" w:rsidRPr="006B0B81">
        <w:rPr>
          <w:rFonts w:cstheme="minorHAnsi"/>
        </w:rPr>
        <w:t>e le risorse del Fondo per le politiche della famiglia - anno 2019 e del relativo cofinanziamento regionale per complessivi euro 2.547.000,00 agli interventi declinati nell’allegato A), parte integrante e sostanziale del presente provvedimento</w:t>
      </w:r>
      <w:r>
        <w:rPr>
          <w:rFonts w:cstheme="minorHAnsi"/>
        </w:rPr>
        <w:t>.</w:t>
      </w:r>
    </w:p>
    <w:p w:rsidR="003F613F" w:rsidRDefault="003F613F" w:rsidP="00694535">
      <w:pPr>
        <w:spacing w:after="0" w:line="20" w:lineRule="atLeast"/>
        <w:jc w:val="both"/>
        <w:rPr>
          <w:rFonts w:cstheme="minorHAnsi"/>
        </w:rPr>
      </w:pPr>
      <w:proofErr w:type="gramStart"/>
      <w:r>
        <w:rPr>
          <w:rFonts w:cstheme="minorHAnsi"/>
        </w:rPr>
        <w:lastRenderedPageBreak/>
        <w:t>C</w:t>
      </w:r>
      <w:r w:rsidR="00694535" w:rsidRPr="006B0B81">
        <w:rPr>
          <w:rFonts w:cstheme="minorHAnsi"/>
        </w:rPr>
        <w:t xml:space="preserve">i </w:t>
      </w:r>
      <w:r>
        <w:rPr>
          <w:rFonts w:cstheme="minorHAnsi"/>
        </w:rPr>
        <w:t xml:space="preserve"> si</w:t>
      </w:r>
      <w:proofErr w:type="gramEnd"/>
      <w:r>
        <w:rPr>
          <w:rFonts w:cstheme="minorHAnsi"/>
        </w:rPr>
        <w:t xml:space="preserve"> </w:t>
      </w:r>
      <w:r w:rsidR="00694535" w:rsidRPr="006B0B81">
        <w:rPr>
          <w:rFonts w:cstheme="minorHAnsi"/>
        </w:rPr>
        <w:t>avvale delle Agenzie di Tutela della Salute (ATS) per l'attuazione degli interventi indicati nell’allegato A, in base alle specifiche competenze e attraverso un'azione di stretta integrazione e di collaborazione con le ASST, la rete dei consultori pubblici e privati accreditati e a contratto, con gli Ambiti territoriali dei comuni ed altri enti pubblici e con gli enti del terzo settore che operano a sostegno della famiglia presenti nei rispettivi territor</w:t>
      </w:r>
      <w:r>
        <w:rPr>
          <w:rFonts w:cstheme="minorHAnsi"/>
        </w:rPr>
        <w:t>i.</w:t>
      </w:r>
    </w:p>
    <w:p w:rsidR="003F613F" w:rsidRDefault="003F613F" w:rsidP="00694535">
      <w:pPr>
        <w:spacing w:after="0" w:line="20" w:lineRule="atLeast"/>
        <w:jc w:val="both"/>
        <w:rPr>
          <w:rFonts w:cstheme="minorHAnsi"/>
        </w:rPr>
      </w:pPr>
      <w:r>
        <w:rPr>
          <w:rFonts w:cstheme="minorHAnsi"/>
        </w:rPr>
        <w:t>L</w:t>
      </w:r>
      <w:r w:rsidR="00694535" w:rsidRPr="006B0B81">
        <w:rPr>
          <w:rFonts w:cstheme="minorHAnsi"/>
        </w:rPr>
        <w:t xml:space="preserve">e risorse relative al «Fondo per le politiche della famiglia – anno 2019» pari a euro 2.122.500,00 </w:t>
      </w:r>
    </w:p>
    <w:p w:rsidR="003F613F" w:rsidRDefault="003F613F" w:rsidP="00694535">
      <w:pPr>
        <w:spacing w:after="0" w:line="20" w:lineRule="atLeast"/>
        <w:jc w:val="both"/>
        <w:rPr>
          <w:rFonts w:cstheme="minorHAnsi"/>
        </w:rPr>
      </w:pPr>
    </w:p>
    <w:p w:rsidR="003F613F" w:rsidRDefault="00694535" w:rsidP="00694535">
      <w:pPr>
        <w:spacing w:after="0" w:line="20" w:lineRule="atLeast"/>
        <w:jc w:val="both"/>
        <w:rPr>
          <w:rFonts w:cstheme="minorHAnsi"/>
        </w:rPr>
      </w:pPr>
      <w:r w:rsidRPr="006B0B81">
        <w:rPr>
          <w:rFonts w:cstheme="minorHAnsi"/>
        </w:rPr>
        <w:t xml:space="preserve">ALLEGATO A </w:t>
      </w:r>
    </w:p>
    <w:p w:rsidR="003F613F" w:rsidRDefault="00694535" w:rsidP="00694535">
      <w:pPr>
        <w:spacing w:after="0" w:line="20" w:lineRule="atLeast"/>
        <w:jc w:val="both"/>
        <w:rPr>
          <w:rFonts w:cstheme="minorHAnsi"/>
        </w:rPr>
      </w:pPr>
      <w:r w:rsidRPr="006B0B81">
        <w:rPr>
          <w:rFonts w:cstheme="minorHAnsi"/>
        </w:rPr>
        <w:t xml:space="preserve">FONDO NAZIONALE PER LE POLITICHE DELLA FAMIGLIA ANNO 2019- DM 30.04.2019: DESTINAZIONE E CRITERI DI RIPARTO </w:t>
      </w:r>
    </w:p>
    <w:p w:rsidR="003F613F" w:rsidRDefault="00694535" w:rsidP="00694535">
      <w:pPr>
        <w:spacing w:after="0" w:line="20" w:lineRule="atLeast"/>
        <w:jc w:val="both"/>
        <w:rPr>
          <w:rFonts w:cstheme="minorHAnsi"/>
        </w:rPr>
      </w:pPr>
      <w:r w:rsidRPr="006B0B81">
        <w:rPr>
          <w:rFonts w:cstheme="minorHAnsi"/>
        </w:rPr>
        <w:t xml:space="preserve">La tabella di seguito riportata declina la finalizzazione delle risorse vincolate di cui al Decreto ministeriale del Fondo per le Politiche della Famiglia anno 2019 del 30/04/2019, definendo i relativi criteri di riparto. FINALITA’/OBIETTIVI </w:t>
      </w:r>
    </w:p>
    <w:p w:rsidR="003F613F" w:rsidRDefault="00694535" w:rsidP="00694535">
      <w:pPr>
        <w:spacing w:after="0" w:line="20" w:lineRule="atLeast"/>
        <w:jc w:val="both"/>
        <w:rPr>
          <w:rFonts w:cstheme="minorHAnsi"/>
        </w:rPr>
      </w:pPr>
      <w:r w:rsidRPr="006B0B81">
        <w:rPr>
          <w:rFonts w:cstheme="minorHAnsi"/>
        </w:rPr>
        <w:t xml:space="preserve">Sostenere le famiglie nel loro intero ciclo di vita anche in condizioni di fragilità, considerandole come risorsa attiva in grado di sostenere altre famiglie e la comunità stessa e promuovendone la genitorialità, attraverso: − erogazione di voucher/contributi per la fruizione di servizi socioeducativi rivolti all’infanzia/adolescenza (fascia di età 0/14 anni) nonché per il supporto alla crescita dei figli ad integrazione delle Misure già avviate e di quelle nuove attuate dalla Direzione Generale Famiglia (bonus famiglia, supporto ai coniugi separati, bonus assistenti familiari, ..). − sperimentazione delle funzioni sociali di supporto alla famiglia in tutto il suo ciclo di vita in una logica di centro per la famiglia, punto di riferimento per le famiglie del territorio, luogo in cui i diversi attori istituzionali e non, convergono per costruire insieme interventi volti a promuovere il benessere e lo sviluppo della famiglia, a sostenere la genitorialità, in particolare, a fronte degli eventi critici inaspettati che colpiscono le famiglie. </w:t>
      </w:r>
    </w:p>
    <w:p w:rsidR="002C33CD" w:rsidRDefault="00694535" w:rsidP="00694535">
      <w:pPr>
        <w:spacing w:after="0" w:line="20" w:lineRule="atLeast"/>
        <w:jc w:val="both"/>
        <w:rPr>
          <w:rFonts w:cstheme="minorHAnsi"/>
        </w:rPr>
      </w:pPr>
      <w:r w:rsidRPr="006B0B81">
        <w:rPr>
          <w:rFonts w:cstheme="minorHAnsi"/>
        </w:rPr>
        <w:t xml:space="preserve">INTERVENTI/AZIONI </w:t>
      </w:r>
    </w:p>
    <w:p w:rsidR="002C33CD" w:rsidRDefault="00694535" w:rsidP="00694535">
      <w:pPr>
        <w:spacing w:after="0" w:line="20" w:lineRule="atLeast"/>
        <w:jc w:val="both"/>
        <w:rPr>
          <w:rFonts w:cstheme="minorHAnsi"/>
        </w:rPr>
      </w:pPr>
      <w:r w:rsidRPr="006B0B81">
        <w:rPr>
          <w:rFonts w:cstheme="minorHAnsi"/>
        </w:rPr>
        <w:t xml:space="preserve">Voucher/contributi per la fruizione di servizi socioeducativi a supporto della famiglia (es. pre e post scuola, servizi per i periodi delle vacanze scolastiche, per la socializzazione, per attività sportive, ricreative, culturali e del tempo libero, trasporto e accompagnamento) e per il supporto alla crescita dei figli anche attraverso l’acquisto di prodotti per l’infanzia. </w:t>
      </w:r>
    </w:p>
    <w:p w:rsidR="002C33CD" w:rsidRDefault="00694535" w:rsidP="00694535">
      <w:pPr>
        <w:spacing w:after="0" w:line="20" w:lineRule="atLeast"/>
        <w:jc w:val="both"/>
        <w:rPr>
          <w:rFonts w:cstheme="minorHAnsi"/>
        </w:rPr>
      </w:pPr>
      <w:r w:rsidRPr="006B0B81">
        <w:rPr>
          <w:rFonts w:cstheme="minorHAnsi"/>
        </w:rPr>
        <w:t xml:space="preserve">Sperimentazione, in una logica di centro per la famiglia, di interventi volti a sostenere e a valorizzare le famiglie, in tutti i passaggi evolutivi del loro ciclo di vita e, in particolare, a sostenere la genitorialità a fronte degli eventi critici inaspettati che colpiscono le famiglie (separazione, divorzio, nascita di un figlio/a disabile, lutti, assistenza a persone anziane/disabili, ecc.) anche attraverso la collaborazione con le ATS, gli Ambiti Territoriali, le ASST, i consultori familiari pubblici o privati accreditati ed altri enti. </w:t>
      </w:r>
    </w:p>
    <w:p w:rsidR="002C33CD" w:rsidRDefault="00694535" w:rsidP="00694535">
      <w:pPr>
        <w:spacing w:after="0" w:line="20" w:lineRule="atLeast"/>
        <w:jc w:val="both"/>
        <w:rPr>
          <w:rFonts w:cstheme="minorHAnsi"/>
        </w:rPr>
      </w:pPr>
      <w:r w:rsidRPr="006B0B81">
        <w:rPr>
          <w:rFonts w:cstheme="minorHAnsi"/>
        </w:rPr>
        <w:t xml:space="preserve">MODALITA’ DI ATTUAZIONE </w:t>
      </w:r>
    </w:p>
    <w:p w:rsidR="002C33CD" w:rsidRDefault="00694535" w:rsidP="00694535">
      <w:pPr>
        <w:spacing w:after="0" w:line="20" w:lineRule="atLeast"/>
        <w:jc w:val="both"/>
        <w:rPr>
          <w:rFonts w:cstheme="minorHAnsi"/>
        </w:rPr>
      </w:pPr>
      <w:r w:rsidRPr="006B0B81">
        <w:rPr>
          <w:rFonts w:cstheme="minorHAnsi"/>
        </w:rPr>
        <w:t xml:space="preserve">Erogazione voucher/contributi alle famiglie con utilizzo del sistema bandi online attraverso le ATS; Individuazione di alcune ATS con cui realizzare progetti sperimentali a sostegno della famiglia in collaborazione con Ambiti Territoriali, Consultori pubblici o privati accreditati ed altri enti, in una logica di centro per la famiglia. I progetti dovranno prevedere la sperimentazione delle attività/interventi per un periodo di 24 mesi. </w:t>
      </w:r>
    </w:p>
    <w:p w:rsidR="002C33CD" w:rsidRDefault="00694535" w:rsidP="00694535">
      <w:pPr>
        <w:spacing w:after="0" w:line="20" w:lineRule="atLeast"/>
        <w:jc w:val="both"/>
        <w:rPr>
          <w:rFonts w:cstheme="minorHAnsi"/>
        </w:rPr>
      </w:pPr>
      <w:r w:rsidRPr="006B0B81">
        <w:rPr>
          <w:rFonts w:cstheme="minorHAnsi"/>
        </w:rPr>
        <w:t xml:space="preserve">RISORSE FINANZIARIE </w:t>
      </w:r>
    </w:p>
    <w:p w:rsidR="002C33CD" w:rsidRDefault="00694535" w:rsidP="00694535">
      <w:pPr>
        <w:spacing w:after="0" w:line="20" w:lineRule="atLeast"/>
        <w:jc w:val="both"/>
        <w:rPr>
          <w:rFonts w:cstheme="minorHAnsi"/>
        </w:rPr>
      </w:pPr>
      <w:r w:rsidRPr="006B0B81">
        <w:rPr>
          <w:rFonts w:cstheme="minorHAnsi"/>
        </w:rPr>
        <w:t xml:space="preserve">Le risorse del Fondo per le politiche della famiglia per l’anno 2019 ammontano a euro 2.122.500,00, alle quali si aggiunge la quota di cofinanziamento regionale in misura del 20% dell’assegnazione del Fondo pari a euro 424.500.00, per un totale di euro 2.547.000,00 a cui, con successivi provvedimenti attuativi, si potranno aggiungere ulteriori risorse. </w:t>
      </w:r>
    </w:p>
    <w:p w:rsidR="002C33CD" w:rsidRDefault="00694535" w:rsidP="00694535">
      <w:pPr>
        <w:spacing w:after="0" w:line="20" w:lineRule="atLeast"/>
        <w:jc w:val="both"/>
        <w:rPr>
          <w:rFonts w:cstheme="minorHAnsi"/>
        </w:rPr>
      </w:pPr>
      <w:r w:rsidRPr="006B0B81">
        <w:rPr>
          <w:rFonts w:cstheme="minorHAnsi"/>
        </w:rPr>
        <w:t xml:space="preserve">CRITERI DI RIPARTO </w:t>
      </w:r>
    </w:p>
    <w:p w:rsidR="002C33CD" w:rsidRDefault="00694535" w:rsidP="00694535">
      <w:pPr>
        <w:spacing w:after="0" w:line="20" w:lineRule="atLeast"/>
        <w:jc w:val="both"/>
        <w:rPr>
          <w:rFonts w:cstheme="minorHAnsi"/>
        </w:rPr>
      </w:pPr>
      <w:r w:rsidRPr="006B0B81">
        <w:rPr>
          <w:rFonts w:cstheme="minorHAnsi"/>
        </w:rPr>
        <w:t xml:space="preserve">Destinazione alle ATS di euro 1.747.000,00 in base alla popolazione residente per l’erogazione di voucher/contributi. Destinazione di euro 800.000,00 alle ATS da identificare in un successivo provvedimento per la realizzazione delle sperimentazioni. </w:t>
      </w:r>
    </w:p>
    <w:p w:rsidR="002C33CD" w:rsidRDefault="00694535" w:rsidP="00694535">
      <w:pPr>
        <w:spacing w:after="0" w:line="20" w:lineRule="atLeast"/>
        <w:jc w:val="both"/>
        <w:rPr>
          <w:rFonts w:cstheme="minorHAnsi"/>
        </w:rPr>
      </w:pPr>
      <w:r w:rsidRPr="006B0B81">
        <w:rPr>
          <w:rFonts w:cstheme="minorHAnsi"/>
        </w:rPr>
        <w:t xml:space="preserve">MODALITA’ DI ASSEGNAZIONE ED EROGAZIONE DELLE RISORSE </w:t>
      </w:r>
    </w:p>
    <w:p w:rsidR="002C33CD" w:rsidRDefault="00694535" w:rsidP="00694535">
      <w:pPr>
        <w:spacing w:after="0" w:line="20" w:lineRule="atLeast"/>
        <w:jc w:val="both"/>
        <w:rPr>
          <w:rFonts w:cstheme="minorHAnsi"/>
        </w:rPr>
      </w:pPr>
      <w:r w:rsidRPr="006B0B81">
        <w:rPr>
          <w:rFonts w:cstheme="minorHAnsi"/>
        </w:rPr>
        <w:t>Trasferimento delle risorse alla ATS per l’erogazione di voucher/contributi successivamente alla definizione delle modalità operative. Trasferimento delle risorse alla ATS identificate per le sperimentazioni. CRONOPRGRAMMA</w:t>
      </w:r>
    </w:p>
    <w:p w:rsidR="002C33CD" w:rsidRDefault="00694535" w:rsidP="00694535">
      <w:pPr>
        <w:spacing w:after="0" w:line="20" w:lineRule="atLeast"/>
        <w:jc w:val="both"/>
        <w:rPr>
          <w:rFonts w:cstheme="minorHAnsi"/>
        </w:rPr>
      </w:pPr>
      <w:r w:rsidRPr="006B0B81">
        <w:rPr>
          <w:rFonts w:cstheme="minorHAnsi"/>
        </w:rPr>
        <w:lastRenderedPageBreak/>
        <w:t xml:space="preserve"> Entro il 31/12/2019 avviso per l’erogazione di voucher/contributi. Entro il 30/10/2019 individuazione delle ATS per le sperimentazioni. </w:t>
      </w:r>
    </w:p>
    <w:p w:rsidR="002C33CD" w:rsidRDefault="00694535" w:rsidP="00694535">
      <w:pPr>
        <w:spacing w:after="0" w:line="20" w:lineRule="atLeast"/>
        <w:jc w:val="both"/>
        <w:rPr>
          <w:rFonts w:cstheme="minorHAnsi"/>
        </w:rPr>
      </w:pPr>
      <w:r w:rsidRPr="006B0B81">
        <w:rPr>
          <w:rFonts w:cstheme="minorHAnsi"/>
        </w:rPr>
        <w:t xml:space="preserve">DEBITO INFORMATIVO/MONITORAGGIO </w:t>
      </w:r>
    </w:p>
    <w:p w:rsidR="00694535" w:rsidRPr="006B0B81" w:rsidRDefault="00694535" w:rsidP="00694535">
      <w:pPr>
        <w:spacing w:after="0" w:line="20" w:lineRule="atLeast"/>
        <w:jc w:val="both"/>
        <w:rPr>
          <w:rFonts w:cstheme="minorHAnsi"/>
        </w:rPr>
      </w:pPr>
      <w:r w:rsidRPr="006B0B81">
        <w:rPr>
          <w:rFonts w:cstheme="minorHAnsi"/>
        </w:rPr>
        <w:t xml:space="preserve">Monitoraggio semestrale sull’andamento delle attività da parte delle ATS. Rendicontazione progetti intermedia a 12 mesi dall’avvio e finale a conclusione. Le modalità di monitoraggio e rendicontazione saranno definite coni successivi provvedimenti della </w:t>
      </w:r>
      <w:r w:rsidR="002C33CD">
        <w:rPr>
          <w:rFonts w:cstheme="minorHAnsi"/>
        </w:rPr>
        <w:t xml:space="preserve">Direzione Generale competente. </w:t>
      </w:r>
    </w:p>
    <w:p w:rsidR="007E24FC" w:rsidRDefault="007E24FC" w:rsidP="00FF7E92">
      <w:pPr>
        <w:spacing w:after="0" w:line="20" w:lineRule="atLeast"/>
        <w:jc w:val="both"/>
        <w:rPr>
          <w:rFonts w:cstheme="minorHAnsi"/>
        </w:rPr>
      </w:pPr>
    </w:p>
    <w:p w:rsidR="001F6D5F" w:rsidRPr="0037633A" w:rsidRDefault="001F6D5F" w:rsidP="001F6D5F">
      <w:pPr>
        <w:pStyle w:val="Default"/>
        <w:pBdr>
          <w:top w:val="single" w:sz="4" w:space="1" w:color="auto"/>
          <w:left w:val="single" w:sz="4" w:space="4" w:color="auto"/>
          <w:bottom w:val="single" w:sz="4" w:space="1" w:color="auto"/>
          <w:right w:val="single" w:sz="4" w:space="4" w:color="auto"/>
          <w:between w:val="single" w:sz="4" w:space="1" w:color="auto"/>
          <w:bar w:val="single" w:sz="4" w:color="auto"/>
        </w:pBdr>
        <w:spacing w:line="20" w:lineRule="atLeast"/>
        <w:jc w:val="center"/>
        <w:rPr>
          <w:rFonts w:asciiTheme="minorHAnsi" w:hAnsiTheme="minorHAnsi" w:cstheme="minorHAnsi"/>
          <w:b/>
          <w:sz w:val="22"/>
          <w:szCs w:val="22"/>
        </w:rPr>
      </w:pPr>
      <w:r w:rsidRPr="0037633A">
        <w:rPr>
          <w:rFonts w:asciiTheme="minorHAnsi" w:hAnsiTheme="minorHAnsi" w:cstheme="minorHAnsi"/>
          <w:b/>
          <w:sz w:val="22"/>
          <w:szCs w:val="22"/>
        </w:rPr>
        <w:t>GIOVANI</w:t>
      </w:r>
    </w:p>
    <w:p w:rsidR="001F6D5F" w:rsidRPr="0037633A" w:rsidRDefault="001F6D5F" w:rsidP="001F6D5F">
      <w:pPr>
        <w:pStyle w:val="Default"/>
        <w:spacing w:line="20" w:lineRule="atLeast"/>
        <w:jc w:val="both"/>
        <w:rPr>
          <w:rFonts w:asciiTheme="minorHAnsi" w:hAnsiTheme="minorHAnsi" w:cstheme="minorHAnsi"/>
          <w:b/>
          <w:bCs/>
          <w:sz w:val="22"/>
          <w:szCs w:val="22"/>
        </w:rPr>
      </w:pPr>
    </w:p>
    <w:p w:rsidR="001F6D5F" w:rsidRPr="0037633A" w:rsidRDefault="001F6D5F" w:rsidP="001F6D5F">
      <w:pPr>
        <w:pStyle w:val="Default"/>
        <w:spacing w:line="20" w:lineRule="atLeast"/>
        <w:jc w:val="both"/>
        <w:rPr>
          <w:rFonts w:asciiTheme="minorHAnsi" w:hAnsiTheme="minorHAnsi" w:cstheme="minorHAnsi"/>
          <w:bCs/>
          <w:sz w:val="22"/>
          <w:szCs w:val="22"/>
        </w:rPr>
      </w:pPr>
      <w:r w:rsidRPr="0037633A">
        <w:rPr>
          <w:rFonts w:asciiTheme="minorHAnsi" w:hAnsiTheme="minorHAnsi" w:cstheme="minorHAnsi"/>
          <w:b/>
          <w:bCs/>
          <w:sz w:val="22"/>
          <w:szCs w:val="22"/>
        </w:rPr>
        <w:t xml:space="preserve">DGR  31 luglio 2019 - n. XI/2041, </w:t>
      </w:r>
      <w:r w:rsidRPr="0037633A">
        <w:rPr>
          <w:rFonts w:asciiTheme="minorHAnsi" w:hAnsiTheme="minorHAnsi" w:cstheme="minorHAnsi"/>
          <w:bCs/>
          <w:sz w:val="22"/>
          <w:szCs w:val="22"/>
        </w:rPr>
        <w:t>Approvazione dello schema di accordo con Anci Lombardia per l’attuazione di iniziative, misure e interventi a favore dei giovani. (BUR n. 32 del 7.8.19)</w:t>
      </w:r>
    </w:p>
    <w:p w:rsidR="001F6D5F" w:rsidRPr="0037633A" w:rsidRDefault="001F6D5F" w:rsidP="001F6D5F">
      <w:pPr>
        <w:pStyle w:val="Default"/>
        <w:spacing w:line="20" w:lineRule="atLeast"/>
        <w:jc w:val="both"/>
        <w:rPr>
          <w:rFonts w:asciiTheme="minorHAnsi" w:hAnsiTheme="minorHAnsi" w:cstheme="minorHAnsi"/>
          <w:b/>
          <w:bCs/>
          <w:sz w:val="22"/>
          <w:szCs w:val="22"/>
        </w:rPr>
      </w:pPr>
      <w:r w:rsidRPr="0037633A">
        <w:rPr>
          <w:rFonts w:asciiTheme="minorHAnsi" w:hAnsiTheme="minorHAnsi" w:cstheme="minorHAnsi"/>
          <w:b/>
          <w:bCs/>
          <w:sz w:val="22"/>
          <w:szCs w:val="22"/>
        </w:rPr>
        <w:t xml:space="preserve">RIFERIMENTI NORMATIVI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xml:space="preserve">Gli obiettivi dell’Agenda 2030 per lo Sviluppo Sostenibile sottoscritta nel settembre 2015 dai governi dei 193 Paesi membri dell’ONU;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xml:space="preserve">La strategia Europa 2020 dell’Unione europea e gli obiettivi da realizzare per migliorare la condizione dei Paesi europei;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La Strategia europea per la gioventù 2019/2027, approva</w:t>
      </w:r>
      <w:r w:rsidRPr="0037633A">
        <w:rPr>
          <w:rFonts w:asciiTheme="minorHAnsi" w:hAnsiTheme="minorHAnsi" w:cstheme="minorHAnsi"/>
          <w:sz w:val="22"/>
          <w:szCs w:val="22"/>
        </w:rPr>
        <w:softHyphen/>
        <w:t>ta con comunicazione della Commissione europea n.269 (2018) che incoraggia, tra l’altro, iniziative che permettano ai giovani di diventare artefici della propria vita, sviluppan</w:t>
      </w:r>
      <w:r w:rsidRPr="0037633A">
        <w:rPr>
          <w:rFonts w:asciiTheme="minorHAnsi" w:hAnsiTheme="minorHAnsi" w:cstheme="minorHAnsi"/>
          <w:sz w:val="22"/>
          <w:szCs w:val="22"/>
        </w:rPr>
        <w:softHyphen/>
        <w:t>do la propria resilienza e diventando «cittadini attivi, prota</w:t>
      </w:r>
      <w:r w:rsidRPr="0037633A">
        <w:rPr>
          <w:rFonts w:asciiTheme="minorHAnsi" w:hAnsiTheme="minorHAnsi" w:cstheme="minorHAnsi"/>
          <w:sz w:val="22"/>
          <w:szCs w:val="22"/>
        </w:rPr>
        <w:softHyphen/>
        <w:t xml:space="preserve">gonisti della solidarietà del cambiamento positivo»;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L’art.3 dello Statuto d’autonomia della Lombardia che, in at</w:t>
      </w:r>
      <w:r w:rsidRPr="0037633A">
        <w:rPr>
          <w:rFonts w:asciiTheme="minorHAnsi" w:hAnsiTheme="minorHAnsi" w:cstheme="minorHAnsi"/>
          <w:sz w:val="22"/>
          <w:szCs w:val="22"/>
        </w:rPr>
        <w:softHyphen/>
        <w:t>tuazione del principio di sussidiarietà, riconosce e promuo</w:t>
      </w:r>
      <w:r w:rsidRPr="0037633A">
        <w:rPr>
          <w:rFonts w:asciiTheme="minorHAnsi" w:hAnsiTheme="minorHAnsi" w:cstheme="minorHAnsi"/>
          <w:sz w:val="22"/>
          <w:szCs w:val="22"/>
        </w:rPr>
        <w:softHyphen/>
        <w:t>ve il ruolo delle autonomie locali e garantisce l’apporto dei soggetti della sussidiarietà orizzontale nella programmazio</w:t>
      </w:r>
      <w:r w:rsidRPr="0037633A">
        <w:rPr>
          <w:rFonts w:asciiTheme="minorHAnsi" w:hAnsiTheme="minorHAnsi" w:cstheme="minorHAnsi"/>
          <w:sz w:val="22"/>
          <w:szCs w:val="22"/>
        </w:rPr>
        <w:softHyphen/>
        <w:t xml:space="preserve">ne e realizzazione dei diversi interventi e servizi pubblici;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La legge regionale n.30/2015 «Qualità, innovazione ed in</w:t>
      </w:r>
      <w:r w:rsidRPr="0037633A">
        <w:rPr>
          <w:rFonts w:asciiTheme="minorHAnsi" w:hAnsiTheme="minorHAnsi" w:cstheme="minorHAnsi"/>
          <w:sz w:val="22"/>
          <w:szCs w:val="22"/>
        </w:rPr>
        <w:softHyphen/>
        <w:t>ternazionalizzazione nei sistemi di istruzione, formazione e lavoro in Lombardia.</w:t>
      </w:r>
      <w:r w:rsidR="007E24FC">
        <w:rPr>
          <w:rFonts w:asciiTheme="minorHAnsi" w:hAnsiTheme="minorHAnsi" w:cstheme="minorHAnsi"/>
          <w:sz w:val="22"/>
          <w:szCs w:val="22"/>
        </w:rPr>
        <w:t xml:space="preserve"> </w:t>
      </w:r>
      <w:r w:rsidRPr="0037633A">
        <w:rPr>
          <w:rFonts w:asciiTheme="minorHAnsi" w:hAnsiTheme="minorHAnsi" w:cstheme="minorHAnsi"/>
          <w:sz w:val="22"/>
          <w:szCs w:val="22"/>
        </w:rPr>
        <w:t>Modifiche alle ll.rr.19/2007 sul sistema di istruzione e formazione e 22/2006 sul mercato del lavo</w:t>
      </w:r>
      <w:r w:rsidRPr="0037633A">
        <w:rPr>
          <w:rFonts w:asciiTheme="minorHAnsi" w:hAnsiTheme="minorHAnsi" w:cstheme="minorHAnsi"/>
          <w:sz w:val="22"/>
          <w:szCs w:val="22"/>
        </w:rPr>
        <w:softHyphen/>
        <w:t>ro» che riconosce il valore del partenariato territoriale e so</w:t>
      </w:r>
      <w:r w:rsidRPr="0037633A">
        <w:rPr>
          <w:rFonts w:asciiTheme="minorHAnsi" w:hAnsiTheme="minorHAnsi" w:cstheme="minorHAnsi"/>
          <w:sz w:val="22"/>
          <w:szCs w:val="22"/>
        </w:rPr>
        <w:softHyphen/>
        <w:t>stiene la costituzione di reti fra sistema educativo e sistema economico, finalizzato a realizzare filiere settoriali per l’occu</w:t>
      </w:r>
      <w:r w:rsidRPr="0037633A">
        <w:rPr>
          <w:rFonts w:asciiTheme="minorHAnsi" w:hAnsiTheme="minorHAnsi" w:cstheme="minorHAnsi"/>
          <w:sz w:val="22"/>
          <w:szCs w:val="22"/>
        </w:rPr>
        <w:softHyphen/>
        <w:t xml:space="preserve">pabilità e l’occupazione;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La legge regionale n.11/2014 «Impresa Lombardia: per la libertà di impresa, il lavoro e la competitività» che promuo</w:t>
      </w:r>
      <w:r w:rsidRPr="0037633A">
        <w:rPr>
          <w:rFonts w:asciiTheme="minorHAnsi" w:hAnsiTheme="minorHAnsi" w:cstheme="minorHAnsi"/>
          <w:sz w:val="22"/>
          <w:szCs w:val="22"/>
        </w:rPr>
        <w:softHyphen/>
        <w:t>ve interventi specifici per la riqualificazione, valorizzazione e aggiornamento continuo del capitale umano anche nell’ambito delle politiche regionali di istruzione, formazio</w:t>
      </w:r>
      <w:r w:rsidRPr="0037633A">
        <w:rPr>
          <w:rFonts w:asciiTheme="minorHAnsi" w:hAnsiTheme="minorHAnsi" w:cstheme="minorHAnsi"/>
          <w:sz w:val="22"/>
          <w:szCs w:val="22"/>
        </w:rPr>
        <w:softHyphen/>
        <w:t xml:space="preserve">ne e lavoro;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L’informativa dell’Assessore Martina Cambiaghi alla giunta del 17 giugno 2019 «La Lombardia è dei giovani – un per</w:t>
      </w:r>
      <w:r w:rsidRPr="0037633A">
        <w:rPr>
          <w:rFonts w:asciiTheme="minorHAnsi" w:hAnsiTheme="minorHAnsi" w:cstheme="minorHAnsi"/>
          <w:sz w:val="22"/>
          <w:szCs w:val="22"/>
        </w:rPr>
        <w:softHyphen/>
        <w:t>corso condiviso per la definizione di una proposta di legge regionale» che illustra l’iter di coinvolgimento attivo dei gio</w:t>
      </w:r>
      <w:r w:rsidRPr="0037633A">
        <w:rPr>
          <w:rFonts w:asciiTheme="minorHAnsi" w:hAnsiTheme="minorHAnsi" w:cstheme="minorHAnsi"/>
          <w:sz w:val="22"/>
          <w:szCs w:val="22"/>
        </w:rPr>
        <w:softHyphen/>
        <w:t xml:space="preserve">vani e dei principali key stakeholder e dà avvio a un tavolo istituzionale di ascolto e confronto con i principali soggetti di riferimento sul territorio finalizzato a rafforzare il dialogo strutturato e a sviluppare un piano di azioni strategiche e integrate per valorizzare il potenziale giovanile locale e la partecipazione attiva dei giovani;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La d.g.r.106/2018 avente ad oggetto: «Approvazione proto</w:t>
      </w:r>
      <w:r w:rsidRPr="0037633A">
        <w:rPr>
          <w:rFonts w:asciiTheme="minorHAnsi" w:hAnsiTheme="minorHAnsi" w:cstheme="minorHAnsi"/>
          <w:sz w:val="22"/>
          <w:szCs w:val="22"/>
        </w:rPr>
        <w:softHyphen/>
        <w:t>collo d’intesa tra Regione Lombardia e ANCI Lombardia sui temi del coordinamento della finanza pubblica, dello svi</w:t>
      </w:r>
      <w:r w:rsidRPr="0037633A">
        <w:rPr>
          <w:rFonts w:asciiTheme="minorHAnsi" w:hAnsiTheme="minorHAnsi" w:cstheme="minorHAnsi"/>
          <w:sz w:val="22"/>
          <w:szCs w:val="22"/>
        </w:rPr>
        <w:softHyphen/>
        <w:t xml:space="preserve">luppo dei servizi locali tramite il riordino e la semplificazione del tessuto istituzionale»; </w:t>
      </w:r>
    </w:p>
    <w:p w:rsidR="001F6D5F" w:rsidRPr="0037633A" w:rsidRDefault="001F6D5F" w:rsidP="001F6D5F">
      <w:pPr>
        <w:pStyle w:val="Pa16"/>
        <w:spacing w:line="20" w:lineRule="atLeast"/>
        <w:jc w:val="both"/>
        <w:rPr>
          <w:rFonts w:asciiTheme="minorHAnsi" w:hAnsiTheme="minorHAnsi" w:cstheme="minorHAnsi"/>
          <w:color w:val="000000"/>
          <w:sz w:val="22"/>
          <w:szCs w:val="22"/>
        </w:rPr>
      </w:pPr>
      <w:r w:rsidRPr="0037633A">
        <w:rPr>
          <w:rFonts w:asciiTheme="minorHAnsi" w:hAnsiTheme="minorHAnsi" w:cstheme="minorHAnsi"/>
          <w:color w:val="000000"/>
          <w:sz w:val="22"/>
          <w:szCs w:val="22"/>
        </w:rPr>
        <w:t>Il Programma Regionale di Sviluppo (PRS) della XI Legislatura, approvato con deliberazione del Consiglio regiona</w:t>
      </w:r>
      <w:r w:rsidRPr="0037633A">
        <w:rPr>
          <w:rFonts w:asciiTheme="minorHAnsi" w:hAnsiTheme="minorHAnsi" w:cstheme="minorHAnsi"/>
          <w:color w:val="000000"/>
          <w:sz w:val="22"/>
          <w:szCs w:val="22"/>
        </w:rPr>
        <w:softHyphen/>
        <w:t>le n.64 del 10 luglio 2018 che incoraggia «politiche integrate che promuovano […] l’autonomia sociale e […] opportunità di inclusione sociale» nonché interventi a favore dei giovani «favo</w:t>
      </w:r>
      <w:r w:rsidRPr="0037633A">
        <w:rPr>
          <w:rFonts w:asciiTheme="minorHAnsi" w:hAnsiTheme="minorHAnsi" w:cstheme="minorHAnsi"/>
          <w:color w:val="000000"/>
          <w:sz w:val="22"/>
          <w:szCs w:val="22"/>
        </w:rPr>
        <w:softHyphen/>
        <w:t xml:space="preserve">rendo la loro capacità di «fare impresa»» anche attraverso «reti di corresponsabilità tra Enti Locali e altri soggetti pubblici, privati e privati non profit presenti sul territorio». </w:t>
      </w:r>
    </w:p>
    <w:p w:rsidR="001F6D5F" w:rsidRPr="0037633A" w:rsidRDefault="001F6D5F" w:rsidP="001F6D5F">
      <w:pPr>
        <w:pStyle w:val="Pa16"/>
        <w:spacing w:line="20" w:lineRule="atLeast"/>
        <w:jc w:val="both"/>
        <w:rPr>
          <w:rFonts w:asciiTheme="minorHAnsi" w:hAnsiTheme="minorHAnsi" w:cstheme="minorHAnsi"/>
          <w:b/>
          <w:color w:val="000000"/>
          <w:sz w:val="22"/>
          <w:szCs w:val="22"/>
        </w:rPr>
      </w:pPr>
      <w:r w:rsidRPr="0037633A">
        <w:rPr>
          <w:rFonts w:asciiTheme="minorHAnsi" w:hAnsiTheme="minorHAnsi" w:cstheme="minorHAnsi"/>
          <w:b/>
          <w:color w:val="000000"/>
          <w:sz w:val="22"/>
          <w:szCs w:val="22"/>
        </w:rPr>
        <w:t>IL RAPPORTO FRA LA REGIONE LOMBARDIA E L’ANCI LOMBARDIA</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xml:space="preserve">La Regione Lombardia </w:t>
      </w:r>
      <w:proofErr w:type="gramStart"/>
      <w:r w:rsidRPr="0037633A">
        <w:rPr>
          <w:rFonts w:asciiTheme="minorHAnsi" w:hAnsiTheme="minorHAnsi" w:cstheme="minorHAnsi"/>
          <w:sz w:val="22"/>
          <w:szCs w:val="22"/>
        </w:rPr>
        <w:t>e  l</w:t>
      </w:r>
      <w:proofErr w:type="gramEnd"/>
      <w:r w:rsidRPr="0037633A">
        <w:rPr>
          <w:rFonts w:asciiTheme="minorHAnsi" w:hAnsiTheme="minorHAnsi" w:cstheme="minorHAnsi"/>
          <w:sz w:val="22"/>
          <w:szCs w:val="22"/>
        </w:rPr>
        <w:t>’ ANCI Lombardia considerano fonda</w:t>
      </w:r>
      <w:r w:rsidRPr="0037633A">
        <w:rPr>
          <w:rFonts w:asciiTheme="minorHAnsi" w:hAnsiTheme="minorHAnsi" w:cstheme="minorHAnsi"/>
          <w:sz w:val="22"/>
          <w:szCs w:val="22"/>
        </w:rPr>
        <w:softHyphen/>
        <w:t>mentale promuovere la partecipazione inclusiva dei giova</w:t>
      </w:r>
      <w:r w:rsidRPr="0037633A">
        <w:rPr>
          <w:rFonts w:asciiTheme="minorHAnsi" w:hAnsiTheme="minorHAnsi" w:cstheme="minorHAnsi"/>
          <w:sz w:val="22"/>
          <w:szCs w:val="22"/>
        </w:rPr>
        <w:softHyphen/>
        <w:t xml:space="preserve">ni alla vita sociale e politica dei territori e favorire le loro aspettative di autonomia e realizzazione;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La Regione Lombardia ha ritenuto di coinvolgere, nel Tavolo Istituzionale Giovani di cui sopra e nella realizzazione della progettualità «La Lombardia è dei giovani», ANCI Lombar</w:t>
      </w:r>
      <w:r w:rsidRPr="0037633A">
        <w:rPr>
          <w:rFonts w:asciiTheme="minorHAnsi" w:hAnsiTheme="minorHAnsi" w:cstheme="minorHAnsi"/>
          <w:sz w:val="22"/>
          <w:szCs w:val="22"/>
        </w:rPr>
        <w:softHyphen/>
        <w:t>dia, quale stakeholder di riferimento sul territorio lombardo e in quanto associazione maggiormente rappresentativa dei Comuni.</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lastRenderedPageBreak/>
        <w:t xml:space="preserve">LA SPECIFICITÀ DELL’ANCI LOMBARDIA;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L’ ANCI Lombardia:</w:t>
      </w:r>
    </w:p>
    <w:p w:rsidR="001F6D5F" w:rsidRPr="0037633A" w:rsidRDefault="001F6D5F" w:rsidP="00D52790">
      <w:pPr>
        <w:pStyle w:val="Default"/>
        <w:numPr>
          <w:ilvl w:val="0"/>
          <w:numId w:val="4"/>
        </w:numPr>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xml:space="preserve"> </w:t>
      </w:r>
      <w:proofErr w:type="gramStart"/>
      <w:r w:rsidRPr="0037633A">
        <w:rPr>
          <w:rFonts w:asciiTheme="minorHAnsi" w:hAnsiTheme="minorHAnsi" w:cstheme="minorHAnsi"/>
          <w:sz w:val="22"/>
          <w:szCs w:val="22"/>
        </w:rPr>
        <w:t>è</w:t>
      </w:r>
      <w:proofErr w:type="gramEnd"/>
      <w:r w:rsidRPr="0037633A">
        <w:rPr>
          <w:rFonts w:asciiTheme="minorHAnsi" w:hAnsiTheme="minorHAnsi" w:cstheme="minorHAnsi"/>
          <w:sz w:val="22"/>
          <w:szCs w:val="22"/>
        </w:rPr>
        <w:t xml:space="preserve"> il soggetto titolato per l’espletamento di attività a supporto dei Comuni Lombardia, vista la perfetta conoscenza dei sistemi comunali; </w:t>
      </w:r>
    </w:p>
    <w:p w:rsidR="001F6D5F" w:rsidRPr="0037633A" w:rsidRDefault="001F6D5F" w:rsidP="00D52790">
      <w:pPr>
        <w:pStyle w:val="Default"/>
        <w:numPr>
          <w:ilvl w:val="0"/>
          <w:numId w:val="4"/>
        </w:numPr>
        <w:spacing w:line="20" w:lineRule="atLeast"/>
        <w:jc w:val="both"/>
        <w:rPr>
          <w:rFonts w:asciiTheme="minorHAnsi" w:hAnsiTheme="minorHAnsi" w:cstheme="minorHAnsi"/>
          <w:sz w:val="22"/>
          <w:szCs w:val="22"/>
        </w:rPr>
      </w:pPr>
      <w:proofErr w:type="gramStart"/>
      <w:r w:rsidRPr="0037633A">
        <w:rPr>
          <w:rFonts w:asciiTheme="minorHAnsi" w:hAnsiTheme="minorHAnsi" w:cstheme="minorHAnsi"/>
          <w:sz w:val="22"/>
          <w:szCs w:val="22"/>
        </w:rPr>
        <w:t>è</w:t>
      </w:r>
      <w:proofErr w:type="gramEnd"/>
      <w:r w:rsidRPr="0037633A">
        <w:rPr>
          <w:rFonts w:asciiTheme="minorHAnsi" w:hAnsiTheme="minorHAnsi" w:cstheme="minorHAnsi"/>
          <w:sz w:val="22"/>
          <w:szCs w:val="22"/>
        </w:rPr>
        <w:t xml:space="preserve"> il soggetto prioritario per definire i criteri essenziali per la progettualità di cui sopra e che verranno recepiti in successivo atto di giunta. </w:t>
      </w:r>
    </w:p>
    <w:p w:rsidR="001F6D5F" w:rsidRPr="0037633A" w:rsidRDefault="001F6D5F" w:rsidP="00D52790">
      <w:pPr>
        <w:pStyle w:val="Default"/>
        <w:numPr>
          <w:ilvl w:val="0"/>
          <w:numId w:val="4"/>
        </w:numPr>
        <w:spacing w:line="20" w:lineRule="atLeast"/>
        <w:jc w:val="both"/>
        <w:rPr>
          <w:rFonts w:asciiTheme="minorHAnsi" w:hAnsiTheme="minorHAnsi" w:cstheme="minorHAnsi"/>
          <w:sz w:val="22"/>
          <w:szCs w:val="22"/>
        </w:rPr>
      </w:pPr>
      <w:proofErr w:type="gramStart"/>
      <w:r w:rsidRPr="0037633A">
        <w:rPr>
          <w:rFonts w:asciiTheme="minorHAnsi" w:hAnsiTheme="minorHAnsi" w:cstheme="minorHAnsi"/>
          <w:sz w:val="22"/>
          <w:szCs w:val="22"/>
        </w:rPr>
        <w:t>ai</w:t>
      </w:r>
      <w:proofErr w:type="gramEnd"/>
      <w:r w:rsidRPr="0037633A">
        <w:rPr>
          <w:rFonts w:asciiTheme="minorHAnsi" w:hAnsiTheme="minorHAnsi" w:cstheme="minorHAnsi"/>
          <w:sz w:val="22"/>
          <w:szCs w:val="22"/>
        </w:rPr>
        <w:t xml:space="preserve"> sensi del vigente Statuto è un’associazione senza scopo di lucro che costituisce il sistema della rappresentanza dei Comuni, Città Metropolitane ed enti di derivazione comu</w:t>
      </w:r>
      <w:r w:rsidRPr="0037633A">
        <w:rPr>
          <w:rFonts w:asciiTheme="minorHAnsi" w:hAnsiTheme="minorHAnsi" w:cstheme="minorHAnsi"/>
          <w:sz w:val="22"/>
          <w:szCs w:val="22"/>
        </w:rPr>
        <w:softHyphen/>
        <w:t>nale ed è titolare, in quanto associazione maggiormente rappresentativa, della rappresentanza istituzionale dei Co</w:t>
      </w:r>
      <w:r w:rsidRPr="0037633A">
        <w:rPr>
          <w:rFonts w:asciiTheme="minorHAnsi" w:hAnsiTheme="minorHAnsi" w:cstheme="minorHAnsi"/>
          <w:sz w:val="22"/>
          <w:szCs w:val="22"/>
        </w:rPr>
        <w:softHyphen/>
        <w:t>muni, delle Città metropolitane e degli enti di derivazione comunale nei rapporti con il Governo, il Parlamento e tutte le istituzioni o gli Enti centrali o di rilievo nazionale.</w:t>
      </w:r>
    </w:p>
    <w:p w:rsidR="001F6D5F" w:rsidRPr="0037633A" w:rsidRDefault="001F6D5F" w:rsidP="00D52790">
      <w:pPr>
        <w:pStyle w:val="Default"/>
        <w:numPr>
          <w:ilvl w:val="0"/>
          <w:numId w:val="4"/>
        </w:numPr>
        <w:spacing w:line="20" w:lineRule="atLeast"/>
        <w:jc w:val="both"/>
        <w:rPr>
          <w:rFonts w:asciiTheme="minorHAnsi" w:hAnsiTheme="minorHAnsi" w:cstheme="minorHAnsi"/>
          <w:sz w:val="22"/>
          <w:szCs w:val="22"/>
        </w:rPr>
      </w:pPr>
      <w:proofErr w:type="gramStart"/>
      <w:r w:rsidRPr="0037633A">
        <w:rPr>
          <w:rFonts w:asciiTheme="minorHAnsi" w:hAnsiTheme="minorHAnsi" w:cstheme="minorHAnsi"/>
          <w:sz w:val="22"/>
          <w:szCs w:val="22"/>
        </w:rPr>
        <w:t>de</w:t>
      </w:r>
      <w:r w:rsidRPr="0037633A">
        <w:rPr>
          <w:rFonts w:asciiTheme="minorHAnsi" w:hAnsiTheme="minorHAnsi" w:cstheme="minorHAnsi"/>
          <w:sz w:val="22"/>
          <w:szCs w:val="22"/>
        </w:rPr>
        <w:softHyphen/>
        <w:t>signa</w:t>
      </w:r>
      <w:proofErr w:type="gramEnd"/>
      <w:r w:rsidRPr="0037633A">
        <w:rPr>
          <w:rFonts w:asciiTheme="minorHAnsi" w:hAnsiTheme="minorHAnsi" w:cstheme="minorHAnsi"/>
          <w:sz w:val="22"/>
          <w:szCs w:val="22"/>
        </w:rPr>
        <w:t xml:space="preserve"> i rappresentanti delle Città metropolitane e dei Co</w:t>
      </w:r>
      <w:r w:rsidRPr="0037633A">
        <w:rPr>
          <w:rFonts w:asciiTheme="minorHAnsi" w:hAnsiTheme="minorHAnsi" w:cstheme="minorHAnsi"/>
          <w:sz w:val="22"/>
          <w:szCs w:val="22"/>
        </w:rPr>
        <w:softHyphen/>
        <w:t xml:space="preserve">muni italiani in seno alla Conferenza Stato-Città - Autonomie Locali e alla Conferenza Unificata, di cui al d.lgs.n.281/97 e s.m.i.; </w:t>
      </w:r>
    </w:p>
    <w:p w:rsidR="001F6D5F" w:rsidRPr="0037633A" w:rsidRDefault="001F6D5F" w:rsidP="00D52790">
      <w:pPr>
        <w:pStyle w:val="Default"/>
        <w:numPr>
          <w:ilvl w:val="0"/>
          <w:numId w:val="4"/>
        </w:numPr>
        <w:spacing w:line="20" w:lineRule="atLeast"/>
        <w:jc w:val="both"/>
        <w:rPr>
          <w:rFonts w:asciiTheme="minorHAnsi" w:hAnsiTheme="minorHAnsi" w:cstheme="minorHAnsi"/>
          <w:sz w:val="22"/>
          <w:szCs w:val="22"/>
        </w:rPr>
      </w:pPr>
      <w:proofErr w:type="gramStart"/>
      <w:r w:rsidRPr="0037633A">
        <w:rPr>
          <w:rFonts w:asciiTheme="minorHAnsi" w:hAnsiTheme="minorHAnsi" w:cstheme="minorHAnsi"/>
          <w:sz w:val="22"/>
          <w:szCs w:val="22"/>
        </w:rPr>
        <w:t>aderisce</w:t>
      </w:r>
      <w:proofErr w:type="gramEnd"/>
      <w:r w:rsidRPr="0037633A">
        <w:rPr>
          <w:rFonts w:asciiTheme="minorHAnsi" w:hAnsiTheme="minorHAnsi" w:cstheme="minorHAnsi"/>
          <w:sz w:val="22"/>
          <w:szCs w:val="22"/>
        </w:rPr>
        <w:t xml:space="preserve"> all’Associazione Nazionale Comuni Italiani parte</w:t>
      </w:r>
      <w:r w:rsidRPr="0037633A">
        <w:rPr>
          <w:rFonts w:asciiTheme="minorHAnsi" w:hAnsiTheme="minorHAnsi" w:cstheme="minorHAnsi"/>
          <w:sz w:val="22"/>
          <w:szCs w:val="22"/>
        </w:rPr>
        <w:softHyphen/>
        <w:t>cipando all’attività della stessa nei modi e nelle forme pre</w:t>
      </w:r>
      <w:r w:rsidRPr="0037633A">
        <w:rPr>
          <w:rFonts w:asciiTheme="minorHAnsi" w:hAnsiTheme="minorHAnsi" w:cstheme="minorHAnsi"/>
          <w:sz w:val="22"/>
          <w:szCs w:val="22"/>
        </w:rPr>
        <w:softHyphen/>
        <w:t xml:space="preserve">viste dallo statuto nazionale; </w:t>
      </w:r>
    </w:p>
    <w:p w:rsidR="001F6D5F" w:rsidRPr="0037633A" w:rsidRDefault="001F6D5F" w:rsidP="00D52790">
      <w:pPr>
        <w:pStyle w:val="Default"/>
        <w:numPr>
          <w:ilvl w:val="0"/>
          <w:numId w:val="4"/>
        </w:numPr>
        <w:spacing w:line="20" w:lineRule="atLeast"/>
        <w:jc w:val="both"/>
        <w:rPr>
          <w:rFonts w:asciiTheme="minorHAnsi" w:hAnsiTheme="minorHAnsi" w:cstheme="minorHAnsi"/>
          <w:sz w:val="22"/>
          <w:szCs w:val="22"/>
        </w:rPr>
      </w:pPr>
      <w:proofErr w:type="gramStart"/>
      <w:r w:rsidRPr="0037633A">
        <w:rPr>
          <w:rFonts w:asciiTheme="minorHAnsi" w:hAnsiTheme="minorHAnsi" w:cstheme="minorHAnsi"/>
          <w:sz w:val="22"/>
          <w:szCs w:val="22"/>
        </w:rPr>
        <w:t>ai</w:t>
      </w:r>
      <w:proofErr w:type="gramEnd"/>
      <w:r w:rsidRPr="0037633A">
        <w:rPr>
          <w:rFonts w:asciiTheme="minorHAnsi" w:hAnsiTheme="minorHAnsi" w:cstheme="minorHAnsi"/>
          <w:sz w:val="22"/>
          <w:szCs w:val="22"/>
        </w:rPr>
        <w:t xml:space="preserve"> sensi dell’art.2 della legge regionale n.22/2009, istitutiva del Consiglio delle Autonomie Locali (CAL), è individuata quale componente di diritto dello stesso e fa parte di Tavoli istituzionali regionali che definiscono le politiche regionali assumendo atti impegnativi nei confronti degli Enti Locali (es. patto di stabilità territoriale, ISV, Welfare etc.); </w:t>
      </w:r>
    </w:p>
    <w:p w:rsidR="001F6D5F" w:rsidRPr="0037633A" w:rsidRDefault="001F6D5F" w:rsidP="00D52790">
      <w:pPr>
        <w:pStyle w:val="Default"/>
        <w:numPr>
          <w:ilvl w:val="0"/>
          <w:numId w:val="4"/>
        </w:numPr>
        <w:spacing w:line="20" w:lineRule="atLeast"/>
        <w:jc w:val="both"/>
        <w:rPr>
          <w:rFonts w:asciiTheme="minorHAnsi" w:hAnsiTheme="minorHAnsi" w:cstheme="minorHAnsi"/>
          <w:sz w:val="22"/>
          <w:szCs w:val="22"/>
        </w:rPr>
      </w:pPr>
      <w:proofErr w:type="gramStart"/>
      <w:r w:rsidRPr="0037633A">
        <w:rPr>
          <w:rFonts w:asciiTheme="minorHAnsi" w:hAnsiTheme="minorHAnsi" w:cstheme="minorHAnsi"/>
          <w:sz w:val="22"/>
          <w:szCs w:val="22"/>
        </w:rPr>
        <w:t>assicura</w:t>
      </w:r>
      <w:proofErr w:type="gramEnd"/>
      <w:r w:rsidRPr="0037633A">
        <w:rPr>
          <w:rFonts w:asciiTheme="minorHAnsi" w:hAnsiTheme="minorHAnsi" w:cstheme="minorHAnsi"/>
          <w:sz w:val="22"/>
          <w:szCs w:val="22"/>
        </w:rPr>
        <w:t xml:space="preserve"> un’azione di servizio e di supporto diretto alle re</w:t>
      </w:r>
      <w:r w:rsidRPr="0037633A">
        <w:rPr>
          <w:rFonts w:asciiTheme="minorHAnsi" w:hAnsiTheme="minorHAnsi" w:cstheme="minorHAnsi"/>
          <w:sz w:val="22"/>
          <w:szCs w:val="22"/>
        </w:rPr>
        <w:softHyphen/>
        <w:t>altà locali che rappresenta, individua, promuove e realizza interventi a supporto delle politiche nazionali e regionali d’innovazione dei processi amministrativi tra Enti locali e Amministrazioni Centrali e Regionali;</w:t>
      </w:r>
    </w:p>
    <w:p w:rsidR="001F6D5F" w:rsidRPr="0037633A" w:rsidRDefault="001F6D5F" w:rsidP="00D52790">
      <w:pPr>
        <w:pStyle w:val="Default"/>
        <w:numPr>
          <w:ilvl w:val="0"/>
          <w:numId w:val="4"/>
        </w:numPr>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xml:space="preserve"> </w:t>
      </w:r>
      <w:proofErr w:type="gramStart"/>
      <w:r w:rsidRPr="0037633A">
        <w:rPr>
          <w:rFonts w:asciiTheme="minorHAnsi" w:hAnsiTheme="minorHAnsi" w:cstheme="minorHAnsi"/>
          <w:sz w:val="22"/>
          <w:szCs w:val="22"/>
        </w:rPr>
        <w:t>direttamente</w:t>
      </w:r>
      <w:proofErr w:type="gramEnd"/>
      <w:r w:rsidRPr="0037633A">
        <w:rPr>
          <w:rFonts w:asciiTheme="minorHAnsi" w:hAnsiTheme="minorHAnsi" w:cstheme="minorHAnsi"/>
          <w:sz w:val="22"/>
          <w:szCs w:val="22"/>
        </w:rPr>
        <w:t xml:space="preserve"> o mediante proprie tecnostrutture svolge atti</w:t>
      </w:r>
      <w:r w:rsidRPr="0037633A">
        <w:rPr>
          <w:rFonts w:asciiTheme="minorHAnsi" w:hAnsiTheme="minorHAnsi" w:cstheme="minorHAnsi"/>
          <w:sz w:val="22"/>
          <w:szCs w:val="22"/>
        </w:rPr>
        <w:softHyphen/>
        <w:t>vità di sostegno, assistenza tecnica ed erogazione di servizi nell’interesse e nei confronti dei Comuni italiani singoli o as</w:t>
      </w:r>
      <w:r w:rsidRPr="0037633A">
        <w:rPr>
          <w:rFonts w:asciiTheme="minorHAnsi" w:hAnsiTheme="minorHAnsi" w:cstheme="minorHAnsi"/>
          <w:sz w:val="22"/>
          <w:szCs w:val="22"/>
        </w:rPr>
        <w:softHyphen/>
        <w:t xml:space="preserve">sociati anche su incarico della pubblica amministrazione; </w:t>
      </w:r>
    </w:p>
    <w:p w:rsidR="001F6D5F" w:rsidRPr="0037633A" w:rsidRDefault="001F6D5F" w:rsidP="00D52790">
      <w:pPr>
        <w:pStyle w:val="Default"/>
        <w:numPr>
          <w:ilvl w:val="0"/>
          <w:numId w:val="4"/>
        </w:numPr>
        <w:spacing w:line="20" w:lineRule="atLeast"/>
        <w:jc w:val="both"/>
        <w:rPr>
          <w:rFonts w:asciiTheme="minorHAnsi" w:hAnsiTheme="minorHAnsi" w:cstheme="minorHAnsi"/>
          <w:sz w:val="22"/>
          <w:szCs w:val="22"/>
        </w:rPr>
      </w:pPr>
      <w:proofErr w:type="gramStart"/>
      <w:r w:rsidRPr="0037633A">
        <w:rPr>
          <w:rFonts w:asciiTheme="minorHAnsi" w:hAnsiTheme="minorHAnsi" w:cstheme="minorHAnsi"/>
          <w:sz w:val="22"/>
          <w:szCs w:val="22"/>
        </w:rPr>
        <w:t>è</w:t>
      </w:r>
      <w:proofErr w:type="gramEnd"/>
      <w:r w:rsidRPr="0037633A">
        <w:rPr>
          <w:rFonts w:asciiTheme="minorHAnsi" w:hAnsiTheme="minorHAnsi" w:cstheme="minorHAnsi"/>
          <w:sz w:val="22"/>
          <w:szCs w:val="22"/>
        </w:rPr>
        <w:t xml:space="preserve"> stata inserita nel luglio 2010 tra gli enti e struttura associativa nell’elenco ISTAT recante l’indicazione delle Amministrazioni pubbliche inserite nel conto consolidato e individuate ai sensi dell’art 1, comma 3, della legge 31 dicembre 2009 n.196; </w:t>
      </w:r>
    </w:p>
    <w:p w:rsidR="001F6D5F" w:rsidRPr="0037633A" w:rsidRDefault="001F6D5F" w:rsidP="00D52790">
      <w:pPr>
        <w:pStyle w:val="Default"/>
        <w:numPr>
          <w:ilvl w:val="0"/>
          <w:numId w:val="4"/>
        </w:numPr>
        <w:spacing w:line="20" w:lineRule="atLeast"/>
        <w:jc w:val="both"/>
        <w:rPr>
          <w:rFonts w:asciiTheme="minorHAnsi" w:hAnsiTheme="minorHAnsi" w:cstheme="minorHAnsi"/>
          <w:sz w:val="22"/>
          <w:szCs w:val="22"/>
        </w:rPr>
      </w:pPr>
      <w:proofErr w:type="gramStart"/>
      <w:r w:rsidRPr="0037633A">
        <w:rPr>
          <w:rFonts w:asciiTheme="minorHAnsi" w:hAnsiTheme="minorHAnsi" w:cstheme="minorHAnsi"/>
          <w:sz w:val="22"/>
          <w:szCs w:val="22"/>
        </w:rPr>
        <w:t>è</w:t>
      </w:r>
      <w:proofErr w:type="gramEnd"/>
      <w:r w:rsidRPr="0037633A">
        <w:rPr>
          <w:rFonts w:asciiTheme="minorHAnsi" w:hAnsiTheme="minorHAnsi" w:cstheme="minorHAnsi"/>
          <w:sz w:val="22"/>
          <w:szCs w:val="22"/>
        </w:rPr>
        <w:t xml:space="preserve"> stata riconosciuta, come le altre ANCI regionali, amministrazione aggiudicatrice dall’ ANAC con propria deliberazione n.21/2017 e come tale soggiace al d.lgs.50/16 e può contrarre convenzioni ai sensi del com</w:t>
      </w:r>
      <w:r w:rsidRPr="0037633A">
        <w:rPr>
          <w:rFonts w:asciiTheme="minorHAnsi" w:hAnsiTheme="minorHAnsi" w:cstheme="minorHAnsi"/>
          <w:sz w:val="22"/>
          <w:szCs w:val="22"/>
        </w:rPr>
        <w:softHyphen/>
        <w:t xml:space="preserve">ma 6 dell’art 5 del d.lgs.50/16; </w:t>
      </w:r>
    </w:p>
    <w:p w:rsidR="001F6D5F" w:rsidRPr="0037633A" w:rsidRDefault="001F6D5F" w:rsidP="00D52790">
      <w:pPr>
        <w:pStyle w:val="Default"/>
        <w:numPr>
          <w:ilvl w:val="0"/>
          <w:numId w:val="4"/>
        </w:numPr>
        <w:spacing w:line="20" w:lineRule="atLeast"/>
        <w:jc w:val="both"/>
        <w:rPr>
          <w:rFonts w:asciiTheme="minorHAnsi" w:hAnsiTheme="minorHAnsi" w:cstheme="minorHAnsi"/>
          <w:sz w:val="22"/>
          <w:szCs w:val="22"/>
        </w:rPr>
      </w:pPr>
      <w:proofErr w:type="gramStart"/>
      <w:r w:rsidRPr="0037633A">
        <w:rPr>
          <w:rFonts w:asciiTheme="minorHAnsi" w:hAnsiTheme="minorHAnsi" w:cstheme="minorHAnsi"/>
          <w:sz w:val="22"/>
          <w:szCs w:val="22"/>
        </w:rPr>
        <w:t>le</w:t>
      </w:r>
      <w:proofErr w:type="gramEnd"/>
      <w:r w:rsidRPr="0037633A">
        <w:rPr>
          <w:rFonts w:asciiTheme="minorHAnsi" w:hAnsiTheme="minorHAnsi" w:cstheme="minorHAnsi"/>
          <w:sz w:val="22"/>
          <w:szCs w:val="22"/>
        </w:rPr>
        <w:t xml:space="preserve"> diverse articolazioni di ANCI, tra cui ANCI Lombardia, so</w:t>
      </w:r>
      <w:r w:rsidRPr="0037633A">
        <w:rPr>
          <w:rFonts w:asciiTheme="minorHAnsi" w:hAnsiTheme="minorHAnsi" w:cstheme="minorHAnsi"/>
          <w:sz w:val="22"/>
          <w:szCs w:val="22"/>
        </w:rPr>
        <w:softHyphen/>
        <w:t xml:space="preserve">no state definite come pubblica amministrazione ai sensi del d.lgs.175/16; </w:t>
      </w:r>
    </w:p>
    <w:p w:rsidR="001F6D5F" w:rsidRPr="0037633A" w:rsidRDefault="001F6D5F" w:rsidP="00D52790">
      <w:pPr>
        <w:pStyle w:val="Default"/>
        <w:numPr>
          <w:ilvl w:val="0"/>
          <w:numId w:val="4"/>
        </w:numPr>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xml:space="preserve"> </w:t>
      </w:r>
      <w:proofErr w:type="gramStart"/>
      <w:r w:rsidRPr="0037633A">
        <w:rPr>
          <w:rFonts w:asciiTheme="minorHAnsi" w:hAnsiTheme="minorHAnsi" w:cstheme="minorHAnsi"/>
          <w:sz w:val="22"/>
          <w:szCs w:val="22"/>
        </w:rPr>
        <w:t>partecipa</w:t>
      </w:r>
      <w:proofErr w:type="gramEnd"/>
      <w:r w:rsidRPr="0037633A">
        <w:rPr>
          <w:rFonts w:asciiTheme="minorHAnsi" w:hAnsiTheme="minorHAnsi" w:cstheme="minorHAnsi"/>
          <w:sz w:val="22"/>
          <w:szCs w:val="22"/>
        </w:rPr>
        <w:t xml:space="preserve"> all’attività dell’Associazione Nazionale dei Comuni Italiani nei modi e nelle forme previste dallo Statuto Nazionale ed è stata individuata, ai sensi dell’art 2 della leg</w:t>
      </w:r>
      <w:r w:rsidRPr="0037633A">
        <w:rPr>
          <w:rFonts w:asciiTheme="minorHAnsi" w:hAnsiTheme="minorHAnsi" w:cstheme="minorHAnsi"/>
          <w:sz w:val="22"/>
          <w:szCs w:val="22"/>
        </w:rPr>
        <w:softHyphen/>
        <w:t>ge Regionale n.22/2009, quale componente di diritto del Consiglio delle Autonomie Locali (CAL) e fa parte di tavoli istituzionali regionali che definiscono le politiche regionali assumendo atti impegnativi nei confronti degli Enti Locali.</w:t>
      </w:r>
    </w:p>
    <w:p w:rsidR="001F6D5F" w:rsidRPr="002C33CD" w:rsidRDefault="001F6D5F" w:rsidP="001F6D5F">
      <w:pPr>
        <w:pStyle w:val="Default"/>
        <w:spacing w:line="20" w:lineRule="atLeast"/>
        <w:jc w:val="both"/>
        <w:rPr>
          <w:rFonts w:asciiTheme="minorHAnsi" w:hAnsiTheme="minorHAnsi" w:cstheme="minorHAnsi"/>
          <w:b/>
          <w:sz w:val="22"/>
          <w:szCs w:val="22"/>
        </w:rPr>
      </w:pPr>
      <w:r w:rsidRPr="002C33CD">
        <w:rPr>
          <w:rFonts w:asciiTheme="minorHAnsi" w:hAnsiTheme="minorHAnsi" w:cstheme="minorHAnsi"/>
          <w:b/>
          <w:sz w:val="22"/>
          <w:szCs w:val="22"/>
        </w:rPr>
        <w:t xml:space="preserve">LA DISPOSIZIONE </w:t>
      </w:r>
    </w:p>
    <w:p w:rsidR="001F6D5F" w:rsidRPr="0037633A" w:rsidRDefault="001F6D5F" w:rsidP="001F6D5F">
      <w:pPr>
        <w:pStyle w:val="Pa16"/>
        <w:spacing w:line="20" w:lineRule="atLeast"/>
        <w:ind w:firstLine="160"/>
        <w:jc w:val="both"/>
        <w:rPr>
          <w:rFonts w:asciiTheme="minorHAnsi" w:hAnsiTheme="minorHAnsi" w:cstheme="minorHAnsi"/>
          <w:color w:val="000000"/>
          <w:sz w:val="22"/>
          <w:szCs w:val="22"/>
        </w:rPr>
      </w:pPr>
      <w:r w:rsidRPr="0037633A">
        <w:rPr>
          <w:rFonts w:asciiTheme="minorHAnsi" w:hAnsiTheme="minorHAnsi" w:cstheme="minorHAnsi"/>
          <w:color w:val="000000"/>
          <w:sz w:val="22"/>
          <w:szCs w:val="22"/>
        </w:rPr>
        <w:t xml:space="preserve">Viene </w:t>
      </w:r>
      <w:proofErr w:type="gramStart"/>
      <w:r w:rsidRPr="0037633A">
        <w:rPr>
          <w:rFonts w:asciiTheme="minorHAnsi" w:hAnsiTheme="minorHAnsi" w:cstheme="minorHAnsi"/>
          <w:color w:val="000000"/>
          <w:sz w:val="22"/>
          <w:szCs w:val="22"/>
        </w:rPr>
        <w:t>approvato  lo</w:t>
      </w:r>
      <w:proofErr w:type="gramEnd"/>
      <w:r w:rsidRPr="0037633A">
        <w:rPr>
          <w:rFonts w:asciiTheme="minorHAnsi" w:hAnsiTheme="minorHAnsi" w:cstheme="minorHAnsi"/>
          <w:color w:val="000000"/>
          <w:sz w:val="22"/>
          <w:szCs w:val="22"/>
        </w:rPr>
        <w:t xml:space="preserve"> schema di accordo di cui all’Allegato A) costituente parte integrante e sostanziale del presente provve</w:t>
      </w:r>
      <w:r w:rsidRPr="0037633A">
        <w:rPr>
          <w:rFonts w:asciiTheme="minorHAnsi" w:hAnsiTheme="minorHAnsi" w:cstheme="minorHAnsi"/>
          <w:color w:val="000000"/>
          <w:sz w:val="22"/>
          <w:szCs w:val="22"/>
        </w:rPr>
        <w:softHyphen/>
        <w:t xml:space="preserve">dimento, per dare avvio alla progettualità «La Lombardia è dei giovani»; </w:t>
      </w:r>
    </w:p>
    <w:p w:rsidR="001F6D5F" w:rsidRPr="0037633A" w:rsidRDefault="001F6D5F" w:rsidP="001F6D5F">
      <w:pPr>
        <w:pStyle w:val="Pa16"/>
        <w:spacing w:line="20" w:lineRule="atLeast"/>
        <w:ind w:firstLine="160"/>
        <w:jc w:val="both"/>
        <w:rPr>
          <w:rFonts w:asciiTheme="minorHAnsi" w:hAnsiTheme="minorHAnsi" w:cstheme="minorHAnsi"/>
          <w:color w:val="000000"/>
          <w:sz w:val="22"/>
          <w:szCs w:val="22"/>
        </w:rPr>
      </w:pPr>
      <w:proofErr w:type="gramStart"/>
      <w:r w:rsidRPr="0037633A">
        <w:rPr>
          <w:rFonts w:asciiTheme="minorHAnsi" w:hAnsiTheme="minorHAnsi" w:cstheme="minorHAnsi"/>
          <w:color w:val="000000"/>
          <w:sz w:val="22"/>
          <w:szCs w:val="22"/>
        </w:rPr>
        <w:t>Viene  demandata</w:t>
      </w:r>
      <w:proofErr w:type="gramEnd"/>
      <w:r w:rsidRPr="0037633A">
        <w:rPr>
          <w:rFonts w:asciiTheme="minorHAnsi" w:hAnsiTheme="minorHAnsi" w:cstheme="minorHAnsi"/>
          <w:color w:val="000000"/>
          <w:sz w:val="22"/>
          <w:szCs w:val="22"/>
        </w:rPr>
        <w:t xml:space="preserve"> al Direttore Generale pro tempore della DG Sport e Giovani la sottoscrizione dell’Accordo con ANCI Lombar</w:t>
      </w:r>
      <w:r w:rsidRPr="0037633A">
        <w:rPr>
          <w:rFonts w:asciiTheme="minorHAnsi" w:hAnsiTheme="minorHAnsi" w:cstheme="minorHAnsi"/>
          <w:color w:val="000000"/>
          <w:sz w:val="22"/>
          <w:szCs w:val="22"/>
        </w:rPr>
        <w:softHyphen/>
        <w:t>dia finalizzata a garantire il supporto ai Comuni nella realizzazio</w:t>
      </w:r>
      <w:r w:rsidRPr="0037633A">
        <w:rPr>
          <w:rFonts w:asciiTheme="minorHAnsi" w:hAnsiTheme="minorHAnsi" w:cstheme="minorHAnsi"/>
          <w:color w:val="000000"/>
          <w:sz w:val="22"/>
          <w:szCs w:val="22"/>
        </w:rPr>
        <w:softHyphen/>
        <w:t xml:space="preserve">ne delle iniziative di cui al punto precedente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Le risorse complessive a copertura delle atti</w:t>
      </w:r>
      <w:r w:rsidRPr="0037633A">
        <w:rPr>
          <w:rFonts w:asciiTheme="minorHAnsi" w:hAnsiTheme="minorHAnsi" w:cstheme="minorHAnsi"/>
          <w:sz w:val="22"/>
          <w:szCs w:val="22"/>
        </w:rPr>
        <w:softHyphen/>
        <w:t>vità sono stimate in Euro 1.000.000,00</w:t>
      </w:r>
    </w:p>
    <w:p w:rsidR="001F6D5F" w:rsidRPr="0037633A" w:rsidRDefault="001F6D5F" w:rsidP="001F6D5F">
      <w:pPr>
        <w:pStyle w:val="Default"/>
        <w:spacing w:line="20" w:lineRule="atLeast"/>
        <w:jc w:val="both"/>
        <w:rPr>
          <w:rFonts w:asciiTheme="minorHAnsi" w:hAnsiTheme="minorHAnsi" w:cstheme="minorHAnsi"/>
          <w:sz w:val="22"/>
          <w:szCs w:val="22"/>
        </w:rPr>
      </w:pPr>
    </w:p>
    <w:p w:rsidR="001F6D5F" w:rsidRPr="0037633A" w:rsidRDefault="001F6D5F" w:rsidP="001F6D5F">
      <w:pPr>
        <w:pStyle w:val="Default"/>
        <w:spacing w:line="20" w:lineRule="atLeast"/>
        <w:jc w:val="both"/>
        <w:rPr>
          <w:rFonts w:asciiTheme="minorHAnsi" w:hAnsiTheme="minorHAnsi" w:cstheme="minorHAnsi"/>
          <w:i/>
          <w:iCs/>
          <w:sz w:val="22"/>
          <w:szCs w:val="22"/>
        </w:rPr>
      </w:pPr>
      <w:r w:rsidRPr="0037633A">
        <w:rPr>
          <w:rFonts w:asciiTheme="minorHAnsi" w:hAnsiTheme="minorHAnsi" w:cstheme="minorHAnsi"/>
          <w:sz w:val="22"/>
          <w:szCs w:val="22"/>
        </w:rPr>
        <w:t xml:space="preserve">ACCORDO TRA REGIONE LOMBARDIA E ANCI LOMBARDIA PER L’ATTUAZIONE DELLA PROGETTUALITÀ “LA LOMBARDIA È DEI GIOVANI” TRA Regione Lombardia, con sede legale in Piazza Città di Lombardia, 1 – 20124 Milano, Codice fiscale 80050050154, rappresentata da Simone Rasetti, in qualità di Direttore Generale pro-tempore della Direzione Generale Sport e Giovani E l’Associazione Nazionale dei Comuni Italiani (ANCI) - Lombardia, di seguito denominata ANCI Lombardia, con sede in Milano, Via Rovello n. 2, P. IVA 04875270961 e C.F. 80160390151 rappresentata da Virginio Brivio in qualità di Presidente </w:t>
      </w:r>
      <w:r w:rsidRPr="0037633A">
        <w:rPr>
          <w:rFonts w:asciiTheme="minorHAnsi" w:hAnsiTheme="minorHAnsi" w:cstheme="minorHAnsi"/>
          <w:i/>
          <w:iCs/>
          <w:sz w:val="22"/>
          <w:szCs w:val="22"/>
        </w:rPr>
        <w:t xml:space="preserve">pro tempore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xml:space="preserve">PREMESSO CHE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lastRenderedPageBreak/>
        <w:t xml:space="preserve">• ANCI Lombardia è riconosciuta “amministrazione pubblica” ai sensi del D.lgs. 175/2016 art. 2 c. 1;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xml:space="preserve">• ANCI Lombardia, che è la diretta espressione, per la regione, di ANCI nazionale, associa la quasi totalità dei comuni presenti sul territorio regionale, è titolare della rappresentanza istituzionale dei Comuni suoi associati, della Città metropolitana e degli altri enti di derivazione comunale nei rapporti con la Regione e promuove in modo diretto, anche in accordo con le Province, la Regione, lo Stato, l’Unione Europea e loro Enti e Organi operativi, anche attraverso la propria società strumentale, attività, tra le altre di studio e ricerca, di servizio, di formazione, di assistenza, e di consulenza a favore degli Enti associati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xml:space="preserve">• Regione Lombardia e ANCI, hanno individuato, al fine di sviluppare e perseguire obiettivi comuni e realizzare le relative attività in collaborazione, lo strumento dell’Accordo di Collaborazione ai sensi dell’art. 15 L. 241/1990 e ss.mm.ii. che prevede la possibilità per le amministrazioni pubbliche di concludere tra loro accordi per disciplinare lo svolgimento in collaborazione di attività di interesse comune, ed in particolare hanno ravvisato l’opportunità di collaborare, ciascuno per le proprie competenze e disponibilità, per la realizzazione della progettualità “La Lombardia è dei giovani”, di cui alla scheda allegata al presente accordo • ANCI Lombardia partecipa all'attività dell’Associazione Nazionale dei Comuni Italiani - ANCI - nei modi e nelle forme previste dallo statuto nazionale ed in particolare all’art. 36 dello stesso che recita </w:t>
      </w:r>
      <w:r w:rsidRPr="0037633A">
        <w:rPr>
          <w:rFonts w:asciiTheme="minorHAnsi" w:hAnsiTheme="minorHAnsi" w:cstheme="minorHAnsi"/>
          <w:i/>
          <w:iCs/>
          <w:sz w:val="22"/>
          <w:szCs w:val="22"/>
        </w:rPr>
        <w:t>“L’Anci è articolata secondo un sistema di rappresentanza del territorio e sul territorio incentrata sull’Associazione Nazionale e sulle ANCI Regionali”</w:t>
      </w:r>
      <w:r w:rsidRPr="0037633A">
        <w:rPr>
          <w:rFonts w:asciiTheme="minorHAnsi" w:hAnsiTheme="minorHAnsi" w:cstheme="minorHAnsi"/>
          <w:sz w:val="22"/>
          <w:szCs w:val="22"/>
        </w:rPr>
        <w:t xml:space="preserve">;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xml:space="preserve">• Ai sensi dell’art. 2 della Legge Regionale n. 22/2009, istitutiva del Consiglio delle Autonomie Locali (CAL), ANCI Lombardia è individuata quale componente di diritto dello stesso e fa parte di Tavoli istituzionali regionali che definiscono le politiche regionali assumendo atti impegnativi nei confronti degli Enti Locali (es. patto di stabilità territoriale, ISV, Welfare etc.);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xml:space="preserve">• Con Delibera di Giunta Regionale n. XI/106/2018 è stato approvato il Protocollo d’intesa tra Regione Lombardia e ANCI Lombardia, sottoscritto il 18 ottobre 2018, finalizzato ad incrementare il rapporto di collaborazione tra i due enti in diversi settori, tra cui quello del miglioramento quali-quantitativo del sistema delle relazioni istituzionali, attraverso il potenziamento dei canali di confronto e collaborazione, al fine di costruire un sistema istituzionale lombardo più efficace ed efficiente e che demanda l’attuazione degli obiettivi elencati alla definizione di specifici accordi, con cui vengono stabiliti modalità organizzative e relativi aspetti finanziari;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xml:space="preserve">CONSIDERATO CHE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xml:space="preserve">• In particolare, Regione Lombardia ha ritenuto di coinvolgere ANCI Lombardia, quale Associazione maggiormente rappresentativa dei Comuni, in un tavolo istituzionale di ascolto e di confronto finalizzato a: rafforzare il dialogo strutturato con il territorio e sviluppare un piano di azioni strategiche e integrate per valorizzare il potenziale giovanile locale e la partecipazione dei giovani;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xml:space="preserve">• Le parti sottoscrivono il presente atto esclusivamente nell’interesse pubblico, attuando una cooperazione tesa a garantire che i servizi pubblici che esse sono tenute a svolgere, siano prestati per conseguire gli obiettivi che hanno in comune;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xml:space="preserve">• Regione Lombardia ed ANCI Lombardia rispondono a obiettivi comuni di perseguimento dell’efficacia e dell’efficienza amministrativa, in quanto fondanti della propria natura istituzionale;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xml:space="preserve">PRESO ATTO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xml:space="preserve">• Che l’art. 15 della Legge 7 agosto 1990, n. 241 stabilisce che le Amministrazioni Pubbliche possono concludere tra loro accordi per disciplinare lo svolgimento, in collaborazione, di attività di interesse comune e che per tali accordi si osservano, in quanto applicabili, le disposizioni previste dall’art. 11, commi 2 e 3 della medesima legge;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xml:space="preserve">• Che sono state soddisfatte tutte le condizioni di cui all’art. 5, comma 6, del D. Lgs. n. 50/2016;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Che ANCI Lombardia ha condiviso gli obiettivi e le finalità della progettualità “La Lombardia è dei giovani” relativa alle politiche giovanili sul territorio;</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xml:space="preserve">• Che la presente iniziativa è coerente con le funzioni proprie dei Comuni;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xml:space="preserve">• Che ANCI Lombardia si è resa disponibile a garantire il necessario supporto ai Comuni con attività di supporto alle attività di informazione, alle procedure amministrative gestionali, rendicontative e di monitoraggio;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xml:space="preserve">• Che per l’espletamento delle attività descritte nel presente atto sono necessarie competenze specifiche, con perfetta conoscenza dei sistemi comunali, che ANCI Lombardia è in grado di assicurare;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lastRenderedPageBreak/>
        <w:t xml:space="preserve">• Che ANCI Lombardia ha interesse a promuovere strumenti omogenei unificati nonché a garantire, anche mediante le attività dell’accordo, l’assolvimento dei propri impegni statutari e ad implementare soluzioni che possano essere utilmente poste a disposizione degli associati in materia di cooperazione intercomunale;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xml:space="preserve">• Che le esperienze e gli strumenti di lavoro a disposizione di ANCI Lombardia, anche attraverso l’operato della propria società strumentale su cui esercita attività di direzione, coordinamento </w:t>
      </w:r>
      <w:proofErr w:type="gramStart"/>
      <w:r w:rsidRPr="0037633A">
        <w:rPr>
          <w:rFonts w:asciiTheme="minorHAnsi" w:hAnsiTheme="minorHAnsi" w:cstheme="minorHAnsi"/>
          <w:sz w:val="22"/>
          <w:szCs w:val="22"/>
        </w:rPr>
        <w:t xml:space="preserve">e </w:t>
      </w:r>
      <w:r w:rsidRPr="0037633A">
        <w:rPr>
          <w:rStyle w:val="A8"/>
          <w:rFonts w:asciiTheme="minorHAnsi" w:hAnsiTheme="minorHAnsi" w:cstheme="minorHAnsi"/>
          <w:sz w:val="22"/>
          <w:szCs w:val="22"/>
        </w:rPr>
        <w:t xml:space="preserve"> </w:t>
      </w:r>
      <w:r w:rsidRPr="0037633A">
        <w:rPr>
          <w:rFonts w:asciiTheme="minorHAnsi" w:hAnsiTheme="minorHAnsi" w:cstheme="minorHAnsi"/>
          <w:sz w:val="22"/>
          <w:szCs w:val="22"/>
        </w:rPr>
        <w:t>controllo</w:t>
      </w:r>
      <w:proofErr w:type="gramEnd"/>
      <w:r w:rsidRPr="0037633A">
        <w:rPr>
          <w:rFonts w:asciiTheme="minorHAnsi" w:hAnsiTheme="minorHAnsi" w:cstheme="minorHAnsi"/>
          <w:sz w:val="22"/>
          <w:szCs w:val="22"/>
        </w:rPr>
        <w:t xml:space="preserve"> permettono altresì l’ottimizzazione delle risorse e la tempestività del loro trasferimento ai Comuni.</w:t>
      </w:r>
    </w:p>
    <w:p w:rsidR="001F6D5F" w:rsidRPr="0037633A" w:rsidRDefault="001F6D5F" w:rsidP="001F6D5F">
      <w:pPr>
        <w:pStyle w:val="Default"/>
        <w:spacing w:line="20" w:lineRule="atLeast"/>
        <w:jc w:val="both"/>
        <w:rPr>
          <w:rFonts w:asciiTheme="minorHAnsi" w:hAnsiTheme="minorHAnsi" w:cstheme="minorHAnsi"/>
          <w:b/>
          <w:bCs/>
          <w:sz w:val="22"/>
          <w:szCs w:val="22"/>
        </w:rPr>
      </w:pPr>
      <w:r w:rsidRPr="0037633A">
        <w:rPr>
          <w:rFonts w:asciiTheme="minorHAnsi" w:hAnsiTheme="minorHAnsi" w:cstheme="minorHAnsi"/>
          <w:sz w:val="22"/>
          <w:szCs w:val="22"/>
        </w:rPr>
        <w:t xml:space="preserve"> TUTTO CIÒ PREMESSO SI CONVIENE E SI STIPULA QUANTO SEGUE </w:t>
      </w:r>
    </w:p>
    <w:p w:rsidR="001F6D5F" w:rsidRPr="0037633A" w:rsidRDefault="001F6D5F" w:rsidP="001F6D5F">
      <w:pPr>
        <w:pStyle w:val="Default"/>
        <w:spacing w:line="20" w:lineRule="atLeast"/>
        <w:jc w:val="both"/>
        <w:rPr>
          <w:rFonts w:asciiTheme="minorHAnsi" w:hAnsiTheme="minorHAnsi" w:cstheme="minorHAnsi"/>
          <w:sz w:val="22"/>
          <w:szCs w:val="22"/>
        </w:rPr>
      </w:pPr>
      <w:proofErr w:type="gramStart"/>
      <w:r w:rsidRPr="0037633A">
        <w:rPr>
          <w:rFonts w:asciiTheme="minorHAnsi" w:hAnsiTheme="minorHAnsi" w:cstheme="minorHAnsi"/>
          <w:b/>
          <w:bCs/>
          <w:sz w:val="22"/>
          <w:szCs w:val="22"/>
        </w:rPr>
        <w:t>rt</w:t>
      </w:r>
      <w:proofErr w:type="gramEnd"/>
      <w:r w:rsidRPr="0037633A">
        <w:rPr>
          <w:rFonts w:asciiTheme="minorHAnsi" w:hAnsiTheme="minorHAnsi" w:cstheme="minorHAnsi"/>
          <w:b/>
          <w:bCs/>
          <w:sz w:val="22"/>
          <w:szCs w:val="22"/>
        </w:rPr>
        <w:t xml:space="preserve">. 1 – Premesse </w:t>
      </w:r>
      <w:r w:rsidRPr="0037633A">
        <w:rPr>
          <w:rFonts w:asciiTheme="minorHAnsi" w:hAnsiTheme="minorHAnsi" w:cstheme="minorHAnsi"/>
          <w:sz w:val="22"/>
          <w:szCs w:val="22"/>
        </w:rPr>
        <w:t xml:space="preserve">Le premesse sono parte integrante e sostanziale del presente atto. </w:t>
      </w:r>
    </w:p>
    <w:p w:rsidR="001F6D5F" w:rsidRPr="0037633A" w:rsidRDefault="001F6D5F" w:rsidP="001F6D5F">
      <w:pPr>
        <w:pStyle w:val="Default"/>
        <w:spacing w:line="20" w:lineRule="atLeast"/>
        <w:jc w:val="both"/>
        <w:rPr>
          <w:rFonts w:asciiTheme="minorHAnsi" w:hAnsiTheme="minorHAnsi" w:cstheme="minorHAnsi"/>
          <w:b/>
          <w:bCs/>
          <w:sz w:val="22"/>
          <w:szCs w:val="22"/>
        </w:rPr>
      </w:pPr>
      <w:r w:rsidRPr="0037633A">
        <w:rPr>
          <w:rFonts w:asciiTheme="minorHAnsi" w:hAnsiTheme="minorHAnsi" w:cstheme="minorHAnsi"/>
          <w:b/>
          <w:bCs/>
          <w:sz w:val="22"/>
          <w:szCs w:val="22"/>
        </w:rPr>
        <w:t xml:space="preserve">Art. 2 – Oggetto e durata dell’accordo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xml:space="preserve">Regione Lombardia e ANCI Lombardia si impegnano a collaborare nella realizzazione del progetto “La Lombardia è dei giovani”, i cui obiettivi sono la programmazione e gestione di iniziative, misure e interventi sviluppati dai Comuni, anche in forma sperimentale, a favore dei giovani, volti a favorire il loro protagonismo nella società. L’Accordo decorre dalla data di sottoscrizione e ha durata sino al 31 dicembre 2021. Potrà essere rinnovato, integrato o prorogato d’intesa tra le parti. </w:t>
      </w:r>
    </w:p>
    <w:p w:rsidR="001F6D5F" w:rsidRPr="0037633A" w:rsidRDefault="001F6D5F" w:rsidP="001F6D5F">
      <w:pPr>
        <w:pStyle w:val="Default"/>
        <w:spacing w:line="20" w:lineRule="atLeast"/>
        <w:jc w:val="both"/>
        <w:rPr>
          <w:rFonts w:asciiTheme="minorHAnsi" w:hAnsiTheme="minorHAnsi" w:cstheme="minorHAnsi"/>
          <w:b/>
          <w:bCs/>
          <w:sz w:val="22"/>
          <w:szCs w:val="22"/>
        </w:rPr>
      </w:pPr>
      <w:r w:rsidRPr="0037633A">
        <w:rPr>
          <w:rFonts w:asciiTheme="minorHAnsi" w:hAnsiTheme="minorHAnsi" w:cstheme="minorHAnsi"/>
          <w:b/>
          <w:bCs/>
          <w:sz w:val="22"/>
          <w:szCs w:val="22"/>
        </w:rPr>
        <w:t xml:space="preserve">Art. 3 – Descrizione delle attività in carico ai soggetti sottoscrittori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xml:space="preserve">Ai fini dell’attuazione del progetto “La Lombardia è dei giovani”, ciascun soggetto partecipa attivamente a tutte le fasi previste per la realizzazione dello stesso, secondo il proprio ruolo istituzionale e gli impegni di seguito individuati: Regione Lombardia si impegna a: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xml:space="preserve">1. curare la governance del progetto: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xml:space="preserve">2. supervisionare il progetto nel suo insieme, pubblicizzare e diffondere l’iniziativa attraverso i propri canali di comunicazione;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xml:space="preserve">3. predisporre un bando, destinato ai comuni, e a gestire l’istruttoria per la parte relativa all’individuazione degli interventi riguardanti il progetto.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xml:space="preserve">ANCI Lombardia si impegna a svolgere: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xml:space="preserve">1. supporto nella definizione dei criteri essenziali per la progettualità in oggetto e che verranno recepiti in successivo atto di giunta;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2. attività di comunicazione, sensibilizzazione, informazione e formazione, così come di seguito descritta:</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xml:space="preserve"> - spedizione di newsletter circolari a carattere informativo a tutti i Comuni, per comunicazioni tempestive;</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xml:space="preserve"> - invio telematico di materiali formativi e informativi;</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xml:space="preserve"> - all’organizzazione e realizzazione di incontri formativi d'aula per i Comuni; - gestione, aggiornamento e mantenimento sito internet dedicato;</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xml:space="preserve"> - attività di comunicazione del Bando mediante la rivista Strategie Amministrative in formato digitale e cartaceo e attraverso i social network istituzionali.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3. attività a supporto delle procedure amministrative gestionali di competenza dei Comuni garantendo mediante servizi di Help Desk e presenze in loco da concordare volti l’accompagnamento dei Comuni:</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xml:space="preserve"> - nelle fasi di presentazione del progetto,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xml:space="preserve">- nella gestione delle criticità legate alle procedure tecnico-amministrative;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xml:space="preserve">- nelle fasi di rendicontazione/consuntivazione della misura.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4. attività di rendicontazione, monitoraggio e verifica da attuarsi mediante</w:t>
      </w:r>
      <w:r w:rsidR="007E24FC">
        <w:rPr>
          <w:rFonts w:asciiTheme="minorHAnsi" w:hAnsiTheme="minorHAnsi" w:cstheme="minorHAnsi"/>
          <w:sz w:val="22"/>
          <w:szCs w:val="22"/>
        </w:rPr>
        <w:t>:</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xml:space="preserve"> - stesura di report statistici a cadenza trimestrale circa l’andamento della misura sul territorio regionale;</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xml:space="preserve"> - monitoraggio dell’avanzamento dell’attività dei singoli progetti;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xml:space="preserve">- monitoraggio dei flussi economici finanziari;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xml:space="preserve">- erogazione delle risorse finanziarie ai soggetti beneficiari;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xml:space="preserve">- verifica dell’outcome raggiunto. </w:t>
      </w:r>
    </w:p>
    <w:p w:rsidR="001F6D5F" w:rsidRPr="0037633A" w:rsidRDefault="001F6D5F" w:rsidP="001F6D5F">
      <w:pPr>
        <w:pStyle w:val="Default"/>
        <w:spacing w:line="20" w:lineRule="atLeast"/>
        <w:jc w:val="both"/>
        <w:rPr>
          <w:rFonts w:asciiTheme="minorHAnsi" w:hAnsiTheme="minorHAnsi" w:cstheme="minorHAnsi"/>
          <w:b/>
          <w:bCs/>
          <w:sz w:val="22"/>
          <w:szCs w:val="22"/>
        </w:rPr>
      </w:pPr>
      <w:r w:rsidRPr="0037633A">
        <w:rPr>
          <w:rFonts w:asciiTheme="minorHAnsi" w:hAnsiTheme="minorHAnsi" w:cstheme="minorHAnsi"/>
          <w:b/>
          <w:bCs/>
          <w:sz w:val="22"/>
          <w:szCs w:val="22"/>
        </w:rPr>
        <w:t>Art. 4 – Aspetti Economici</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b/>
          <w:bCs/>
          <w:sz w:val="22"/>
          <w:szCs w:val="22"/>
        </w:rPr>
        <w:t xml:space="preserve"> </w:t>
      </w:r>
      <w:r w:rsidRPr="0037633A">
        <w:rPr>
          <w:rFonts w:asciiTheme="minorHAnsi" w:hAnsiTheme="minorHAnsi" w:cstheme="minorHAnsi"/>
          <w:sz w:val="22"/>
          <w:szCs w:val="22"/>
        </w:rPr>
        <w:t xml:space="preserve">Regione Lombardia destina al progetto “La Lombardia è dei giovani” un importo complessivo pari a 1 milione di euro, ripartito come segue: - Euro 60.000,00 a copertura parziale delle spese sostenute da Anci Lombardia per lo svolgimento delle attività descritte nell’art. 3 del presente accordo e per le quali Anci Lombardia ha stimato costi pari a Euro 75.000,00; - Euro 940.000,00 per l’attuazione della progettualità “la Lombardia è dei giovani”; ANCI Lombardia destina al progetto sopra citato la parte economica restante relativa alle attività descritte nell’art. 3 del presente accordo. </w:t>
      </w:r>
    </w:p>
    <w:p w:rsidR="001F6D5F" w:rsidRPr="0037633A" w:rsidRDefault="001F6D5F" w:rsidP="001F6D5F">
      <w:pPr>
        <w:pStyle w:val="Default"/>
        <w:spacing w:line="20" w:lineRule="atLeast"/>
        <w:jc w:val="both"/>
        <w:rPr>
          <w:rFonts w:asciiTheme="minorHAnsi" w:hAnsiTheme="minorHAnsi" w:cstheme="minorHAnsi"/>
          <w:b/>
          <w:bCs/>
          <w:sz w:val="22"/>
          <w:szCs w:val="22"/>
        </w:rPr>
      </w:pPr>
      <w:r w:rsidRPr="0037633A">
        <w:rPr>
          <w:rFonts w:asciiTheme="minorHAnsi" w:hAnsiTheme="minorHAnsi" w:cstheme="minorHAnsi"/>
          <w:b/>
          <w:bCs/>
          <w:sz w:val="22"/>
          <w:szCs w:val="22"/>
        </w:rPr>
        <w:t xml:space="preserve">Art. 5 - Modalità di liquidazione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lastRenderedPageBreak/>
        <w:t xml:space="preserve">L’erogazione del rimborso spese ad ANCI Lombardia per l’attività di competenza di cui all’art. 3, per un valore di Euro 60.000, avverrà secondo le seguenti modalità: − Prima quota (pari al 30%) alla data di sottoscrizione del presente accordo; − Seconda quota (pari al 50%) entro il 30 giugno 2020; − Terza quota (pari al 20%) a seguito della conclusione dei progetti a valere sulla misura. Per ciascuna quota di erogazione richiesta, ANCI Lombardia presenterà a Regione Lombardia relazione attività e rendicontazione contabile delle spese sostenute e strettamente riferibili al presente accordo, ad esclusione della prima quota. Le liquidazioni saranno effettuate entro 30 giorni dal ricevimento della documentazione, fatto salvo che per la prima quota. Per la realizzazione dei progetti approvati in seguito alla pubblicazione del bando, per un valore di Euro 940.000, Regione Lombardia si impegna a trasferire ad ANCI Lombardia: - Euro 282.000 alla pubblicazione dell’avviso per la presentazione dei progetti; - Euro 658.000 entro gennaio 2020 per garantire i trasferimenti ai beneficiari previa condivisione e validazione da parte di Regione Lombardia in qualità di struttura competente delle richieste da parte dei capofila di progetto. Nel caso in cui al termine della rendicontazione finale da parte dei beneficiari i trasferimenti delle somme ad ANCI Lombardia fossero superiori al valore consuntivato e rendicontato a chiusura della misura, dette somme saranno restituite a Regione Lombardia entro 60 giorni. </w:t>
      </w:r>
    </w:p>
    <w:p w:rsidR="001F6D5F" w:rsidRPr="0037633A" w:rsidRDefault="001F6D5F" w:rsidP="001F6D5F">
      <w:pPr>
        <w:pStyle w:val="Default"/>
        <w:spacing w:line="20" w:lineRule="atLeast"/>
        <w:jc w:val="both"/>
        <w:rPr>
          <w:rFonts w:asciiTheme="minorHAnsi" w:hAnsiTheme="minorHAnsi" w:cstheme="minorHAnsi"/>
          <w:b/>
          <w:bCs/>
          <w:sz w:val="22"/>
          <w:szCs w:val="22"/>
        </w:rPr>
      </w:pPr>
      <w:r w:rsidRPr="0037633A">
        <w:rPr>
          <w:rFonts w:asciiTheme="minorHAnsi" w:hAnsiTheme="minorHAnsi" w:cstheme="minorHAnsi"/>
          <w:b/>
          <w:bCs/>
          <w:sz w:val="22"/>
          <w:szCs w:val="22"/>
        </w:rPr>
        <w:t xml:space="preserve">Art. 6 - Controlli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Regione Lombardia si riserva il diritto di verificare in attuazione alle proprie regole di procedimento la conformità della progettualità e delle spese sostenute dai soggetti beneficiari.</w:t>
      </w:r>
    </w:p>
    <w:p w:rsidR="001F6D5F" w:rsidRPr="0037633A" w:rsidRDefault="001F6D5F" w:rsidP="001F6D5F">
      <w:pPr>
        <w:pStyle w:val="Default"/>
        <w:spacing w:line="20" w:lineRule="atLeast"/>
        <w:jc w:val="both"/>
        <w:rPr>
          <w:rFonts w:asciiTheme="minorHAnsi" w:hAnsiTheme="minorHAnsi" w:cstheme="minorHAnsi"/>
          <w:b/>
          <w:bCs/>
          <w:sz w:val="22"/>
          <w:szCs w:val="22"/>
        </w:rPr>
      </w:pPr>
      <w:r w:rsidRPr="0037633A">
        <w:rPr>
          <w:rFonts w:asciiTheme="minorHAnsi" w:hAnsiTheme="minorHAnsi" w:cstheme="minorHAnsi"/>
          <w:b/>
          <w:bCs/>
          <w:sz w:val="22"/>
          <w:szCs w:val="22"/>
        </w:rPr>
        <w:t xml:space="preserve">Art. 7 – Coperture assicurative </w:t>
      </w:r>
    </w:p>
    <w:p w:rsidR="001F6D5F" w:rsidRPr="0037633A" w:rsidRDefault="001F6D5F" w:rsidP="001F6D5F">
      <w:pPr>
        <w:pStyle w:val="Default"/>
        <w:spacing w:line="20" w:lineRule="atLeast"/>
        <w:jc w:val="both"/>
        <w:rPr>
          <w:rFonts w:asciiTheme="minorHAnsi" w:hAnsiTheme="minorHAnsi" w:cstheme="minorHAnsi"/>
          <w:b/>
          <w:bCs/>
          <w:sz w:val="22"/>
          <w:szCs w:val="22"/>
        </w:rPr>
      </w:pPr>
      <w:r w:rsidRPr="0037633A">
        <w:rPr>
          <w:rFonts w:asciiTheme="minorHAnsi" w:hAnsiTheme="minorHAnsi" w:cstheme="minorHAnsi"/>
          <w:sz w:val="22"/>
          <w:szCs w:val="22"/>
        </w:rPr>
        <w:t xml:space="preserve">Resta inteso che le coperture assicurative per gli infortuni, la responsabilità civili verso terzi e gli eventuali rischi professionali connesse alle attività svolte da ANCI Lombardia e necessarie alla realizzazione della presente convezione rimarranno a carico di quest’ultima. </w:t>
      </w:r>
      <w:r w:rsidRPr="0037633A">
        <w:rPr>
          <w:rFonts w:asciiTheme="minorHAnsi" w:hAnsiTheme="minorHAnsi" w:cstheme="minorHAnsi"/>
          <w:b/>
          <w:bCs/>
          <w:sz w:val="22"/>
          <w:szCs w:val="22"/>
        </w:rPr>
        <w:t xml:space="preserve">Art. 8 – Riservatezza e privacy </w:t>
      </w:r>
    </w:p>
    <w:p w:rsidR="001F6D5F" w:rsidRPr="0037633A" w:rsidRDefault="001F6D5F" w:rsidP="001F6D5F">
      <w:pPr>
        <w:pStyle w:val="Default"/>
        <w:spacing w:line="20" w:lineRule="atLeast"/>
        <w:jc w:val="both"/>
        <w:rPr>
          <w:rFonts w:asciiTheme="minorHAnsi" w:hAnsiTheme="minorHAnsi" w:cstheme="minorHAnsi"/>
          <w:b/>
          <w:bCs/>
          <w:sz w:val="22"/>
          <w:szCs w:val="22"/>
        </w:rPr>
      </w:pPr>
      <w:r w:rsidRPr="0037633A">
        <w:rPr>
          <w:rFonts w:asciiTheme="minorHAnsi" w:hAnsiTheme="minorHAnsi" w:cstheme="minorHAnsi"/>
          <w:sz w:val="22"/>
          <w:szCs w:val="22"/>
        </w:rPr>
        <w:t xml:space="preserve">Alle parti è fatto divieto di divulgare notizie e documenti di cui abbia avuto conoscenza o possesso a seguito dell’espletamento delle attività oggetto del presente incarico. Le Parti si impegnano reciprocamente a trattare i dati forniti nel rispetto della vigente normativa in tema di trattamento dei dati personali, al precipuo scopo dell’adempimento degli obblighi derivanti dal presente contratto. Le Parti dichiarano reciprocamente che le attività derivanti dal presente Accordo non comportano di norma il trattamento di dati personali e che, nell’eventualità di tale occorrenza, si impegnano ad applicare quanto previsto dal Regolamento Europeo sulla protezione dei dati personali 2016/679 e dal D.lgs. 10 agosto 2018, n. 101. Disposizioni per l’adeguamento della normativa nazionale alle disposizioni del Regolamento UE 2016/679 del Parlamento europeo e del Consiglio del 27 aprile 2016, relativo alla protezione delle persone fisiche con riguardo al trattamento dei dati personali, nonché alla libera circolazione di tali dati e che abroga la Direttiva 95/46/CE (Regolamento generale sulla protezione dei dati) in qualità di Titolari autonomi per quanto di competenza. </w:t>
      </w:r>
      <w:r w:rsidRPr="0037633A">
        <w:rPr>
          <w:rFonts w:asciiTheme="minorHAnsi" w:hAnsiTheme="minorHAnsi" w:cstheme="minorHAnsi"/>
          <w:b/>
          <w:bCs/>
          <w:sz w:val="22"/>
          <w:szCs w:val="22"/>
        </w:rPr>
        <w:t xml:space="preserve">Art. 9 – Recesso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 xml:space="preserve">È consentito alle parti di recedere anticipatamente dal presente Accordo, con un preavviso di 30 giorni. In tal caso Regione Lombardia si obbliga a pagare un’indennità corrispondente ai costi sostenuti per le attività già svolte al momento in cui viene comunicato il recesso e potrà richiedere ad ANCI Lombardia la restituzione di una parte del contributo già erogato qualora sia superiore agli anzidetti costi. </w:t>
      </w:r>
    </w:p>
    <w:p w:rsidR="001F6D5F" w:rsidRPr="0037633A" w:rsidRDefault="001F6D5F" w:rsidP="001F6D5F">
      <w:pPr>
        <w:pStyle w:val="Default"/>
        <w:spacing w:line="20" w:lineRule="atLeast"/>
        <w:jc w:val="both"/>
        <w:rPr>
          <w:rFonts w:asciiTheme="minorHAnsi" w:hAnsiTheme="minorHAnsi" w:cstheme="minorHAnsi"/>
          <w:b/>
          <w:bCs/>
          <w:sz w:val="22"/>
          <w:szCs w:val="22"/>
        </w:rPr>
      </w:pPr>
      <w:r w:rsidRPr="0037633A">
        <w:rPr>
          <w:rFonts w:asciiTheme="minorHAnsi" w:hAnsiTheme="minorHAnsi" w:cstheme="minorHAnsi"/>
          <w:b/>
          <w:bCs/>
          <w:sz w:val="22"/>
          <w:szCs w:val="22"/>
        </w:rPr>
        <w:t xml:space="preserve">Art. 10 – Foro competente </w:t>
      </w:r>
    </w:p>
    <w:p w:rsidR="001F6D5F" w:rsidRPr="0037633A" w:rsidRDefault="001F6D5F" w:rsidP="001F6D5F">
      <w:pPr>
        <w:pStyle w:val="Default"/>
        <w:spacing w:line="20" w:lineRule="atLeast"/>
        <w:jc w:val="both"/>
        <w:rPr>
          <w:rFonts w:asciiTheme="minorHAnsi" w:hAnsiTheme="minorHAnsi" w:cstheme="minorHAnsi"/>
          <w:sz w:val="22"/>
          <w:szCs w:val="22"/>
        </w:rPr>
      </w:pPr>
      <w:r w:rsidRPr="0037633A">
        <w:rPr>
          <w:rFonts w:asciiTheme="minorHAnsi" w:hAnsiTheme="minorHAnsi" w:cstheme="minorHAnsi"/>
          <w:sz w:val="22"/>
          <w:szCs w:val="22"/>
        </w:rPr>
        <w:t>Le parti contraenti si impegnano a concordare, in uno spirito di reciproca collaborazione, eventuali procedure e adempimenti non specificati nel presente Accordo, ma necessari per un ottimale conseguimento dei suoi obiettivi e a risolvere, con il medesimo atteggiamento, eventuali controversie che dovessero insorgere del corso del rapporto. In ogni modo, per qualsiasi controversia che dovesse insorgere tra le parti in relazione all’interpretazione, all’esecuzione e/o alla validità del presente Accordo, il Foro competente esclusivo è quello di Milano. Regione Lombardia ANCI Lombardia Il Direttore della DG Sport e Giovani Il Presidente Simone Rasetti Virginio Brivio</w:t>
      </w:r>
    </w:p>
    <w:p w:rsidR="001F6D5F" w:rsidRDefault="001F6D5F" w:rsidP="00FF7E92">
      <w:pPr>
        <w:spacing w:after="0" w:line="20" w:lineRule="atLeast"/>
        <w:jc w:val="both"/>
        <w:rPr>
          <w:rFonts w:cstheme="minorHAnsi"/>
        </w:rPr>
      </w:pPr>
    </w:p>
    <w:p w:rsidR="00982D61" w:rsidRPr="00A31A3D" w:rsidRDefault="00982D61" w:rsidP="00982D61">
      <w:pPr>
        <w:pStyle w:val="Default"/>
        <w:pBdr>
          <w:top w:val="single" w:sz="4" w:space="1" w:color="auto"/>
          <w:left w:val="single" w:sz="4" w:space="4" w:color="auto"/>
          <w:bottom w:val="single" w:sz="4" w:space="1" w:color="auto"/>
          <w:right w:val="single" w:sz="4" w:space="4" w:color="auto"/>
          <w:between w:val="single" w:sz="4" w:space="1" w:color="auto"/>
          <w:bar w:val="single" w:sz="4" w:color="auto"/>
        </w:pBdr>
        <w:spacing w:line="20" w:lineRule="atLeast"/>
        <w:jc w:val="center"/>
        <w:rPr>
          <w:rStyle w:val="A8"/>
          <w:rFonts w:asciiTheme="minorHAnsi" w:hAnsiTheme="minorHAnsi" w:cstheme="minorHAnsi"/>
          <w:b/>
          <w:sz w:val="22"/>
          <w:szCs w:val="22"/>
        </w:rPr>
      </w:pPr>
      <w:r w:rsidRPr="00A31A3D">
        <w:rPr>
          <w:rStyle w:val="A8"/>
          <w:rFonts w:asciiTheme="minorHAnsi" w:hAnsiTheme="minorHAnsi" w:cstheme="minorHAnsi"/>
          <w:b/>
          <w:sz w:val="22"/>
          <w:szCs w:val="22"/>
        </w:rPr>
        <w:t>INTERVENTI ASSISTENZIALI</w:t>
      </w:r>
    </w:p>
    <w:p w:rsidR="00982D61" w:rsidRDefault="00982D61" w:rsidP="00982D61">
      <w:pPr>
        <w:pStyle w:val="Default"/>
        <w:spacing w:line="20" w:lineRule="atLeast"/>
        <w:jc w:val="both"/>
        <w:rPr>
          <w:rStyle w:val="A8"/>
          <w:rFonts w:asciiTheme="minorHAnsi" w:hAnsiTheme="minorHAnsi" w:cstheme="minorHAnsi"/>
          <w:sz w:val="22"/>
          <w:szCs w:val="22"/>
        </w:rPr>
      </w:pPr>
    </w:p>
    <w:p w:rsidR="00982D61" w:rsidRPr="00A31A3D" w:rsidRDefault="00982D61" w:rsidP="00982D61">
      <w:pPr>
        <w:pStyle w:val="Default"/>
        <w:spacing w:line="20" w:lineRule="atLeast"/>
        <w:jc w:val="both"/>
        <w:rPr>
          <w:rFonts w:asciiTheme="minorHAnsi" w:hAnsiTheme="minorHAnsi" w:cstheme="minorHAnsi"/>
          <w:bCs/>
          <w:sz w:val="22"/>
          <w:szCs w:val="22"/>
        </w:rPr>
      </w:pPr>
      <w:r w:rsidRPr="00A31A3D">
        <w:rPr>
          <w:rFonts w:asciiTheme="minorHAnsi" w:hAnsiTheme="minorHAnsi" w:cstheme="minorHAnsi"/>
          <w:b/>
          <w:bCs/>
          <w:sz w:val="22"/>
          <w:szCs w:val="22"/>
        </w:rPr>
        <w:t>DGR  31 luglio 2019 - n. XI/</w:t>
      </w:r>
      <w:proofErr w:type="gramStart"/>
      <w:r w:rsidRPr="00A31A3D">
        <w:rPr>
          <w:rFonts w:asciiTheme="minorHAnsi" w:hAnsiTheme="minorHAnsi" w:cstheme="minorHAnsi"/>
          <w:b/>
          <w:bCs/>
          <w:sz w:val="22"/>
          <w:szCs w:val="22"/>
        </w:rPr>
        <w:t>2072</w:t>
      </w:r>
      <w:r w:rsidRPr="00A31A3D">
        <w:rPr>
          <w:rFonts w:asciiTheme="minorHAnsi" w:hAnsiTheme="minorHAnsi" w:cstheme="minorHAnsi"/>
          <w:bCs/>
          <w:sz w:val="22"/>
          <w:szCs w:val="22"/>
        </w:rPr>
        <w:t>,  Revisione</w:t>
      </w:r>
      <w:proofErr w:type="gramEnd"/>
      <w:r w:rsidRPr="00A31A3D">
        <w:rPr>
          <w:rFonts w:asciiTheme="minorHAnsi" w:hAnsiTheme="minorHAnsi" w:cstheme="minorHAnsi"/>
          <w:bCs/>
          <w:sz w:val="22"/>
          <w:szCs w:val="22"/>
        </w:rPr>
        <w:t xml:space="preserve"> dei criteri e delle modalità per l’assegnazione di contributi ai familiari delle vittime della criminalità, approvati dalla d.g.r. n. 4370/2015 (l.r. 17/2015, art. 21, comma 1)</w:t>
      </w:r>
      <w:r w:rsidRPr="00A31A3D">
        <w:rPr>
          <w:rFonts w:asciiTheme="minorHAnsi" w:hAnsiTheme="minorHAnsi" w:cstheme="minorHAnsi"/>
          <w:b/>
          <w:bCs/>
          <w:sz w:val="22"/>
          <w:szCs w:val="22"/>
        </w:rPr>
        <w:t xml:space="preserve"> </w:t>
      </w:r>
      <w:r w:rsidRPr="00A31A3D">
        <w:rPr>
          <w:rFonts w:asciiTheme="minorHAnsi" w:hAnsiTheme="minorHAnsi" w:cstheme="minorHAnsi"/>
          <w:bCs/>
          <w:sz w:val="22"/>
          <w:szCs w:val="22"/>
        </w:rPr>
        <w:t>(BUR n. 32 dell’8.8.19)</w:t>
      </w:r>
    </w:p>
    <w:p w:rsidR="00982D61" w:rsidRPr="00982D61" w:rsidRDefault="00982D61" w:rsidP="00982D61">
      <w:pPr>
        <w:pStyle w:val="Default"/>
        <w:spacing w:line="20" w:lineRule="atLeast"/>
        <w:jc w:val="both"/>
        <w:rPr>
          <w:rFonts w:asciiTheme="minorHAnsi" w:hAnsiTheme="minorHAnsi" w:cstheme="minorHAnsi"/>
          <w:b/>
          <w:sz w:val="22"/>
          <w:szCs w:val="22"/>
        </w:rPr>
      </w:pPr>
      <w:r w:rsidRPr="00982D61">
        <w:rPr>
          <w:rFonts w:asciiTheme="minorHAnsi" w:hAnsiTheme="minorHAnsi" w:cstheme="minorHAnsi"/>
          <w:b/>
          <w:sz w:val="22"/>
          <w:szCs w:val="22"/>
        </w:rPr>
        <w:t xml:space="preserve">PREMESSA </w:t>
      </w:r>
    </w:p>
    <w:p w:rsidR="00982D61" w:rsidRPr="00A31A3D" w:rsidRDefault="00982D61" w:rsidP="00982D61">
      <w:pPr>
        <w:pStyle w:val="Default"/>
        <w:spacing w:line="20" w:lineRule="atLeast"/>
        <w:jc w:val="both"/>
        <w:rPr>
          <w:rFonts w:asciiTheme="minorHAnsi" w:hAnsiTheme="minorHAnsi" w:cstheme="minorHAnsi"/>
          <w:sz w:val="22"/>
          <w:szCs w:val="22"/>
        </w:rPr>
      </w:pPr>
      <w:r w:rsidRPr="00A31A3D">
        <w:rPr>
          <w:rFonts w:asciiTheme="minorHAnsi" w:hAnsiTheme="minorHAnsi" w:cstheme="minorHAnsi"/>
          <w:sz w:val="22"/>
          <w:szCs w:val="22"/>
        </w:rPr>
        <w:lastRenderedPageBreak/>
        <w:t xml:space="preserve">La legge regionale 24 giugno 2015, n. 17 </w:t>
      </w:r>
      <w:r w:rsidRPr="00A31A3D">
        <w:rPr>
          <w:rFonts w:asciiTheme="minorHAnsi" w:hAnsiTheme="minorHAnsi" w:cstheme="minorHAnsi"/>
          <w:iCs/>
          <w:sz w:val="22"/>
          <w:szCs w:val="22"/>
        </w:rPr>
        <w:t>«Interventi regionali per la prevenzione e il contrasto della criminalità organiz</w:t>
      </w:r>
      <w:r w:rsidRPr="00A31A3D">
        <w:rPr>
          <w:rFonts w:asciiTheme="minorHAnsi" w:hAnsiTheme="minorHAnsi" w:cstheme="minorHAnsi"/>
          <w:iCs/>
          <w:sz w:val="22"/>
          <w:szCs w:val="22"/>
        </w:rPr>
        <w:softHyphen/>
        <w:t xml:space="preserve">zata e per la promozione della cultura della legalità» </w:t>
      </w:r>
      <w:r w:rsidRPr="00A31A3D">
        <w:rPr>
          <w:rFonts w:asciiTheme="minorHAnsi" w:hAnsiTheme="minorHAnsi" w:cstheme="minorHAnsi"/>
          <w:sz w:val="22"/>
          <w:szCs w:val="22"/>
        </w:rPr>
        <w:t>e, in particolare, l’art. 21, comma 1, ai sensi del quale la Regio</w:t>
      </w:r>
      <w:r w:rsidRPr="00A31A3D">
        <w:rPr>
          <w:rFonts w:asciiTheme="minorHAnsi" w:hAnsiTheme="minorHAnsi" w:cstheme="minorHAnsi"/>
          <w:sz w:val="22"/>
          <w:szCs w:val="22"/>
        </w:rPr>
        <w:softHyphen/>
        <w:t>ne favorisce gli interventi di assistenza e di aiuto ai familiari degli esercenti un’attività imprenditoriale, commerciale, ar</w:t>
      </w:r>
      <w:r w:rsidRPr="00A31A3D">
        <w:rPr>
          <w:rFonts w:asciiTheme="minorHAnsi" w:hAnsiTheme="minorHAnsi" w:cstheme="minorHAnsi"/>
          <w:sz w:val="22"/>
          <w:szCs w:val="22"/>
        </w:rPr>
        <w:softHyphen/>
        <w:t>tigianale o comunque economica, nonché degli altri sog</w:t>
      </w:r>
      <w:r w:rsidRPr="00A31A3D">
        <w:rPr>
          <w:rFonts w:asciiTheme="minorHAnsi" w:hAnsiTheme="minorHAnsi" w:cstheme="minorHAnsi"/>
          <w:sz w:val="22"/>
          <w:szCs w:val="22"/>
        </w:rPr>
        <w:softHyphen/>
        <w:t xml:space="preserve">getti deceduti, vittime della criminalità, mediante: </w:t>
      </w:r>
    </w:p>
    <w:p w:rsidR="00982D61" w:rsidRPr="00A31A3D" w:rsidRDefault="00982D61" w:rsidP="00982D61">
      <w:pPr>
        <w:pStyle w:val="Pa27"/>
        <w:spacing w:line="20" w:lineRule="atLeast"/>
        <w:ind w:hanging="220"/>
        <w:jc w:val="both"/>
        <w:rPr>
          <w:rFonts w:asciiTheme="minorHAnsi" w:hAnsiTheme="minorHAnsi" w:cstheme="minorHAnsi"/>
          <w:color w:val="000000"/>
          <w:sz w:val="22"/>
          <w:szCs w:val="22"/>
        </w:rPr>
      </w:pPr>
      <w:r w:rsidRPr="00A31A3D">
        <w:rPr>
          <w:rFonts w:asciiTheme="minorHAnsi" w:hAnsiTheme="minorHAnsi" w:cstheme="minorHAnsi"/>
          <w:color w:val="000000"/>
          <w:sz w:val="22"/>
          <w:szCs w:val="22"/>
        </w:rPr>
        <w:t xml:space="preserve">    a) assistenza legale; </w:t>
      </w:r>
    </w:p>
    <w:p w:rsidR="00982D61" w:rsidRPr="00A31A3D" w:rsidRDefault="00982D61" w:rsidP="00982D61">
      <w:pPr>
        <w:pStyle w:val="Pa27"/>
        <w:spacing w:line="20" w:lineRule="atLeast"/>
        <w:ind w:hanging="220"/>
        <w:jc w:val="both"/>
        <w:rPr>
          <w:rFonts w:asciiTheme="minorHAnsi" w:hAnsiTheme="minorHAnsi" w:cstheme="minorHAnsi"/>
          <w:color w:val="000000"/>
          <w:sz w:val="22"/>
          <w:szCs w:val="22"/>
        </w:rPr>
      </w:pPr>
      <w:r w:rsidRPr="00A31A3D">
        <w:rPr>
          <w:rFonts w:asciiTheme="minorHAnsi" w:hAnsiTheme="minorHAnsi" w:cstheme="minorHAnsi"/>
          <w:color w:val="000000"/>
          <w:sz w:val="22"/>
          <w:szCs w:val="22"/>
        </w:rPr>
        <w:t xml:space="preserve">    b) contributi utili ad affrontare emergenze economiche causate dal decesso.</w:t>
      </w:r>
    </w:p>
    <w:p w:rsidR="00982D61" w:rsidRPr="00A31A3D" w:rsidRDefault="00982D61" w:rsidP="00982D61">
      <w:pPr>
        <w:pStyle w:val="Pa27"/>
        <w:spacing w:line="20" w:lineRule="atLeast"/>
        <w:ind w:hanging="220"/>
        <w:jc w:val="both"/>
        <w:rPr>
          <w:rFonts w:asciiTheme="minorHAnsi" w:hAnsiTheme="minorHAnsi" w:cstheme="minorHAnsi"/>
          <w:b/>
          <w:color w:val="000000"/>
          <w:sz w:val="22"/>
          <w:szCs w:val="22"/>
        </w:rPr>
      </w:pPr>
      <w:r w:rsidRPr="00A31A3D">
        <w:rPr>
          <w:rFonts w:asciiTheme="minorHAnsi" w:hAnsiTheme="minorHAnsi" w:cstheme="minorHAnsi"/>
          <w:b/>
          <w:color w:val="000000"/>
          <w:sz w:val="22"/>
          <w:szCs w:val="22"/>
        </w:rPr>
        <w:t xml:space="preserve">    LA DISPOSIZIONE </w:t>
      </w:r>
    </w:p>
    <w:p w:rsidR="00982D61" w:rsidRPr="00A31A3D" w:rsidRDefault="00982D61" w:rsidP="00982D61">
      <w:pPr>
        <w:pStyle w:val="Pa27"/>
        <w:spacing w:line="20" w:lineRule="atLeast"/>
        <w:ind w:hanging="220"/>
        <w:jc w:val="both"/>
        <w:rPr>
          <w:rFonts w:asciiTheme="minorHAnsi" w:hAnsiTheme="minorHAnsi" w:cstheme="minorHAnsi"/>
          <w:color w:val="000000"/>
          <w:sz w:val="22"/>
          <w:szCs w:val="22"/>
        </w:rPr>
      </w:pPr>
      <w:r w:rsidRPr="00A31A3D">
        <w:rPr>
          <w:rFonts w:asciiTheme="minorHAnsi" w:hAnsiTheme="minorHAnsi" w:cstheme="minorHAnsi"/>
          <w:color w:val="000000"/>
          <w:sz w:val="22"/>
          <w:szCs w:val="22"/>
        </w:rPr>
        <w:t xml:space="preserve">    </w:t>
      </w:r>
      <w:proofErr w:type="gramStart"/>
      <w:r w:rsidRPr="00A31A3D">
        <w:rPr>
          <w:rFonts w:asciiTheme="minorHAnsi" w:hAnsiTheme="minorHAnsi" w:cstheme="minorHAnsi"/>
          <w:color w:val="000000"/>
          <w:sz w:val="22"/>
          <w:szCs w:val="22"/>
        </w:rPr>
        <w:t>Vengono  approvati</w:t>
      </w:r>
      <w:proofErr w:type="gramEnd"/>
      <w:r w:rsidRPr="00A31A3D">
        <w:rPr>
          <w:rFonts w:asciiTheme="minorHAnsi" w:hAnsiTheme="minorHAnsi" w:cstheme="minorHAnsi"/>
          <w:color w:val="000000"/>
          <w:sz w:val="22"/>
          <w:szCs w:val="22"/>
        </w:rPr>
        <w:t xml:space="preserve">  gli allegati </w:t>
      </w:r>
      <w:r w:rsidRPr="00A31A3D">
        <w:rPr>
          <w:rFonts w:asciiTheme="minorHAnsi" w:hAnsiTheme="minorHAnsi" w:cstheme="minorHAnsi"/>
          <w:iCs/>
          <w:color w:val="000000"/>
          <w:sz w:val="22"/>
          <w:szCs w:val="22"/>
        </w:rPr>
        <w:t>«Criteri e modalità per l’assegna</w:t>
      </w:r>
      <w:r w:rsidRPr="00A31A3D">
        <w:rPr>
          <w:rFonts w:asciiTheme="minorHAnsi" w:hAnsiTheme="minorHAnsi" w:cstheme="minorHAnsi"/>
          <w:iCs/>
          <w:color w:val="000000"/>
          <w:sz w:val="22"/>
          <w:szCs w:val="22"/>
        </w:rPr>
        <w:softHyphen/>
        <w:t>zione di contributi ai familiari delle vittime della criminalità (l.r. 17/2015, art. 21, comma 1)»</w:t>
      </w:r>
      <w:r w:rsidRPr="00A31A3D">
        <w:rPr>
          <w:rFonts w:asciiTheme="minorHAnsi" w:hAnsiTheme="minorHAnsi" w:cstheme="minorHAnsi"/>
          <w:color w:val="000000"/>
          <w:sz w:val="22"/>
          <w:szCs w:val="22"/>
        </w:rPr>
        <w:t>, parte integrante e sostanziale della presente deliberazione.</w:t>
      </w:r>
    </w:p>
    <w:p w:rsidR="00982D61" w:rsidRDefault="00982D61" w:rsidP="00982D61">
      <w:pPr>
        <w:pStyle w:val="Pa27"/>
        <w:spacing w:line="20" w:lineRule="atLeast"/>
        <w:ind w:hanging="220"/>
        <w:jc w:val="both"/>
        <w:rPr>
          <w:rFonts w:asciiTheme="minorHAnsi" w:hAnsiTheme="minorHAnsi" w:cstheme="minorHAnsi"/>
          <w:color w:val="000000"/>
          <w:sz w:val="22"/>
          <w:szCs w:val="22"/>
        </w:rPr>
      </w:pPr>
      <w:r w:rsidRPr="00A31A3D">
        <w:rPr>
          <w:rFonts w:asciiTheme="minorHAnsi" w:hAnsiTheme="minorHAnsi" w:cstheme="minorHAnsi"/>
          <w:color w:val="000000"/>
          <w:sz w:val="22"/>
          <w:szCs w:val="22"/>
        </w:rPr>
        <w:t xml:space="preserve">     La spesa massima complessiva </w:t>
      </w:r>
      <w:proofErr w:type="gramStart"/>
      <w:r w:rsidRPr="00A31A3D">
        <w:rPr>
          <w:rFonts w:asciiTheme="minorHAnsi" w:hAnsiTheme="minorHAnsi" w:cstheme="minorHAnsi"/>
          <w:color w:val="000000"/>
          <w:sz w:val="22"/>
          <w:szCs w:val="22"/>
        </w:rPr>
        <w:t>è  di</w:t>
      </w:r>
      <w:proofErr w:type="gramEnd"/>
      <w:r w:rsidRPr="00A31A3D">
        <w:rPr>
          <w:rFonts w:asciiTheme="minorHAnsi" w:hAnsiTheme="minorHAnsi" w:cstheme="minorHAnsi"/>
          <w:color w:val="000000"/>
          <w:sz w:val="22"/>
          <w:szCs w:val="22"/>
        </w:rPr>
        <w:t xml:space="preserve"> € 100.000,00</w:t>
      </w:r>
      <w:r>
        <w:rPr>
          <w:rFonts w:asciiTheme="minorHAnsi" w:hAnsiTheme="minorHAnsi" w:cstheme="minorHAnsi"/>
          <w:color w:val="000000"/>
          <w:sz w:val="22"/>
          <w:szCs w:val="22"/>
        </w:rPr>
        <w:t>.</w:t>
      </w:r>
    </w:p>
    <w:p w:rsidR="00982D61" w:rsidRPr="00A31A3D" w:rsidRDefault="00982D61" w:rsidP="00982D61">
      <w:pPr>
        <w:pStyle w:val="Default"/>
      </w:pPr>
    </w:p>
    <w:p w:rsidR="00982D61" w:rsidRDefault="00982D61" w:rsidP="00982D61">
      <w:pPr>
        <w:autoSpaceDE w:val="0"/>
        <w:autoSpaceDN w:val="0"/>
        <w:adjustRightInd w:val="0"/>
        <w:spacing w:after="0" w:line="20" w:lineRule="atLeast"/>
        <w:jc w:val="both"/>
        <w:rPr>
          <w:rFonts w:cstheme="minorHAnsi"/>
          <w:b/>
          <w:bCs/>
          <w:color w:val="000000"/>
        </w:rPr>
      </w:pPr>
      <w:r w:rsidRPr="00B73FD1">
        <w:rPr>
          <w:rFonts w:cstheme="minorHAnsi"/>
          <w:color w:val="000000"/>
        </w:rPr>
        <w:t xml:space="preserve"> </w:t>
      </w:r>
      <w:r w:rsidRPr="00B73FD1">
        <w:rPr>
          <w:rFonts w:cstheme="minorHAnsi"/>
          <w:b/>
          <w:bCs/>
          <w:color w:val="000000"/>
        </w:rPr>
        <w:t xml:space="preserve">Criteri e modalità per l’assegnazione di contributi ai familiari delle vittime della criminalità (art. 21, comma 1, della l.r. 17/2015) </w:t>
      </w:r>
    </w:p>
    <w:p w:rsidR="00982D61" w:rsidRPr="00A31A3D" w:rsidRDefault="00982D61" w:rsidP="00982D61">
      <w:pPr>
        <w:autoSpaceDE w:val="0"/>
        <w:autoSpaceDN w:val="0"/>
        <w:adjustRightInd w:val="0"/>
        <w:spacing w:after="0" w:line="20" w:lineRule="atLeast"/>
        <w:jc w:val="both"/>
        <w:rPr>
          <w:rFonts w:cstheme="minorHAnsi"/>
          <w:bCs/>
          <w:color w:val="000000"/>
        </w:rPr>
      </w:pPr>
      <w:r w:rsidRPr="00A31A3D">
        <w:rPr>
          <w:rFonts w:cstheme="minorHAnsi"/>
          <w:bCs/>
          <w:color w:val="000000"/>
        </w:rPr>
        <w:t xml:space="preserve">1. Oggetto </w:t>
      </w:r>
    </w:p>
    <w:p w:rsidR="00982D61" w:rsidRPr="00A31A3D" w:rsidRDefault="00982D61" w:rsidP="00982D61">
      <w:pPr>
        <w:autoSpaceDE w:val="0"/>
        <w:autoSpaceDN w:val="0"/>
        <w:adjustRightInd w:val="0"/>
        <w:spacing w:after="0" w:line="20" w:lineRule="atLeast"/>
        <w:jc w:val="both"/>
        <w:rPr>
          <w:rFonts w:cstheme="minorHAnsi"/>
          <w:color w:val="000000"/>
        </w:rPr>
      </w:pPr>
      <w:r w:rsidRPr="00A31A3D">
        <w:rPr>
          <w:rFonts w:cstheme="minorHAnsi"/>
          <w:color w:val="000000"/>
        </w:rPr>
        <w:t>1. In attuazione di quanto previsto dall'articolo 21, comma 1, della legge regionale 24 giugno 2015, n. 17 (</w:t>
      </w:r>
      <w:r w:rsidRPr="00A31A3D">
        <w:rPr>
          <w:rFonts w:cstheme="minorHAnsi"/>
          <w:iCs/>
          <w:color w:val="000000"/>
        </w:rPr>
        <w:t>Interventi regionali per la prevenzione e il contrasto della criminalità organizzata e per la promozione della cultura della legalità</w:t>
      </w:r>
      <w:r w:rsidRPr="00A31A3D">
        <w:rPr>
          <w:rFonts w:cstheme="minorHAnsi"/>
          <w:color w:val="000000"/>
        </w:rPr>
        <w:t xml:space="preserve">), la Regione eroga contributi per l’assistenza legale e per affrontare le emergenze economiche causate dal decesso di soggetti vittime della criminalità, secondo i criteri e le modalità di seguito stabiliti. </w:t>
      </w:r>
    </w:p>
    <w:p w:rsidR="00982D61" w:rsidRPr="00A31A3D" w:rsidRDefault="00982D61" w:rsidP="00982D61">
      <w:pPr>
        <w:autoSpaceDE w:val="0"/>
        <w:autoSpaceDN w:val="0"/>
        <w:adjustRightInd w:val="0"/>
        <w:spacing w:after="0" w:line="20" w:lineRule="atLeast"/>
        <w:jc w:val="both"/>
        <w:rPr>
          <w:rFonts w:cstheme="minorHAnsi"/>
          <w:bCs/>
          <w:color w:val="000000"/>
        </w:rPr>
      </w:pPr>
      <w:r w:rsidRPr="00A31A3D">
        <w:rPr>
          <w:rFonts w:cstheme="minorHAnsi"/>
          <w:bCs/>
          <w:color w:val="000000"/>
        </w:rPr>
        <w:t xml:space="preserve">2. Destinatari del contributo </w:t>
      </w:r>
    </w:p>
    <w:p w:rsidR="00982D61" w:rsidRPr="00A31A3D" w:rsidRDefault="00982D61" w:rsidP="00982D61">
      <w:pPr>
        <w:autoSpaceDE w:val="0"/>
        <w:autoSpaceDN w:val="0"/>
        <w:adjustRightInd w:val="0"/>
        <w:spacing w:after="0" w:line="20" w:lineRule="atLeast"/>
        <w:jc w:val="both"/>
        <w:rPr>
          <w:rFonts w:cstheme="minorHAnsi"/>
          <w:color w:val="000000"/>
        </w:rPr>
      </w:pPr>
      <w:r w:rsidRPr="00A31A3D">
        <w:rPr>
          <w:rFonts w:cstheme="minorHAnsi"/>
          <w:color w:val="000000"/>
        </w:rPr>
        <w:t xml:space="preserve">1. Sono destinatari del contributo per l’assistenza legale il coniuge, i figli, i genitori, i fratelli e le sorelle degli esercenti un'attività imprenditoriale, commerciale, artigianale o comunque economica, nonché degli altri soggetti deceduti, vittime della criminalità. </w:t>
      </w:r>
    </w:p>
    <w:p w:rsidR="00982D61" w:rsidRPr="00A31A3D" w:rsidRDefault="00982D61" w:rsidP="00982D61">
      <w:pPr>
        <w:autoSpaceDE w:val="0"/>
        <w:autoSpaceDN w:val="0"/>
        <w:adjustRightInd w:val="0"/>
        <w:spacing w:after="0" w:line="20" w:lineRule="atLeast"/>
        <w:jc w:val="both"/>
        <w:rPr>
          <w:rFonts w:cstheme="minorHAnsi"/>
          <w:color w:val="000000"/>
        </w:rPr>
      </w:pPr>
      <w:r w:rsidRPr="00A31A3D">
        <w:rPr>
          <w:rFonts w:cstheme="minorHAnsi"/>
          <w:color w:val="000000"/>
        </w:rPr>
        <w:t xml:space="preserve">2. Ai familiari, come sopra individuati, che, al momento del decesso, erano anagraficamente conviventi con la vittima della criminalità o destinatari di un assegno di mantenimento o alimentare a carico della medesima vittima, è riconosciuto, altresì, un contributo per emergenze economiche. </w:t>
      </w:r>
    </w:p>
    <w:p w:rsidR="00982D61" w:rsidRPr="00A31A3D" w:rsidRDefault="00982D61" w:rsidP="00982D61">
      <w:pPr>
        <w:autoSpaceDE w:val="0"/>
        <w:autoSpaceDN w:val="0"/>
        <w:adjustRightInd w:val="0"/>
        <w:spacing w:after="0" w:line="20" w:lineRule="atLeast"/>
        <w:jc w:val="both"/>
        <w:rPr>
          <w:rFonts w:cstheme="minorHAnsi"/>
          <w:color w:val="000000"/>
        </w:rPr>
      </w:pPr>
      <w:r w:rsidRPr="00A31A3D">
        <w:rPr>
          <w:rFonts w:cstheme="minorHAnsi"/>
          <w:color w:val="000000"/>
        </w:rPr>
        <w:t xml:space="preserve">3. Il contributo è concesso se il soggetto deceduto aveva la residenza sul territorio della Regione Lombardia al momento della commissione del reato che ne abbia causato il decesso e che: </w:t>
      </w:r>
    </w:p>
    <w:p w:rsidR="00982D61" w:rsidRPr="00A31A3D" w:rsidRDefault="00982D61" w:rsidP="00982D61">
      <w:pPr>
        <w:autoSpaceDE w:val="0"/>
        <w:autoSpaceDN w:val="0"/>
        <w:adjustRightInd w:val="0"/>
        <w:spacing w:after="0" w:line="20" w:lineRule="atLeast"/>
        <w:jc w:val="both"/>
        <w:rPr>
          <w:rFonts w:cstheme="minorHAnsi"/>
          <w:color w:val="000000"/>
        </w:rPr>
      </w:pPr>
      <w:r w:rsidRPr="00A31A3D">
        <w:rPr>
          <w:rFonts w:cstheme="minorHAnsi"/>
          <w:color w:val="000000"/>
        </w:rPr>
        <w:t xml:space="preserve">a) non abbia riportato una condanna, con sentenza passata in giudicato o decreto penale di condanna divenuto irrevocabile o sentenza di applicazione della pena su richiesta ai sensi dell’art. 444 c.p.p., per delitto non colposo per il quale è prevista una pena detentiva non inferiore nel minimo a tre anni. In ogni caso, non rilevano i reati per i quali sia intervenuta la riabilitazione, la estinzione del reato dopo la condanna o la revoca della condanna medesima o sia intervenuta la depenalizzazione; </w:t>
      </w:r>
    </w:p>
    <w:p w:rsidR="00982D61" w:rsidRPr="00A31A3D" w:rsidRDefault="00982D61" w:rsidP="00982D61">
      <w:pPr>
        <w:autoSpaceDE w:val="0"/>
        <w:autoSpaceDN w:val="0"/>
        <w:adjustRightInd w:val="0"/>
        <w:spacing w:after="0" w:line="20" w:lineRule="atLeast"/>
        <w:jc w:val="both"/>
        <w:rPr>
          <w:rFonts w:cstheme="minorHAnsi"/>
          <w:color w:val="000000"/>
        </w:rPr>
      </w:pPr>
      <w:r w:rsidRPr="00A31A3D">
        <w:rPr>
          <w:rFonts w:cstheme="minorHAnsi"/>
          <w:color w:val="000000"/>
        </w:rPr>
        <w:t xml:space="preserve">b) non sia stato dichiarato delinquente abituale, professionale o per tendenza, salvo che abbia ottenuto la riabilitazione; </w:t>
      </w:r>
    </w:p>
    <w:p w:rsidR="00982D61" w:rsidRPr="00A31A3D" w:rsidRDefault="00982D61" w:rsidP="00982D61">
      <w:pPr>
        <w:autoSpaceDE w:val="0"/>
        <w:autoSpaceDN w:val="0"/>
        <w:adjustRightInd w:val="0"/>
        <w:spacing w:after="0" w:line="20" w:lineRule="atLeast"/>
        <w:jc w:val="both"/>
        <w:rPr>
          <w:rFonts w:cstheme="minorHAnsi"/>
          <w:color w:val="000000"/>
        </w:rPr>
      </w:pPr>
      <w:r w:rsidRPr="00A31A3D">
        <w:rPr>
          <w:rFonts w:cstheme="minorHAnsi"/>
          <w:color w:val="000000"/>
        </w:rPr>
        <w:t xml:space="preserve">c) non sia stato sottoposto a una delle misure di prevenzione previste dal decreto legislativo 6 settembre 2011, n. 159 (Codice delle leggi antimafia e delle misure di prevenzione, nonché nuove disposizioni in materia di documentazione antimafia, a norma degli articoli 1 e 2 della legge 13 agosto 2010, n. 136). </w:t>
      </w:r>
    </w:p>
    <w:p w:rsidR="00982D61" w:rsidRPr="00A31A3D" w:rsidRDefault="00982D61" w:rsidP="00982D61">
      <w:pPr>
        <w:autoSpaceDE w:val="0"/>
        <w:autoSpaceDN w:val="0"/>
        <w:adjustRightInd w:val="0"/>
        <w:spacing w:after="0" w:line="20" w:lineRule="atLeast"/>
        <w:jc w:val="both"/>
        <w:rPr>
          <w:rFonts w:cstheme="minorHAnsi"/>
          <w:color w:val="000000"/>
        </w:rPr>
      </w:pPr>
      <w:r w:rsidRPr="00A31A3D">
        <w:rPr>
          <w:rFonts w:cstheme="minorHAnsi"/>
          <w:color w:val="000000"/>
        </w:rPr>
        <w:t xml:space="preserve">4. Ai fini della concessione del contributo, è necessario che anche il familiare, beneficiario del contributo, al momento della presentazione della domanda, non versi in una delle condizioni di cui alle precedenti lettere a), b) e c). </w:t>
      </w:r>
    </w:p>
    <w:p w:rsidR="00982D61" w:rsidRPr="00A31A3D" w:rsidRDefault="00982D61" w:rsidP="00982D61">
      <w:pPr>
        <w:autoSpaceDE w:val="0"/>
        <w:autoSpaceDN w:val="0"/>
        <w:adjustRightInd w:val="0"/>
        <w:spacing w:after="0" w:line="20" w:lineRule="atLeast"/>
        <w:jc w:val="both"/>
        <w:rPr>
          <w:rFonts w:cstheme="minorHAnsi"/>
          <w:bCs/>
          <w:color w:val="000000"/>
        </w:rPr>
      </w:pPr>
      <w:r w:rsidRPr="00A31A3D">
        <w:rPr>
          <w:rFonts w:cstheme="minorHAnsi"/>
          <w:bCs/>
          <w:color w:val="000000"/>
        </w:rPr>
        <w:t xml:space="preserve">3. Misura del contributo per assistenza legale </w:t>
      </w:r>
    </w:p>
    <w:p w:rsidR="00982D61" w:rsidRPr="00A31A3D" w:rsidRDefault="00982D61" w:rsidP="00982D61">
      <w:pPr>
        <w:autoSpaceDE w:val="0"/>
        <w:autoSpaceDN w:val="0"/>
        <w:adjustRightInd w:val="0"/>
        <w:spacing w:after="0" w:line="20" w:lineRule="atLeast"/>
        <w:jc w:val="both"/>
        <w:rPr>
          <w:rFonts w:cstheme="minorHAnsi"/>
          <w:color w:val="000000"/>
        </w:rPr>
      </w:pPr>
      <w:r w:rsidRPr="00A31A3D">
        <w:rPr>
          <w:rFonts w:cstheme="minorHAnsi"/>
          <w:color w:val="000000"/>
        </w:rPr>
        <w:t xml:space="preserve">1. Il contributo è riconosciuto, relativamente al singolo procedimento giudiziario, a tutela delle pretese risarcitorie, a rimborso delle spese e degli onorari sostenuti per l’assistenza legale, nel limite massimo complessivo di € 20.000,00. </w:t>
      </w:r>
    </w:p>
    <w:p w:rsidR="00982D61" w:rsidRPr="00A31A3D" w:rsidRDefault="00982D61" w:rsidP="00982D61">
      <w:pPr>
        <w:autoSpaceDE w:val="0"/>
        <w:autoSpaceDN w:val="0"/>
        <w:adjustRightInd w:val="0"/>
        <w:spacing w:after="0" w:line="20" w:lineRule="atLeast"/>
        <w:jc w:val="both"/>
        <w:rPr>
          <w:rFonts w:cstheme="minorHAnsi"/>
          <w:color w:val="000000"/>
        </w:rPr>
      </w:pPr>
      <w:r w:rsidRPr="00A31A3D">
        <w:rPr>
          <w:rFonts w:cstheme="minorHAnsi"/>
          <w:color w:val="000000"/>
        </w:rPr>
        <w:t xml:space="preserve">2. Il contributo può essere richiesto in ogni fase e grado del procedimento giudiziario. </w:t>
      </w:r>
    </w:p>
    <w:p w:rsidR="00982D61" w:rsidRPr="00A31A3D" w:rsidRDefault="00982D61" w:rsidP="00982D61">
      <w:pPr>
        <w:autoSpaceDE w:val="0"/>
        <w:autoSpaceDN w:val="0"/>
        <w:adjustRightInd w:val="0"/>
        <w:spacing w:after="0" w:line="20" w:lineRule="atLeast"/>
        <w:jc w:val="both"/>
        <w:rPr>
          <w:rFonts w:cstheme="minorHAnsi"/>
          <w:color w:val="000000"/>
        </w:rPr>
      </w:pPr>
      <w:r w:rsidRPr="00A31A3D">
        <w:rPr>
          <w:rFonts w:cstheme="minorHAnsi"/>
          <w:color w:val="000000"/>
        </w:rPr>
        <w:t xml:space="preserve">3. Il contributo non è riconosciuto qualora altri soggetti, pubblici o privati, lo abbiano corrisposto per lo stesso titolo ovvero qualora il richiedente sia stato ammesso al patrocinio a spese dello Stato. </w:t>
      </w:r>
    </w:p>
    <w:p w:rsidR="00982D61" w:rsidRPr="00A31A3D" w:rsidRDefault="00982D61" w:rsidP="00982D61">
      <w:pPr>
        <w:autoSpaceDE w:val="0"/>
        <w:autoSpaceDN w:val="0"/>
        <w:adjustRightInd w:val="0"/>
        <w:spacing w:after="0" w:line="20" w:lineRule="atLeast"/>
        <w:jc w:val="both"/>
        <w:rPr>
          <w:rFonts w:cstheme="minorHAnsi"/>
          <w:bCs/>
          <w:color w:val="000000"/>
        </w:rPr>
      </w:pPr>
      <w:r w:rsidRPr="00A31A3D">
        <w:rPr>
          <w:rFonts w:cstheme="minorHAnsi"/>
          <w:bCs/>
          <w:color w:val="000000"/>
        </w:rPr>
        <w:t xml:space="preserve">4. Restituzione del contributo per assistenza legale </w:t>
      </w:r>
    </w:p>
    <w:p w:rsidR="00982D61" w:rsidRDefault="00982D61" w:rsidP="00982D61">
      <w:pPr>
        <w:autoSpaceDE w:val="0"/>
        <w:autoSpaceDN w:val="0"/>
        <w:adjustRightInd w:val="0"/>
        <w:spacing w:after="0" w:line="20" w:lineRule="atLeast"/>
        <w:jc w:val="both"/>
        <w:rPr>
          <w:rFonts w:cstheme="minorHAnsi"/>
          <w:color w:val="000000"/>
        </w:rPr>
      </w:pPr>
      <w:r w:rsidRPr="00A31A3D">
        <w:rPr>
          <w:rFonts w:cstheme="minorHAnsi"/>
          <w:color w:val="000000"/>
        </w:rPr>
        <w:t xml:space="preserve">1. Nell’ipotesi in cui il procedimento giudiziario si concluda con vittoria di spese e compensi, entro un mese dalla data dell’effettivo recupero delle suddette somme, il beneficiario provvede a restituire il contributo erogato dalla Regione, fino alla concorrenza della somma recuperata.  </w:t>
      </w:r>
    </w:p>
    <w:p w:rsidR="00186CFB" w:rsidRPr="003A5E1F" w:rsidRDefault="00186CFB" w:rsidP="00186CFB">
      <w:pPr>
        <w:autoSpaceDE w:val="0"/>
        <w:autoSpaceDN w:val="0"/>
        <w:adjustRightInd w:val="0"/>
        <w:spacing w:after="0" w:line="20" w:lineRule="atLeast"/>
        <w:jc w:val="both"/>
        <w:rPr>
          <w:rFonts w:cstheme="minorHAnsi"/>
          <w:bCs/>
          <w:color w:val="000000"/>
        </w:rPr>
      </w:pPr>
      <w:r w:rsidRPr="003A5E1F">
        <w:rPr>
          <w:rFonts w:cstheme="minorHAnsi"/>
          <w:bCs/>
          <w:color w:val="000000"/>
        </w:rPr>
        <w:lastRenderedPageBreak/>
        <w:t xml:space="preserve">5. Domanda di contributo per assistenza legale </w:t>
      </w:r>
    </w:p>
    <w:p w:rsidR="00186CFB" w:rsidRPr="003A5E1F" w:rsidRDefault="00186CFB" w:rsidP="00186CFB">
      <w:pPr>
        <w:autoSpaceDE w:val="0"/>
        <w:autoSpaceDN w:val="0"/>
        <w:adjustRightInd w:val="0"/>
        <w:spacing w:after="0" w:line="20" w:lineRule="atLeast"/>
        <w:jc w:val="both"/>
        <w:rPr>
          <w:rFonts w:cstheme="minorHAnsi"/>
          <w:color w:val="000000"/>
        </w:rPr>
      </w:pPr>
      <w:r w:rsidRPr="003A5E1F">
        <w:rPr>
          <w:rFonts w:cstheme="minorHAnsi"/>
          <w:color w:val="000000"/>
        </w:rPr>
        <w:t xml:space="preserve">1. La domanda di contributo è presentata da parte di un solo familiare, come individuato al paragrafo </w:t>
      </w:r>
      <w:proofErr w:type="gramStart"/>
      <w:r w:rsidRPr="003A5E1F">
        <w:rPr>
          <w:rFonts w:cstheme="minorHAnsi"/>
          <w:color w:val="000000"/>
        </w:rPr>
        <w:t>2.,</w:t>
      </w:r>
      <w:proofErr w:type="gramEnd"/>
      <w:r w:rsidRPr="003A5E1F">
        <w:rPr>
          <w:rFonts w:cstheme="minorHAnsi"/>
          <w:color w:val="000000"/>
        </w:rPr>
        <w:t xml:space="preserve"> punto 1., alla competente struttura regionale, entro cinque anni dal decesso della vittima della criminalità. 2. Le modalità per la presentazione della domanda di contributo, la relativa modulistica e la documentazione da allegare, sono stabilite con decreto del dirigente della struttura competente, da pubblicare sul Bollettino Ufficiale della Regione Lombardia (BURL). </w:t>
      </w:r>
    </w:p>
    <w:p w:rsidR="00186CFB" w:rsidRPr="003A5E1F" w:rsidRDefault="00186CFB" w:rsidP="00186CFB">
      <w:pPr>
        <w:autoSpaceDE w:val="0"/>
        <w:autoSpaceDN w:val="0"/>
        <w:adjustRightInd w:val="0"/>
        <w:spacing w:after="0" w:line="20" w:lineRule="atLeast"/>
        <w:jc w:val="both"/>
        <w:rPr>
          <w:rFonts w:cstheme="minorHAnsi"/>
          <w:bCs/>
          <w:color w:val="000000"/>
        </w:rPr>
      </w:pPr>
      <w:r w:rsidRPr="003A5E1F">
        <w:rPr>
          <w:rFonts w:cstheme="minorHAnsi"/>
          <w:bCs/>
          <w:color w:val="000000"/>
        </w:rPr>
        <w:t xml:space="preserve">6. Misura del contributo per emergenze economiche </w:t>
      </w:r>
    </w:p>
    <w:p w:rsidR="00186CFB" w:rsidRPr="003A5E1F" w:rsidRDefault="00186CFB" w:rsidP="00186CFB">
      <w:pPr>
        <w:autoSpaceDE w:val="0"/>
        <w:autoSpaceDN w:val="0"/>
        <w:adjustRightInd w:val="0"/>
        <w:spacing w:after="0" w:line="20" w:lineRule="atLeast"/>
        <w:jc w:val="both"/>
        <w:rPr>
          <w:rFonts w:cstheme="minorHAnsi"/>
          <w:color w:val="000000"/>
        </w:rPr>
      </w:pPr>
      <w:r w:rsidRPr="003A5E1F">
        <w:rPr>
          <w:rFonts w:cstheme="minorHAnsi"/>
          <w:color w:val="000000"/>
        </w:rPr>
        <w:t xml:space="preserve">1. Per i familiari, come individuati al paragrafo </w:t>
      </w:r>
      <w:proofErr w:type="gramStart"/>
      <w:r w:rsidRPr="003A5E1F">
        <w:rPr>
          <w:rFonts w:cstheme="minorHAnsi"/>
          <w:color w:val="000000"/>
        </w:rPr>
        <w:t>2.,</w:t>
      </w:r>
      <w:proofErr w:type="gramEnd"/>
      <w:r w:rsidRPr="003A5E1F">
        <w:rPr>
          <w:rFonts w:cstheme="minorHAnsi"/>
          <w:color w:val="000000"/>
        </w:rPr>
        <w:t xml:space="preserve"> punto 2., è riconosciuto un contributo per emergenze economiche relativamente a spese sostenute, appartenenti alle tipologie di seguito specificate: </w:t>
      </w:r>
    </w:p>
    <w:p w:rsidR="00186CFB" w:rsidRPr="003A5E1F" w:rsidRDefault="00186CFB" w:rsidP="00186CFB">
      <w:pPr>
        <w:autoSpaceDE w:val="0"/>
        <w:autoSpaceDN w:val="0"/>
        <w:adjustRightInd w:val="0"/>
        <w:spacing w:after="0" w:line="20" w:lineRule="atLeast"/>
        <w:jc w:val="both"/>
        <w:rPr>
          <w:rFonts w:cstheme="minorHAnsi"/>
          <w:color w:val="000000"/>
        </w:rPr>
      </w:pPr>
      <w:r w:rsidRPr="003A5E1F">
        <w:rPr>
          <w:rFonts w:cstheme="minorHAnsi"/>
          <w:color w:val="000000"/>
        </w:rPr>
        <w:t xml:space="preserve">a) spese per il pagamento delle rate del mutuo per l’acquisto della prima casa o del canone di locazione relativo all’abitazione principale; </w:t>
      </w:r>
    </w:p>
    <w:p w:rsidR="00186CFB" w:rsidRPr="003A5E1F" w:rsidRDefault="00186CFB" w:rsidP="00186CFB">
      <w:pPr>
        <w:autoSpaceDE w:val="0"/>
        <w:autoSpaceDN w:val="0"/>
        <w:adjustRightInd w:val="0"/>
        <w:spacing w:after="0" w:line="20" w:lineRule="atLeast"/>
        <w:jc w:val="both"/>
        <w:rPr>
          <w:rFonts w:cstheme="minorHAnsi"/>
          <w:color w:val="000000"/>
        </w:rPr>
      </w:pPr>
      <w:r w:rsidRPr="003A5E1F">
        <w:rPr>
          <w:rFonts w:cstheme="minorHAnsi"/>
          <w:color w:val="000000"/>
        </w:rPr>
        <w:t xml:space="preserve">b) spese per l’assistenza sanitaria, psicologica o psichiatrica, esercitata presso strutture sanitarie pubbliche o accreditate; </w:t>
      </w:r>
    </w:p>
    <w:p w:rsidR="00186CFB" w:rsidRPr="003A5E1F" w:rsidRDefault="00186CFB" w:rsidP="00186CFB">
      <w:pPr>
        <w:autoSpaceDE w:val="0"/>
        <w:autoSpaceDN w:val="0"/>
        <w:adjustRightInd w:val="0"/>
        <w:spacing w:after="0" w:line="20" w:lineRule="atLeast"/>
        <w:jc w:val="both"/>
        <w:rPr>
          <w:rFonts w:cstheme="minorHAnsi"/>
          <w:color w:val="000000"/>
        </w:rPr>
      </w:pPr>
      <w:r w:rsidRPr="003A5E1F">
        <w:rPr>
          <w:rFonts w:cstheme="minorHAnsi"/>
          <w:color w:val="000000"/>
        </w:rPr>
        <w:t xml:space="preserve">c) spese scolastiche e universitarie; </w:t>
      </w:r>
    </w:p>
    <w:p w:rsidR="00186CFB" w:rsidRPr="003A5E1F" w:rsidRDefault="00186CFB" w:rsidP="00186CFB">
      <w:pPr>
        <w:autoSpaceDE w:val="0"/>
        <w:autoSpaceDN w:val="0"/>
        <w:adjustRightInd w:val="0"/>
        <w:spacing w:after="0" w:line="20" w:lineRule="atLeast"/>
        <w:jc w:val="both"/>
        <w:rPr>
          <w:rFonts w:cstheme="minorHAnsi"/>
          <w:color w:val="000000"/>
        </w:rPr>
      </w:pPr>
      <w:r w:rsidRPr="003A5E1F">
        <w:rPr>
          <w:rFonts w:cstheme="minorHAnsi"/>
          <w:color w:val="000000"/>
        </w:rPr>
        <w:t xml:space="preserve">d) spese funerarie. </w:t>
      </w:r>
    </w:p>
    <w:p w:rsidR="00186CFB" w:rsidRPr="003A5E1F" w:rsidRDefault="00186CFB" w:rsidP="00186CFB">
      <w:pPr>
        <w:autoSpaceDE w:val="0"/>
        <w:autoSpaceDN w:val="0"/>
        <w:adjustRightInd w:val="0"/>
        <w:spacing w:after="0" w:line="20" w:lineRule="atLeast"/>
        <w:jc w:val="both"/>
        <w:rPr>
          <w:rFonts w:cstheme="minorHAnsi"/>
          <w:color w:val="000000"/>
        </w:rPr>
      </w:pPr>
      <w:r w:rsidRPr="003A5E1F">
        <w:rPr>
          <w:rFonts w:cstheme="minorHAnsi"/>
          <w:color w:val="000000"/>
        </w:rPr>
        <w:t xml:space="preserve">2. Le spese, opportunamente motivate e documentate, sono riconosciute al netto della parte assistita da forme assicurative o da altre misure di ristoro di analoga natura, quali contributi statali o di altre amministrazioni pubbliche, e comunque nel limite massimo complessivo di € 20.000,00 per ciascuna vittima della criminalità, indipendentemente dal numero di istanze presentate. </w:t>
      </w:r>
    </w:p>
    <w:p w:rsidR="00186CFB" w:rsidRPr="003A5E1F" w:rsidRDefault="00186CFB" w:rsidP="00186CFB">
      <w:pPr>
        <w:autoSpaceDE w:val="0"/>
        <w:autoSpaceDN w:val="0"/>
        <w:adjustRightInd w:val="0"/>
        <w:spacing w:after="0" w:line="20" w:lineRule="atLeast"/>
        <w:jc w:val="both"/>
        <w:rPr>
          <w:rFonts w:cstheme="minorHAnsi"/>
          <w:color w:val="000000"/>
        </w:rPr>
      </w:pPr>
      <w:r w:rsidRPr="003A5E1F">
        <w:rPr>
          <w:rFonts w:cstheme="minorHAnsi"/>
          <w:color w:val="000000"/>
        </w:rPr>
        <w:t xml:space="preserve">3. Le spese sono riconosciute al familiare, destinatario di un assegno di mantenimento o alimentare, nel limite massimo dell’importo dell’assegno di cui è beneficiario. </w:t>
      </w:r>
    </w:p>
    <w:p w:rsidR="00186CFB" w:rsidRPr="003A5E1F" w:rsidRDefault="00186CFB" w:rsidP="00186CFB">
      <w:pPr>
        <w:autoSpaceDE w:val="0"/>
        <w:autoSpaceDN w:val="0"/>
        <w:adjustRightInd w:val="0"/>
        <w:spacing w:after="0" w:line="20" w:lineRule="atLeast"/>
        <w:jc w:val="both"/>
        <w:rPr>
          <w:rFonts w:cstheme="minorHAnsi"/>
          <w:color w:val="000000"/>
        </w:rPr>
      </w:pPr>
      <w:r w:rsidRPr="003A5E1F">
        <w:rPr>
          <w:rFonts w:cstheme="minorHAnsi"/>
          <w:color w:val="000000"/>
        </w:rPr>
        <w:t xml:space="preserve">4. Con il decreto dirigenziale previsto al paragrafo </w:t>
      </w:r>
      <w:proofErr w:type="gramStart"/>
      <w:r w:rsidRPr="003A5E1F">
        <w:rPr>
          <w:rFonts w:cstheme="minorHAnsi"/>
          <w:color w:val="000000"/>
        </w:rPr>
        <w:t>7.,</w:t>
      </w:r>
      <w:proofErr w:type="gramEnd"/>
      <w:r w:rsidRPr="003A5E1F">
        <w:rPr>
          <w:rFonts w:cstheme="minorHAnsi"/>
          <w:color w:val="000000"/>
        </w:rPr>
        <w:t xml:space="preserve"> sono specificate le tipologie di spese di cui alla lettera c) del punto 1. </w:t>
      </w:r>
      <w:proofErr w:type="gramStart"/>
      <w:r w:rsidRPr="003A5E1F">
        <w:rPr>
          <w:rFonts w:cstheme="minorHAnsi"/>
          <w:color w:val="000000"/>
        </w:rPr>
        <w:t>del</w:t>
      </w:r>
      <w:proofErr w:type="gramEnd"/>
      <w:r w:rsidRPr="003A5E1F">
        <w:rPr>
          <w:rFonts w:cstheme="minorHAnsi"/>
          <w:color w:val="000000"/>
        </w:rPr>
        <w:t xml:space="preserve"> presente paragrafo, ammissibili al contributo. </w:t>
      </w:r>
    </w:p>
    <w:p w:rsidR="00186CFB" w:rsidRPr="003A5E1F" w:rsidRDefault="00186CFB" w:rsidP="00186CFB">
      <w:pPr>
        <w:autoSpaceDE w:val="0"/>
        <w:autoSpaceDN w:val="0"/>
        <w:adjustRightInd w:val="0"/>
        <w:spacing w:after="0" w:line="20" w:lineRule="atLeast"/>
        <w:jc w:val="both"/>
        <w:rPr>
          <w:rFonts w:cstheme="minorHAnsi"/>
          <w:bCs/>
          <w:color w:val="000000"/>
        </w:rPr>
      </w:pPr>
      <w:r w:rsidRPr="003A5E1F">
        <w:rPr>
          <w:rFonts w:cstheme="minorHAnsi"/>
          <w:bCs/>
          <w:color w:val="000000"/>
        </w:rPr>
        <w:t xml:space="preserve">7. Domanda di contributo per emergenze economiche </w:t>
      </w:r>
    </w:p>
    <w:p w:rsidR="00186CFB" w:rsidRPr="003A5E1F" w:rsidRDefault="00186CFB" w:rsidP="00186CFB">
      <w:pPr>
        <w:autoSpaceDE w:val="0"/>
        <w:autoSpaceDN w:val="0"/>
        <w:adjustRightInd w:val="0"/>
        <w:spacing w:after="0" w:line="20" w:lineRule="atLeast"/>
        <w:jc w:val="both"/>
        <w:rPr>
          <w:rFonts w:cstheme="minorHAnsi"/>
          <w:color w:val="000000"/>
        </w:rPr>
      </w:pPr>
      <w:r w:rsidRPr="003A5E1F">
        <w:rPr>
          <w:rFonts w:cstheme="minorHAnsi"/>
          <w:color w:val="000000"/>
        </w:rPr>
        <w:t xml:space="preserve">1. La domanda di contributo è presentata alla competente struttura regionale entro un anno dal decesso della vittima della criminalità. </w:t>
      </w:r>
    </w:p>
    <w:p w:rsidR="00186CFB" w:rsidRPr="003A5E1F" w:rsidRDefault="00186CFB" w:rsidP="00186CFB">
      <w:pPr>
        <w:autoSpaceDE w:val="0"/>
        <w:autoSpaceDN w:val="0"/>
        <w:adjustRightInd w:val="0"/>
        <w:spacing w:after="0" w:line="20" w:lineRule="atLeast"/>
        <w:jc w:val="both"/>
        <w:rPr>
          <w:rFonts w:cstheme="minorHAnsi"/>
          <w:color w:val="000000"/>
        </w:rPr>
      </w:pPr>
      <w:r w:rsidRPr="003A5E1F">
        <w:rPr>
          <w:rFonts w:cstheme="minorHAnsi"/>
          <w:color w:val="000000"/>
        </w:rPr>
        <w:t xml:space="preserve">2. Le modalità per la presentazione della domanda di contributo, la relativa modulistica e la documentazione da allegare, sono stabilite con decreto del dirigente della struttura competente, da pubblicare sul Bollettino Ufficiale della Regione Lombardia (BURL). </w:t>
      </w:r>
    </w:p>
    <w:p w:rsidR="00186CFB" w:rsidRPr="003A5E1F" w:rsidRDefault="00186CFB" w:rsidP="00186CFB">
      <w:pPr>
        <w:autoSpaceDE w:val="0"/>
        <w:autoSpaceDN w:val="0"/>
        <w:adjustRightInd w:val="0"/>
        <w:spacing w:after="0" w:line="20" w:lineRule="atLeast"/>
        <w:jc w:val="both"/>
        <w:rPr>
          <w:rFonts w:cstheme="minorHAnsi"/>
          <w:bCs/>
          <w:color w:val="000000"/>
        </w:rPr>
      </w:pPr>
      <w:r w:rsidRPr="003A5E1F">
        <w:rPr>
          <w:rFonts w:cstheme="minorHAnsi"/>
          <w:bCs/>
          <w:color w:val="000000"/>
        </w:rPr>
        <w:t xml:space="preserve">8. Istruttoria delle domande, rettifiche e integrazioni </w:t>
      </w:r>
    </w:p>
    <w:p w:rsidR="00186CFB" w:rsidRPr="003A5E1F" w:rsidRDefault="00186CFB" w:rsidP="00186CFB">
      <w:pPr>
        <w:autoSpaceDE w:val="0"/>
        <w:autoSpaceDN w:val="0"/>
        <w:adjustRightInd w:val="0"/>
        <w:spacing w:after="0" w:line="20" w:lineRule="atLeast"/>
        <w:jc w:val="both"/>
        <w:rPr>
          <w:rFonts w:cstheme="minorHAnsi"/>
          <w:color w:val="000000"/>
        </w:rPr>
      </w:pPr>
      <w:r w:rsidRPr="003A5E1F">
        <w:rPr>
          <w:rFonts w:cstheme="minorHAnsi"/>
          <w:color w:val="000000"/>
        </w:rPr>
        <w:t>1. Ove, nel corso dell'attività istruttoria, la domanda risulti incompleta o irregolare, la competente struttura regionale ne dà comunicazione al soggetto richiedente, ai sensi dell’articolo 6, comma 1, lett. d), della legge regionale 1 febbraio 2012, n. 1 (</w:t>
      </w:r>
      <w:r w:rsidRPr="003A5E1F">
        <w:rPr>
          <w:rFonts w:cstheme="minorHAnsi"/>
          <w:i/>
          <w:iCs/>
          <w:color w:val="000000"/>
        </w:rPr>
        <w:t>Riordino normativo in materia di procedimento amministrativo, diritto di accesso ai documenti amministrativi, semplificazione amministrativa, potere sostitutivo e potestà sanzionatoria</w:t>
      </w:r>
      <w:r w:rsidRPr="003A5E1F">
        <w:rPr>
          <w:rFonts w:cstheme="minorHAnsi"/>
          <w:color w:val="000000"/>
        </w:rPr>
        <w:t xml:space="preserve">). </w:t>
      </w:r>
    </w:p>
    <w:p w:rsidR="00186CFB" w:rsidRPr="003A5E1F" w:rsidRDefault="00186CFB" w:rsidP="00186CFB">
      <w:pPr>
        <w:autoSpaceDE w:val="0"/>
        <w:autoSpaceDN w:val="0"/>
        <w:adjustRightInd w:val="0"/>
        <w:spacing w:after="0" w:line="20" w:lineRule="atLeast"/>
        <w:jc w:val="both"/>
        <w:rPr>
          <w:rFonts w:cstheme="minorHAnsi"/>
          <w:color w:val="000000"/>
        </w:rPr>
      </w:pPr>
      <w:r w:rsidRPr="003A5E1F">
        <w:rPr>
          <w:rFonts w:cstheme="minorHAnsi"/>
          <w:color w:val="000000"/>
        </w:rPr>
        <w:t xml:space="preserve">2. Il soggetto richiedente può, entro il termine di dieci giorni dal ricevimento della comunicazione, inviare rettifiche ed integrazioni. </w:t>
      </w:r>
    </w:p>
    <w:p w:rsidR="00186CFB" w:rsidRPr="003A5E1F" w:rsidRDefault="00186CFB" w:rsidP="00186CFB">
      <w:pPr>
        <w:autoSpaceDE w:val="0"/>
        <w:autoSpaceDN w:val="0"/>
        <w:adjustRightInd w:val="0"/>
        <w:spacing w:after="0" w:line="20" w:lineRule="atLeast"/>
        <w:jc w:val="both"/>
        <w:rPr>
          <w:rFonts w:cstheme="minorHAnsi"/>
          <w:bCs/>
          <w:color w:val="000000"/>
        </w:rPr>
      </w:pPr>
      <w:r w:rsidRPr="003A5E1F">
        <w:rPr>
          <w:rFonts w:cstheme="minorHAnsi"/>
          <w:bCs/>
          <w:color w:val="000000"/>
        </w:rPr>
        <w:t xml:space="preserve">9. Conclusione dell'istruttoria e provvedimento di concessione del contributo </w:t>
      </w:r>
    </w:p>
    <w:p w:rsidR="00186CFB" w:rsidRPr="003A5E1F" w:rsidRDefault="00186CFB" w:rsidP="00186CFB">
      <w:pPr>
        <w:autoSpaceDE w:val="0"/>
        <w:autoSpaceDN w:val="0"/>
        <w:adjustRightInd w:val="0"/>
        <w:spacing w:after="0" w:line="20" w:lineRule="atLeast"/>
        <w:jc w:val="both"/>
        <w:rPr>
          <w:rFonts w:cstheme="minorHAnsi"/>
          <w:color w:val="000000"/>
        </w:rPr>
      </w:pPr>
      <w:r w:rsidRPr="003A5E1F">
        <w:rPr>
          <w:rFonts w:cstheme="minorHAnsi"/>
          <w:color w:val="000000"/>
        </w:rPr>
        <w:t xml:space="preserve">1. La competente struttura regionale conclude l'istruttoria di ciascuna domanda e adotta il provvedimento finale entro 30 giorni dalla data di ricevimento della stessa al protocollo regionale, con contestuale comunicazione degli esiti al soggetto richiedente. </w:t>
      </w:r>
    </w:p>
    <w:p w:rsidR="00186CFB" w:rsidRPr="003A5E1F" w:rsidRDefault="00186CFB" w:rsidP="00186CFB">
      <w:pPr>
        <w:autoSpaceDE w:val="0"/>
        <w:autoSpaceDN w:val="0"/>
        <w:adjustRightInd w:val="0"/>
        <w:spacing w:after="0" w:line="20" w:lineRule="atLeast"/>
        <w:jc w:val="both"/>
        <w:rPr>
          <w:rFonts w:cstheme="minorHAnsi"/>
          <w:color w:val="000000"/>
        </w:rPr>
      </w:pPr>
      <w:r w:rsidRPr="003A5E1F">
        <w:rPr>
          <w:rFonts w:cstheme="minorHAnsi"/>
          <w:color w:val="000000"/>
        </w:rPr>
        <w:t xml:space="preserve">2. Nel caso di cui al paragrafo </w:t>
      </w:r>
      <w:proofErr w:type="gramStart"/>
      <w:r w:rsidRPr="003A5E1F">
        <w:rPr>
          <w:rFonts w:cstheme="minorHAnsi"/>
          <w:color w:val="000000"/>
        </w:rPr>
        <w:t>8.,</w:t>
      </w:r>
      <w:proofErr w:type="gramEnd"/>
      <w:r w:rsidRPr="003A5E1F">
        <w:rPr>
          <w:rFonts w:cstheme="minorHAnsi"/>
          <w:color w:val="000000"/>
        </w:rPr>
        <w:t xml:space="preserve"> i termini per l'adozione del provvedimento finale iniziano nuovamente a decorrere dalla data di presentazione delle  rettifiche ed integrazioni o, in mancanza, dalla data di scadenza del termine di cui allo stesso paragrafo 8. </w:t>
      </w:r>
    </w:p>
    <w:p w:rsidR="00186CFB" w:rsidRPr="003A5E1F" w:rsidRDefault="00186CFB" w:rsidP="00186CFB">
      <w:pPr>
        <w:autoSpaceDE w:val="0"/>
        <w:autoSpaceDN w:val="0"/>
        <w:adjustRightInd w:val="0"/>
        <w:spacing w:after="0" w:line="20" w:lineRule="atLeast"/>
        <w:jc w:val="both"/>
        <w:rPr>
          <w:rFonts w:cstheme="minorHAnsi"/>
          <w:color w:val="000000"/>
        </w:rPr>
      </w:pPr>
      <w:r w:rsidRPr="003A5E1F">
        <w:rPr>
          <w:rFonts w:cstheme="minorHAnsi"/>
          <w:color w:val="000000"/>
        </w:rPr>
        <w:t xml:space="preserve">3. La concessione del contributo è in ogni caso effettuata nei limiti dello stanziamento annuale di bilancio, tenuto conto dell’ordine cronologico di acquisizione al protocollo regionale della richiesta di contributo. </w:t>
      </w:r>
    </w:p>
    <w:p w:rsidR="00186CFB" w:rsidRPr="003A5E1F" w:rsidRDefault="00186CFB" w:rsidP="00186CFB">
      <w:pPr>
        <w:autoSpaceDE w:val="0"/>
        <w:autoSpaceDN w:val="0"/>
        <w:adjustRightInd w:val="0"/>
        <w:spacing w:after="0" w:line="20" w:lineRule="atLeast"/>
        <w:jc w:val="both"/>
        <w:rPr>
          <w:rFonts w:cstheme="minorHAnsi"/>
          <w:bCs/>
          <w:color w:val="000000"/>
        </w:rPr>
      </w:pPr>
      <w:r w:rsidRPr="003A5E1F">
        <w:rPr>
          <w:rFonts w:cstheme="minorHAnsi"/>
          <w:bCs/>
          <w:color w:val="000000"/>
        </w:rPr>
        <w:t xml:space="preserve">10. Decadenza dal contributo </w:t>
      </w:r>
    </w:p>
    <w:p w:rsidR="00186CFB" w:rsidRPr="003A5E1F" w:rsidRDefault="00186CFB" w:rsidP="00186CFB">
      <w:pPr>
        <w:autoSpaceDE w:val="0"/>
        <w:autoSpaceDN w:val="0"/>
        <w:adjustRightInd w:val="0"/>
        <w:spacing w:after="0" w:line="20" w:lineRule="atLeast"/>
        <w:jc w:val="both"/>
        <w:rPr>
          <w:rFonts w:cstheme="minorHAnsi"/>
          <w:color w:val="000000"/>
        </w:rPr>
      </w:pPr>
      <w:r w:rsidRPr="003A5E1F">
        <w:rPr>
          <w:rFonts w:cstheme="minorHAnsi"/>
          <w:color w:val="000000"/>
        </w:rPr>
        <w:t xml:space="preserve">1. La competente struttura regionale dispone la decadenza dal contributo concesso, con contestuale richiesta di restituzione delle somme erogate, in caso di verifica della non veridicità delle dichiarazioni rese o della documentazione presentata. </w:t>
      </w:r>
    </w:p>
    <w:p w:rsidR="00186CFB" w:rsidRPr="003A5E1F" w:rsidRDefault="00186CFB" w:rsidP="00186CFB">
      <w:pPr>
        <w:autoSpaceDE w:val="0"/>
        <w:autoSpaceDN w:val="0"/>
        <w:adjustRightInd w:val="0"/>
        <w:spacing w:after="0" w:line="20" w:lineRule="atLeast"/>
        <w:jc w:val="both"/>
        <w:rPr>
          <w:rFonts w:cstheme="minorHAnsi"/>
          <w:color w:val="000000"/>
        </w:rPr>
      </w:pPr>
      <w:r w:rsidRPr="003A5E1F">
        <w:rPr>
          <w:rFonts w:cstheme="minorHAnsi"/>
          <w:bCs/>
          <w:color w:val="000000"/>
        </w:rPr>
        <w:t xml:space="preserve">11. Trattamento dei dati personali </w:t>
      </w:r>
      <w:r w:rsidRPr="003A5E1F">
        <w:rPr>
          <w:rFonts w:cstheme="minorHAnsi"/>
          <w:color w:val="000000"/>
        </w:rPr>
        <w:t xml:space="preserve">Il “GDPR 2016/679”, in armonia con quanto previsto dal D.lgs. 30 giugno 2003, n. 196 e dal D.lgs. 10 agosto 2018, n. 101, ha, per obiettivo, quello di proteggere i diritti e le libertà fondamentali delle persone fisiche, in particolare il diritto alla protezione dei dati personali. </w:t>
      </w:r>
    </w:p>
    <w:p w:rsidR="00186CFB" w:rsidRPr="003A5E1F" w:rsidRDefault="00186CFB" w:rsidP="00186CFB">
      <w:pPr>
        <w:autoSpaceDE w:val="0"/>
        <w:autoSpaceDN w:val="0"/>
        <w:adjustRightInd w:val="0"/>
        <w:spacing w:after="0" w:line="20" w:lineRule="atLeast"/>
        <w:jc w:val="both"/>
        <w:rPr>
          <w:rFonts w:cstheme="minorHAnsi"/>
          <w:color w:val="000000"/>
        </w:rPr>
      </w:pPr>
      <w:r w:rsidRPr="003A5E1F">
        <w:rPr>
          <w:rFonts w:cstheme="minorHAnsi"/>
          <w:bCs/>
          <w:color w:val="000000"/>
        </w:rPr>
        <w:lastRenderedPageBreak/>
        <w:t xml:space="preserve">1. Finalità del trattamento dei dati personali </w:t>
      </w:r>
      <w:r w:rsidRPr="003A5E1F">
        <w:rPr>
          <w:rFonts w:cstheme="minorHAnsi"/>
          <w:color w:val="000000"/>
        </w:rPr>
        <w:t xml:space="preserve">I dati personali raccolti (dati anagrafici nome cognome, residenza ed eventuali dati sensibili e giudiziari) saranno trattati da personale individuato in base alla normativa vigente, esclusivamente per le finalità di cui alla l.r. n. 17/2015, art. 21, comma 1. </w:t>
      </w:r>
    </w:p>
    <w:p w:rsidR="00186CFB" w:rsidRPr="003A5E1F" w:rsidRDefault="00186CFB" w:rsidP="00186CFB">
      <w:pPr>
        <w:autoSpaceDE w:val="0"/>
        <w:autoSpaceDN w:val="0"/>
        <w:adjustRightInd w:val="0"/>
        <w:spacing w:after="0" w:line="20" w:lineRule="atLeast"/>
        <w:jc w:val="both"/>
        <w:rPr>
          <w:rFonts w:cstheme="minorHAnsi"/>
          <w:bCs/>
        </w:rPr>
      </w:pPr>
      <w:r w:rsidRPr="003A5E1F">
        <w:rPr>
          <w:rFonts w:cstheme="minorHAnsi"/>
          <w:bCs/>
          <w:color w:val="000000"/>
        </w:rPr>
        <w:t xml:space="preserve">2. Modalità del trattamento dei dati </w:t>
      </w:r>
      <w:r w:rsidRPr="003A5E1F">
        <w:rPr>
          <w:rFonts w:cstheme="minorHAnsi"/>
          <w:color w:val="000000"/>
        </w:rPr>
        <w:t xml:space="preserve">Il trattamento è effettuato con l’ausilio di mezzi elettronici o comunque automatizzati e trasmessi attraverso reti telematiche. I medesimi dati sono trattati con modalità cartacea. </w:t>
      </w:r>
      <w:r w:rsidRPr="003A5E1F">
        <w:rPr>
          <w:rFonts w:cstheme="minorHAnsi"/>
          <w:bCs/>
          <w:color w:val="000000"/>
        </w:rPr>
        <w:t xml:space="preserve">3. Titolare del trattamento: </w:t>
      </w:r>
      <w:r w:rsidRPr="003A5E1F">
        <w:rPr>
          <w:rFonts w:cstheme="minorHAnsi"/>
          <w:color w:val="000000"/>
        </w:rPr>
        <w:t xml:space="preserve">Titolare del trattamento è la Giunta Regionale della Lombardia, nella persona del suo Presidente, con sede in Milano, Piazza Città di Lombardia, 1. </w:t>
      </w:r>
    </w:p>
    <w:p w:rsidR="00186CFB" w:rsidRDefault="00186CFB" w:rsidP="00186CFB">
      <w:pPr>
        <w:pStyle w:val="Default"/>
        <w:spacing w:line="20" w:lineRule="atLeast"/>
        <w:jc w:val="both"/>
        <w:rPr>
          <w:rFonts w:asciiTheme="minorHAnsi" w:hAnsiTheme="minorHAnsi" w:cstheme="minorHAnsi"/>
          <w:sz w:val="22"/>
          <w:szCs w:val="22"/>
        </w:rPr>
      </w:pPr>
      <w:r w:rsidRPr="003A5E1F">
        <w:rPr>
          <w:rFonts w:asciiTheme="minorHAnsi" w:hAnsiTheme="minorHAnsi" w:cstheme="minorHAnsi"/>
          <w:bCs/>
          <w:sz w:val="22"/>
          <w:szCs w:val="22"/>
        </w:rPr>
        <w:t xml:space="preserve">4. Responsabile del trattamento: </w:t>
      </w:r>
      <w:r w:rsidRPr="003A5E1F">
        <w:rPr>
          <w:rFonts w:asciiTheme="minorHAnsi" w:hAnsiTheme="minorHAnsi" w:cstheme="minorHAnsi"/>
          <w:sz w:val="22"/>
          <w:szCs w:val="22"/>
        </w:rPr>
        <w:t xml:space="preserve">Il responsabile interno del trattamento è il Direttore Generale pro tempore della Direzione competente. </w:t>
      </w:r>
      <w:r w:rsidRPr="003A5E1F">
        <w:rPr>
          <w:rFonts w:asciiTheme="minorHAnsi" w:hAnsiTheme="minorHAnsi" w:cstheme="minorHAnsi"/>
          <w:bCs/>
          <w:sz w:val="22"/>
          <w:szCs w:val="22"/>
        </w:rPr>
        <w:t xml:space="preserve">5. Diritti dell’interessato: </w:t>
      </w:r>
      <w:r w:rsidRPr="003A5E1F">
        <w:rPr>
          <w:rFonts w:asciiTheme="minorHAnsi" w:hAnsiTheme="minorHAnsi" w:cstheme="minorHAnsi"/>
          <w:sz w:val="22"/>
          <w:szCs w:val="22"/>
        </w:rPr>
        <w:t xml:space="preserve">In relazione al presente trattamento, l’interessato potrà rivolgersi al responsabile del trattamento per far valere i propri diritti, cosi come previsto dagli articoli da 15 a 22 del Regolamento UE n. 2016/679. </w:t>
      </w:r>
    </w:p>
    <w:p w:rsidR="006543BA" w:rsidRDefault="006543BA" w:rsidP="00186CFB">
      <w:pPr>
        <w:pStyle w:val="Default"/>
        <w:spacing w:line="20" w:lineRule="atLeast"/>
        <w:jc w:val="both"/>
        <w:rPr>
          <w:rFonts w:asciiTheme="minorHAnsi" w:hAnsiTheme="minorHAnsi" w:cstheme="minorHAnsi"/>
          <w:sz w:val="22"/>
          <w:szCs w:val="22"/>
        </w:rPr>
      </w:pPr>
    </w:p>
    <w:p w:rsidR="006543BA" w:rsidRPr="002C33CD" w:rsidRDefault="002C33CD" w:rsidP="002C33CD">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2C33CD">
        <w:rPr>
          <w:rFonts w:cstheme="minorHAnsi"/>
          <w:b/>
        </w:rPr>
        <w:t>POVERTÀ INCLUSIONE SOCIALE</w:t>
      </w:r>
    </w:p>
    <w:p w:rsidR="006543BA" w:rsidRPr="006B0B81" w:rsidRDefault="006543BA" w:rsidP="006543BA">
      <w:pPr>
        <w:spacing w:after="0" w:line="20" w:lineRule="atLeast"/>
        <w:jc w:val="both"/>
        <w:rPr>
          <w:rFonts w:cstheme="minorHAnsi"/>
        </w:rPr>
      </w:pPr>
    </w:p>
    <w:p w:rsidR="002C33CD" w:rsidRDefault="006543BA" w:rsidP="006543BA">
      <w:pPr>
        <w:spacing w:after="0" w:line="20" w:lineRule="atLeast"/>
        <w:jc w:val="both"/>
        <w:rPr>
          <w:rFonts w:cstheme="minorHAnsi"/>
        </w:rPr>
      </w:pPr>
      <w:r w:rsidRPr="002C33CD">
        <w:rPr>
          <w:rFonts w:cstheme="minorHAnsi"/>
          <w:b/>
        </w:rPr>
        <w:t>D</w:t>
      </w:r>
      <w:r w:rsidR="002C33CD" w:rsidRPr="002C33CD">
        <w:rPr>
          <w:rFonts w:cstheme="minorHAnsi"/>
          <w:b/>
        </w:rPr>
        <w:t xml:space="preserve">GR </w:t>
      </w:r>
      <w:r w:rsidRPr="002C33CD">
        <w:rPr>
          <w:rFonts w:cstheme="minorHAnsi"/>
          <w:b/>
        </w:rPr>
        <w:t xml:space="preserve"> 31 luglio </w:t>
      </w:r>
      <w:proofErr w:type="gramStart"/>
      <w:r w:rsidRPr="002C33CD">
        <w:rPr>
          <w:rFonts w:cstheme="minorHAnsi"/>
          <w:b/>
        </w:rPr>
        <w:t>2019</w:t>
      </w:r>
      <w:r w:rsidR="002C33CD" w:rsidRPr="002C33CD">
        <w:rPr>
          <w:rFonts w:cstheme="minorHAnsi"/>
          <w:b/>
        </w:rPr>
        <w:t xml:space="preserve">, </w:t>
      </w:r>
      <w:r w:rsidRPr="002C33CD">
        <w:rPr>
          <w:rFonts w:cstheme="minorHAnsi"/>
          <w:b/>
        </w:rPr>
        <w:t xml:space="preserve"> n.</w:t>
      </w:r>
      <w:proofErr w:type="gramEnd"/>
      <w:r w:rsidRPr="002C33CD">
        <w:rPr>
          <w:rFonts w:cstheme="minorHAnsi"/>
          <w:b/>
        </w:rPr>
        <w:t xml:space="preserve"> XI/2034</w:t>
      </w:r>
      <w:r w:rsidR="002C33CD">
        <w:rPr>
          <w:rFonts w:cstheme="minorHAnsi"/>
        </w:rPr>
        <w:t xml:space="preserve">, </w:t>
      </w:r>
      <w:r w:rsidRPr="006B0B81">
        <w:rPr>
          <w:rFonts w:cstheme="minorHAnsi"/>
        </w:rPr>
        <w:t xml:space="preserve"> Approvazione dei criteri per l’assegnazione di contributi per il finanziamento di progetti innovativi, che favoriscano lo sviluppo e la costituzione di reti per la tutela e la promozione del diritto al cibo (l.r. 34/2015)</w:t>
      </w:r>
      <w:r w:rsidR="002C33CD">
        <w:rPr>
          <w:rFonts w:cstheme="minorHAnsi"/>
        </w:rPr>
        <w:t>. (BUR n. 32 del 6.8.19)</w:t>
      </w:r>
    </w:p>
    <w:p w:rsidR="002C33CD" w:rsidRPr="002C33CD" w:rsidRDefault="002C33CD" w:rsidP="006543BA">
      <w:pPr>
        <w:spacing w:after="0" w:line="20" w:lineRule="atLeast"/>
        <w:jc w:val="both"/>
        <w:rPr>
          <w:rFonts w:cstheme="minorHAnsi"/>
          <w:b/>
        </w:rPr>
      </w:pPr>
      <w:r w:rsidRPr="002C33CD">
        <w:rPr>
          <w:rFonts w:cstheme="minorHAnsi"/>
          <w:b/>
        </w:rPr>
        <w:t xml:space="preserve">PREMESSA </w:t>
      </w:r>
    </w:p>
    <w:p w:rsidR="002C33CD" w:rsidRDefault="002C33CD" w:rsidP="006543BA">
      <w:pPr>
        <w:spacing w:after="0" w:line="20" w:lineRule="atLeast"/>
        <w:jc w:val="both"/>
        <w:rPr>
          <w:rFonts w:cstheme="minorHAnsi"/>
        </w:rPr>
      </w:pPr>
      <w:r>
        <w:rPr>
          <w:rFonts w:cstheme="minorHAnsi"/>
        </w:rPr>
        <w:t>L</w:t>
      </w:r>
      <w:r w:rsidR="006543BA" w:rsidRPr="006B0B81">
        <w:rPr>
          <w:rFonts w:cstheme="minorHAnsi"/>
        </w:rPr>
        <w:t xml:space="preserve">a legge regionale 6 novembre 2015, n.  34 «Legge di riconoscimento, tutela e promozione del diritto al </w:t>
      </w:r>
      <w:proofErr w:type="gramStart"/>
      <w:r w:rsidR="006543BA" w:rsidRPr="006B0B81">
        <w:rPr>
          <w:rFonts w:cstheme="minorHAnsi"/>
        </w:rPr>
        <w:t>cibo»  stabilisce</w:t>
      </w:r>
      <w:proofErr w:type="gramEnd"/>
      <w:r w:rsidR="006543BA" w:rsidRPr="006B0B81">
        <w:rPr>
          <w:rFonts w:cstheme="minorHAnsi"/>
        </w:rPr>
        <w:t xml:space="preserve">: </w:t>
      </w:r>
    </w:p>
    <w:p w:rsidR="002C33CD" w:rsidRDefault="006543BA" w:rsidP="006543BA">
      <w:pPr>
        <w:spacing w:after="0" w:line="20" w:lineRule="atLeast"/>
        <w:jc w:val="both"/>
        <w:rPr>
          <w:rFonts w:cstheme="minorHAnsi"/>
        </w:rPr>
      </w:pPr>
      <w:r w:rsidRPr="006B0B81">
        <w:rPr>
          <w:rFonts w:cstheme="minorHAnsi"/>
        </w:rPr>
        <w:t xml:space="preserve">− che si promuovano azioni concrete per la riduzione a monte degli sprechi, con una progettualità di rete nel recupero, distribuzione, stoccaggio e ridistribuzione di alimenti e di eccedenze alimentari; </w:t>
      </w:r>
    </w:p>
    <w:p w:rsidR="002C33CD" w:rsidRDefault="006543BA" w:rsidP="006543BA">
      <w:pPr>
        <w:spacing w:after="0" w:line="20" w:lineRule="atLeast"/>
        <w:jc w:val="both"/>
        <w:rPr>
          <w:rFonts w:cstheme="minorHAnsi"/>
        </w:rPr>
      </w:pPr>
      <w:r w:rsidRPr="006B0B81">
        <w:rPr>
          <w:rFonts w:cstheme="minorHAnsi"/>
        </w:rPr>
        <w:t xml:space="preserve">− che venga istituita la Consulta regionale per la promozione del diritto al cibo composta da 15 membri e che siano definiti i compiti della stessa; </w:t>
      </w:r>
    </w:p>
    <w:p w:rsidR="002C33CD" w:rsidRDefault="006543BA" w:rsidP="006543BA">
      <w:pPr>
        <w:spacing w:after="0" w:line="20" w:lineRule="atLeast"/>
        <w:jc w:val="both"/>
        <w:rPr>
          <w:rFonts w:cstheme="minorHAnsi"/>
        </w:rPr>
      </w:pPr>
      <w:r w:rsidRPr="006B0B81">
        <w:rPr>
          <w:rFonts w:cstheme="minorHAnsi"/>
        </w:rPr>
        <w:t>− che possano essere stanziate delle risorse annualmente con la legge di bilancio per le finalità di cui alla medesima legge</w:t>
      </w:r>
      <w:r w:rsidR="002C33CD">
        <w:rPr>
          <w:rFonts w:cstheme="minorHAnsi"/>
        </w:rPr>
        <w:t xml:space="preserve">, </w:t>
      </w:r>
    </w:p>
    <w:p w:rsidR="006979B2" w:rsidRDefault="002C33CD" w:rsidP="006543BA">
      <w:pPr>
        <w:spacing w:after="0" w:line="20" w:lineRule="atLeast"/>
        <w:jc w:val="both"/>
        <w:rPr>
          <w:rFonts w:cstheme="minorHAnsi"/>
        </w:rPr>
      </w:pPr>
      <w:proofErr w:type="gramStart"/>
      <w:r>
        <w:rPr>
          <w:rFonts w:cstheme="minorHAnsi"/>
        </w:rPr>
        <w:t xml:space="preserve">Con </w:t>
      </w:r>
      <w:r w:rsidR="006543BA" w:rsidRPr="006B0B81">
        <w:rPr>
          <w:rFonts w:cstheme="minorHAnsi"/>
        </w:rPr>
        <w:t xml:space="preserve"> la</w:t>
      </w:r>
      <w:proofErr w:type="gramEnd"/>
      <w:r w:rsidR="006543BA" w:rsidRPr="006B0B81">
        <w:rPr>
          <w:rFonts w:cstheme="minorHAnsi"/>
        </w:rPr>
        <w:t xml:space="preserve"> d.g.r. del 10 aprile 2017, n. X/6482 </w:t>
      </w:r>
      <w:r w:rsidR="006979B2">
        <w:rPr>
          <w:rFonts w:cstheme="minorHAnsi"/>
        </w:rPr>
        <w:t xml:space="preserve"> è stata istituita la </w:t>
      </w:r>
      <w:r w:rsidR="006543BA" w:rsidRPr="006B0B81">
        <w:rPr>
          <w:rFonts w:cstheme="minorHAnsi"/>
        </w:rPr>
        <w:t>«Consulta regionale per la promozione del diritto al cibo»</w:t>
      </w:r>
      <w:r w:rsidR="006979B2">
        <w:rPr>
          <w:rFonts w:cstheme="minorHAnsi"/>
        </w:rPr>
        <w:t>.</w:t>
      </w:r>
      <w:r w:rsidR="006543BA" w:rsidRPr="006B0B81">
        <w:rPr>
          <w:rFonts w:cstheme="minorHAnsi"/>
        </w:rPr>
        <w:t xml:space="preserve"> </w:t>
      </w:r>
    </w:p>
    <w:p w:rsidR="006979B2" w:rsidRDefault="006979B2" w:rsidP="006543BA">
      <w:pPr>
        <w:spacing w:after="0" w:line="20" w:lineRule="atLeast"/>
        <w:jc w:val="both"/>
        <w:rPr>
          <w:rFonts w:cstheme="minorHAnsi"/>
        </w:rPr>
      </w:pPr>
      <w:r>
        <w:rPr>
          <w:rFonts w:cstheme="minorHAnsi"/>
        </w:rPr>
        <w:t>I</w:t>
      </w:r>
      <w:r w:rsidR="006543BA" w:rsidRPr="006B0B81">
        <w:rPr>
          <w:rFonts w:cstheme="minorHAnsi"/>
        </w:rPr>
        <w:t>l Programma Regionale di Sviluppo della XI legislatura prevede il potenziamento e lo sviluppo di azioni, anche di carattere innovativo, per la raccolta e la distribuzione delle derrate alimentari ai fini di solidarietà sociale</w:t>
      </w:r>
      <w:r>
        <w:rPr>
          <w:rFonts w:cstheme="minorHAnsi"/>
        </w:rPr>
        <w:t>.</w:t>
      </w:r>
    </w:p>
    <w:p w:rsidR="006979B2" w:rsidRPr="006979B2" w:rsidRDefault="006979B2" w:rsidP="006543BA">
      <w:pPr>
        <w:spacing w:after="0" w:line="20" w:lineRule="atLeast"/>
        <w:jc w:val="both"/>
        <w:rPr>
          <w:rFonts w:cstheme="minorHAnsi"/>
          <w:b/>
        </w:rPr>
      </w:pPr>
      <w:r w:rsidRPr="006979B2">
        <w:rPr>
          <w:rFonts w:cstheme="minorHAnsi"/>
          <w:b/>
        </w:rPr>
        <w:t xml:space="preserve">LA DISPOSIZIONE </w:t>
      </w:r>
    </w:p>
    <w:p w:rsidR="006979B2" w:rsidRDefault="006979B2" w:rsidP="006543BA">
      <w:pPr>
        <w:spacing w:after="0" w:line="20" w:lineRule="atLeast"/>
        <w:jc w:val="both"/>
        <w:rPr>
          <w:rFonts w:cstheme="minorHAnsi"/>
        </w:rPr>
      </w:pPr>
      <w:proofErr w:type="gramStart"/>
      <w:r>
        <w:rPr>
          <w:rFonts w:cstheme="minorHAnsi"/>
        </w:rPr>
        <w:t xml:space="preserve">Vengono </w:t>
      </w:r>
      <w:r w:rsidR="006543BA" w:rsidRPr="006B0B81">
        <w:rPr>
          <w:rFonts w:cstheme="minorHAnsi"/>
        </w:rPr>
        <w:t xml:space="preserve"> approva</w:t>
      </w:r>
      <w:r>
        <w:rPr>
          <w:rFonts w:cstheme="minorHAnsi"/>
        </w:rPr>
        <w:t>ti</w:t>
      </w:r>
      <w:proofErr w:type="gramEnd"/>
      <w:r>
        <w:rPr>
          <w:rFonts w:cstheme="minorHAnsi"/>
        </w:rPr>
        <w:t xml:space="preserve"> </w:t>
      </w:r>
      <w:r w:rsidR="006543BA" w:rsidRPr="006B0B81">
        <w:rPr>
          <w:rFonts w:cstheme="minorHAnsi"/>
        </w:rPr>
        <w:t xml:space="preserve"> i «Criteri per l’assegnazione di contributi per il finanziamento di progetti innovativi, che favoriscano lo sviluppo e la costituzione di reti per la tutela e la promozione del diritto al cibo (l.r. 34/2015)» come da allegato A</w:t>
      </w:r>
      <w:r>
        <w:rPr>
          <w:rFonts w:cstheme="minorHAnsi"/>
        </w:rPr>
        <w:t>.</w:t>
      </w:r>
    </w:p>
    <w:p w:rsidR="006979B2" w:rsidRDefault="006543BA" w:rsidP="006543BA">
      <w:pPr>
        <w:spacing w:after="0" w:line="20" w:lineRule="atLeast"/>
        <w:jc w:val="both"/>
        <w:rPr>
          <w:rFonts w:cstheme="minorHAnsi"/>
        </w:rPr>
      </w:pPr>
      <w:r w:rsidRPr="006B0B81">
        <w:rPr>
          <w:rFonts w:cstheme="minorHAnsi"/>
        </w:rPr>
        <w:t xml:space="preserve">Allegato A </w:t>
      </w:r>
    </w:p>
    <w:p w:rsidR="006979B2" w:rsidRDefault="006543BA" w:rsidP="006543BA">
      <w:pPr>
        <w:spacing w:after="0" w:line="20" w:lineRule="atLeast"/>
        <w:jc w:val="both"/>
        <w:rPr>
          <w:rFonts w:cstheme="minorHAnsi"/>
        </w:rPr>
      </w:pPr>
      <w:r w:rsidRPr="006B0B81">
        <w:rPr>
          <w:rFonts w:cstheme="minorHAnsi"/>
        </w:rPr>
        <w:t xml:space="preserve">CRITERI PER L’ASSEGNAZIONE DI CONTRIBUTI PER IL FINANZIAMENTO DI PROGETTI INNOVATIVI, CHE FAVORISCANO LO SVILUPPO E LA COSTITUZIONE DI RETI PER LA TUTELA E LA PROMOZIONE DEL DIRITTO AL CIBO (L.R. 34/2015). </w:t>
      </w:r>
    </w:p>
    <w:p w:rsidR="006979B2" w:rsidRDefault="006543BA" w:rsidP="006543BA">
      <w:pPr>
        <w:spacing w:after="0" w:line="20" w:lineRule="atLeast"/>
        <w:jc w:val="both"/>
        <w:rPr>
          <w:rFonts w:cstheme="minorHAnsi"/>
        </w:rPr>
      </w:pPr>
      <w:r w:rsidRPr="006B0B81">
        <w:rPr>
          <w:rFonts w:cstheme="minorHAnsi"/>
        </w:rPr>
        <w:t>1. OBIETTIVI</w:t>
      </w:r>
    </w:p>
    <w:p w:rsidR="006979B2" w:rsidRDefault="006979B2" w:rsidP="006543BA">
      <w:pPr>
        <w:spacing w:after="0" w:line="20" w:lineRule="atLeast"/>
        <w:jc w:val="both"/>
        <w:rPr>
          <w:rFonts w:cstheme="minorHAnsi"/>
        </w:rPr>
      </w:pPr>
      <w:proofErr w:type="gramStart"/>
      <w:r>
        <w:rPr>
          <w:rFonts w:cstheme="minorHAnsi"/>
        </w:rPr>
        <w:t xml:space="preserve">La </w:t>
      </w:r>
      <w:r w:rsidR="006543BA" w:rsidRPr="006B0B81">
        <w:rPr>
          <w:rFonts w:cstheme="minorHAnsi"/>
        </w:rPr>
        <w:t xml:space="preserve"> Regione</w:t>
      </w:r>
      <w:proofErr w:type="gramEnd"/>
      <w:r w:rsidR="006543BA" w:rsidRPr="006B0B81">
        <w:rPr>
          <w:rFonts w:cstheme="minorHAnsi"/>
        </w:rPr>
        <w:t xml:space="preserve"> Lombardia intende indire una selezione pubblica regionale per l’erogazione di contributi per il finanziamento di progetti innovativi: </w:t>
      </w:r>
    </w:p>
    <w:p w:rsidR="006979B2" w:rsidRDefault="006543BA" w:rsidP="006543BA">
      <w:pPr>
        <w:spacing w:after="0" w:line="20" w:lineRule="atLeast"/>
        <w:jc w:val="both"/>
        <w:rPr>
          <w:rFonts w:cstheme="minorHAnsi"/>
        </w:rPr>
      </w:pPr>
      <w:r w:rsidRPr="006B0B81">
        <w:rPr>
          <w:rFonts w:cstheme="minorHAnsi"/>
        </w:rPr>
        <w:t xml:space="preserve">• nel campo della filiera agroalimentare che va dalla produzione delle materie prime agricole fino allo smaltimento dei relativi rifiuti, a beneficio di consumatori e attori economici coinvolti; </w:t>
      </w:r>
    </w:p>
    <w:p w:rsidR="006979B2" w:rsidRDefault="006543BA" w:rsidP="006543BA">
      <w:pPr>
        <w:spacing w:after="0" w:line="20" w:lineRule="atLeast"/>
        <w:jc w:val="both"/>
        <w:rPr>
          <w:rFonts w:cstheme="minorHAnsi"/>
        </w:rPr>
      </w:pPr>
      <w:r w:rsidRPr="006B0B81">
        <w:rPr>
          <w:rFonts w:cstheme="minorHAnsi"/>
        </w:rPr>
        <w:t xml:space="preserve">• nel campo dei processi e attività riguardanti la progettazione e la produzione di alimenti, il packaging, la logistica e la commercializzazione per valorizzare il mercato e dare un impatto significativo alle dinamiche di consumo; </w:t>
      </w:r>
    </w:p>
    <w:p w:rsidR="006979B2" w:rsidRDefault="006543BA" w:rsidP="006543BA">
      <w:pPr>
        <w:spacing w:after="0" w:line="20" w:lineRule="atLeast"/>
        <w:jc w:val="both"/>
        <w:rPr>
          <w:rFonts w:cstheme="minorHAnsi"/>
        </w:rPr>
      </w:pPr>
      <w:r w:rsidRPr="006B0B81">
        <w:rPr>
          <w:rFonts w:cstheme="minorHAnsi"/>
        </w:rPr>
        <w:t xml:space="preserve">• nel campo di un’agricoltura sostenibile (tutela della biodiversità, diversificazione del paesaggio agricolo e degli ecosistemi, sistemi di produzione a ridotto impatto ambientale etc.) e multifunzionale ispirata ai principi dell’agroecologia; </w:t>
      </w:r>
    </w:p>
    <w:p w:rsidR="006979B2" w:rsidRDefault="006543BA" w:rsidP="006543BA">
      <w:pPr>
        <w:spacing w:after="0" w:line="20" w:lineRule="atLeast"/>
        <w:jc w:val="both"/>
        <w:rPr>
          <w:rFonts w:cstheme="minorHAnsi"/>
        </w:rPr>
      </w:pPr>
      <w:r w:rsidRPr="006B0B81">
        <w:rPr>
          <w:rFonts w:cstheme="minorHAnsi"/>
        </w:rPr>
        <w:t xml:space="preserve">• nel campo della shelf life dei prodotti alimentari e al confezionamento dei medesimi, finalizzati alla limitazione degli sprechi e all’impiego delle eccedenze alimentari, che assicurino una concreta applicazione dei risultati conseguiti; </w:t>
      </w:r>
    </w:p>
    <w:p w:rsidR="006979B2" w:rsidRDefault="006543BA" w:rsidP="006543BA">
      <w:pPr>
        <w:spacing w:after="0" w:line="20" w:lineRule="atLeast"/>
        <w:jc w:val="both"/>
        <w:rPr>
          <w:rFonts w:cstheme="minorHAnsi"/>
        </w:rPr>
      </w:pPr>
      <w:r w:rsidRPr="006B0B81">
        <w:rPr>
          <w:rFonts w:cstheme="minorHAnsi"/>
        </w:rPr>
        <w:lastRenderedPageBreak/>
        <w:t xml:space="preserve">• nel campo dello sviluppo della diffusione di informazioni che valorizzino il cibo lungo tutta la filiera, utili ai consumatori in genere o rivolti a target di particolare interesse. </w:t>
      </w:r>
    </w:p>
    <w:p w:rsidR="006979B2" w:rsidRDefault="006543BA" w:rsidP="006543BA">
      <w:pPr>
        <w:spacing w:after="0" w:line="20" w:lineRule="atLeast"/>
        <w:jc w:val="both"/>
        <w:rPr>
          <w:rFonts w:cstheme="minorHAnsi"/>
        </w:rPr>
      </w:pPr>
      <w:r w:rsidRPr="006B0B81">
        <w:rPr>
          <w:rFonts w:cstheme="minorHAnsi"/>
        </w:rPr>
        <w:t>Col presente provvedimento si intende finanziare progetti che abbiano ricadute oggettive e verificabili a livello di gestione aziendale e che pertanto producano dei risultati a carattere economico che devono essere evidenziati all’interno delle proposte progettuali dai proponenti.</w:t>
      </w:r>
    </w:p>
    <w:p w:rsidR="006979B2" w:rsidRDefault="006543BA" w:rsidP="006543BA">
      <w:pPr>
        <w:spacing w:after="0" w:line="20" w:lineRule="atLeast"/>
        <w:jc w:val="both"/>
        <w:rPr>
          <w:rFonts w:cstheme="minorHAnsi"/>
        </w:rPr>
      </w:pPr>
      <w:r w:rsidRPr="006B0B81">
        <w:rPr>
          <w:rFonts w:cstheme="minorHAnsi"/>
        </w:rPr>
        <w:t>I contributi per il finanziamento dei progetti sono assegnati nel rispetto dei: - reg. (UE) n. 1407/2013 della Commissione del 18 dicembre 2013 relativo all’applicazione degli articoli 107 e 108 del trattato sul funzionamento dell’Unione europea agli aiuti «de minimis» (GUUE del 24.12.2013 L 152); - reg. (UE) n. 1408/2013 della Commissione del 18 dicembre 2013 relativo all’applicazione degli articoli 107 e 108 del trattato sul funzionamento dell’Unione europea agli aiuti «de minimis» nel settore agricolo (pubblicato sulla GUUE L152 24.12.2013); - il reg. (UE) 2019/316 della Commissione del 21 febbraio 2019 che modifica il regolamento (UE) n. 1408/2013 relativo all'applicazione degli articoli 107 e 108 del trattato sul funzionamento dell'Unione europea agli aiuti «de minimis» nel settore agricolo (GUUE L51 del 22.2.2019); - la legge 24 dicembre 2012, n. 234 “Norme generali sulla partecipazione dell'Italia alla formazione e all'attuazione della normativa e delle politiche dell'Unione europea e in particolare l art. 52 “registro nazionale degli aiuti di stato”; - il Decreto Ministeriale del 31 maggio 2017, n. 115 “Regolamento recante la disciplina per il funzionamento del Registro nazionale degli aiuti di Stato, ai sensi dell'articolo 52, comma 6, della legge 24 dicembre 2012, n. 234 e successive modifiche e integrazioni” e in particolare l’art. 6 “Aiuti nei settori agricoltura e pesca” e l’art. 9 “registrazione degli aiuti individuali</w:t>
      </w:r>
    </w:p>
    <w:p w:rsidR="006979B2" w:rsidRDefault="006543BA" w:rsidP="006543BA">
      <w:pPr>
        <w:spacing w:after="0" w:line="20" w:lineRule="atLeast"/>
        <w:jc w:val="both"/>
        <w:rPr>
          <w:rFonts w:cstheme="minorHAnsi"/>
        </w:rPr>
      </w:pPr>
      <w:r w:rsidRPr="006B0B81">
        <w:rPr>
          <w:rFonts w:cstheme="minorHAnsi"/>
        </w:rPr>
        <w:t xml:space="preserve">2. BENEFICIARI </w:t>
      </w:r>
    </w:p>
    <w:p w:rsidR="006979B2" w:rsidRDefault="006543BA" w:rsidP="006543BA">
      <w:pPr>
        <w:spacing w:after="0" w:line="20" w:lineRule="atLeast"/>
        <w:jc w:val="both"/>
        <w:rPr>
          <w:rFonts w:cstheme="minorHAnsi"/>
        </w:rPr>
      </w:pPr>
      <w:r w:rsidRPr="006B0B81">
        <w:rPr>
          <w:rFonts w:cstheme="minorHAnsi"/>
        </w:rPr>
        <w:t xml:space="preserve">Ai fini dell’erogazione dei contributi di cui al presente avviso, possono presentare domanda i seguenti soggetti proponenti: </w:t>
      </w:r>
    </w:p>
    <w:p w:rsidR="006979B2" w:rsidRDefault="006543BA" w:rsidP="006543BA">
      <w:pPr>
        <w:spacing w:after="0" w:line="20" w:lineRule="atLeast"/>
        <w:jc w:val="both"/>
        <w:rPr>
          <w:rFonts w:cstheme="minorHAnsi"/>
        </w:rPr>
      </w:pPr>
      <w:r w:rsidRPr="006B0B81">
        <w:rPr>
          <w:rFonts w:cstheme="minorHAnsi"/>
        </w:rPr>
        <w:t>a) enti pubblici, università, organismi di diritto pubblico e soggetti a prevalente partecipazione pubblica;</w:t>
      </w:r>
    </w:p>
    <w:p w:rsidR="006979B2" w:rsidRDefault="006543BA" w:rsidP="006543BA">
      <w:pPr>
        <w:spacing w:after="0" w:line="20" w:lineRule="atLeast"/>
        <w:jc w:val="both"/>
        <w:rPr>
          <w:rFonts w:cstheme="minorHAnsi"/>
        </w:rPr>
      </w:pPr>
      <w:r w:rsidRPr="006B0B81">
        <w:rPr>
          <w:rFonts w:cstheme="minorHAnsi"/>
        </w:rPr>
        <w:t xml:space="preserve">b) gli enti iscritti nel registro del terzo settore, che operano nel territorio lombardo, quali le organizzazioni di volontariato, le associazioni di promozione sociale, gli enti filantropici, le imprese sociali, incluse le cooperative sociali, le reti associative, le società di mutuo soccorso, le associazioni, riconosciute o non riconosciute, le fondazioni e gli altri enti di carattere privato diversi dalle società costituiti per il perseguimento, senza scopo di lucro, di finalità civiche, solidaristiche e di utilità sociale; </w:t>
      </w:r>
    </w:p>
    <w:p w:rsidR="006979B2" w:rsidRDefault="006543BA" w:rsidP="006543BA">
      <w:pPr>
        <w:spacing w:after="0" w:line="20" w:lineRule="atLeast"/>
        <w:jc w:val="both"/>
        <w:rPr>
          <w:rFonts w:cstheme="minorHAnsi"/>
        </w:rPr>
      </w:pPr>
      <w:r w:rsidRPr="006B0B81">
        <w:rPr>
          <w:rFonts w:cstheme="minorHAnsi"/>
        </w:rPr>
        <w:t>c) associazioni di categoria, soggetti pubblici e privati, start up che si occupano della filiera agroalimentare; d) Sono ammessi i raggruppamenti, anche temporanei, tra i soggetti di cui alle lett. a</w:t>
      </w:r>
      <w:proofErr w:type="gramStart"/>
      <w:r w:rsidRPr="006B0B81">
        <w:rPr>
          <w:rFonts w:cstheme="minorHAnsi"/>
        </w:rPr>
        <w:t>),b</w:t>
      </w:r>
      <w:proofErr w:type="gramEnd"/>
      <w:r w:rsidRPr="006B0B81">
        <w:rPr>
          <w:rFonts w:cstheme="minorHAnsi"/>
        </w:rPr>
        <w:t>) e c);</w:t>
      </w:r>
    </w:p>
    <w:p w:rsidR="006979B2" w:rsidRDefault="006543BA" w:rsidP="006543BA">
      <w:pPr>
        <w:spacing w:after="0" w:line="20" w:lineRule="atLeast"/>
        <w:jc w:val="both"/>
        <w:rPr>
          <w:rFonts w:cstheme="minorHAnsi"/>
        </w:rPr>
      </w:pPr>
      <w:r w:rsidRPr="006B0B81">
        <w:rPr>
          <w:rFonts w:cstheme="minorHAnsi"/>
        </w:rPr>
        <w:t xml:space="preserve"> Ogni soggetto può partecipare ad un solo partenariato. </w:t>
      </w:r>
    </w:p>
    <w:p w:rsidR="006979B2" w:rsidRDefault="006543BA" w:rsidP="006543BA">
      <w:pPr>
        <w:spacing w:after="0" w:line="20" w:lineRule="atLeast"/>
        <w:jc w:val="both"/>
        <w:rPr>
          <w:rFonts w:cstheme="minorHAnsi"/>
        </w:rPr>
      </w:pPr>
      <w:r w:rsidRPr="006B0B81">
        <w:rPr>
          <w:rFonts w:cstheme="minorHAnsi"/>
        </w:rPr>
        <w:t xml:space="preserve">Tutti i soggetti devono avere sede legale e/o operativa in Lombardia. </w:t>
      </w:r>
    </w:p>
    <w:p w:rsidR="006979B2" w:rsidRDefault="006543BA" w:rsidP="006543BA">
      <w:pPr>
        <w:spacing w:after="0" w:line="20" w:lineRule="atLeast"/>
        <w:jc w:val="both"/>
        <w:rPr>
          <w:rFonts w:cstheme="minorHAnsi"/>
        </w:rPr>
      </w:pPr>
      <w:r w:rsidRPr="006B0B81">
        <w:rPr>
          <w:rFonts w:cstheme="minorHAnsi"/>
        </w:rPr>
        <w:t xml:space="preserve">3. DOTAZIONE FINANZIARIA </w:t>
      </w:r>
    </w:p>
    <w:p w:rsidR="006979B2" w:rsidRDefault="006979B2" w:rsidP="006543BA">
      <w:pPr>
        <w:spacing w:after="0" w:line="20" w:lineRule="atLeast"/>
        <w:jc w:val="both"/>
        <w:rPr>
          <w:rFonts w:cstheme="minorHAnsi"/>
        </w:rPr>
      </w:pPr>
      <w:r>
        <w:rPr>
          <w:rFonts w:cstheme="minorHAnsi"/>
        </w:rPr>
        <w:t xml:space="preserve">La </w:t>
      </w:r>
      <w:r w:rsidR="006543BA" w:rsidRPr="006B0B81">
        <w:rPr>
          <w:rFonts w:cstheme="minorHAnsi"/>
        </w:rPr>
        <w:t xml:space="preserve">Regione Lombardia concorre alla realizzazione dei progetti ammessi con uno stanziamento complessivo pari a € 200.000,00 che trova copertura finanziaria sul capitolo di spesa 16.01.104.5392, esercizio finanaziario 2020 del bilancio di previsione 2019/2021. </w:t>
      </w:r>
    </w:p>
    <w:p w:rsidR="006979B2" w:rsidRDefault="006543BA" w:rsidP="006543BA">
      <w:pPr>
        <w:spacing w:after="0" w:line="20" w:lineRule="atLeast"/>
        <w:jc w:val="both"/>
        <w:rPr>
          <w:rFonts w:cstheme="minorHAnsi"/>
        </w:rPr>
      </w:pPr>
      <w:r w:rsidRPr="006B0B81">
        <w:rPr>
          <w:rFonts w:cstheme="minorHAnsi"/>
        </w:rPr>
        <w:t xml:space="preserve">4. FINALITA’ E CARATTERISTICHE DEI PROGETTI </w:t>
      </w:r>
    </w:p>
    <w:p w:rsidR="00BD79A8" w:rsidRDefault="006979B2" w:rsidP="006543BA">
      <w:pPr>
        <w:spacing w:after="0" w:line="20" w:lineRule="atLeast"/>
        <w:jc w:val="both"/>
        <w:rPr>
          <w:rFonts w:cstheme="minorHAnsi"/>
        </w:rPr>
      </w:pPr>
      <w:r>
        <w:rPr>
          <w:rFonts w:cstheme="minorHAnsi"/>
        </w:rPr>
        <w:t xml:space="preserve">La </w:t>
      </w:r>
      <w:r w:rsidR="006543BA" w:rsidRPr="006B0B81">
        <w:rPr>
          <w:rFonts w:cstheme="minorHAnsi"/>
        </w:rPr>
        <w:t>Regione Lombardia riconosce e tutela sul proprio territorio il diritto universale di accedere ad una quantità sufficiente di cibo sicuro, sano e nutriente come diritto umano fondamentale per tutti gli individui, sostiene e promuove politiche di contrasto alla povertà alimentare. Regione Lombardia riconosce il ruolo essenziale dell’agricoltura nella produzione del cibo affinch</w:t>
      </w:r>
      <w:r w:rsidR="0063370C">
        <w:rPr>
          <w:rFonts w:cstheme="minorHAnsi"/>
        </w:rPr>
        <w:t>é</w:t>
      </w:r>
      <w:r w:rsidR="006543BA" w:rsidRPr="006B0B81">
        <w:rPr>
          <w:rFonts w:cstheme="minorHAnsi"/>
        </w:rPr>
        <w:t xml:space="preserve"> sia disponibile per tutti e si perseguano politiche di qualità lungo tutta la filiera avvicinando produttori e consumatori e informando correttamente su tutti gli aspetti che riguardano le scelte alimentari. Pertanto assume i seguenti obiettivi: </w:t>
      </w:r>
    </w:p>
    <w:p w:rsidR="00BD79A8" w:rsidRDefault="006543BA" w:rsidP="006543BA">
      <w:pPr>
        <w:spacing w:after="0" w:line="20" w:lineRule="atLeast"/>
        <w:jc w:val="both"/>
        <w:rPr>
          <w:rFonts w:cstheme="minorHAnsi"/>
        </w:rPr>
      </w:pPr>
      <w:r w:rsidRPr="006B0B81">
        <w:rPr>
          <w:rFonts w:cstheme="minorHAnsi"/>
        </w:rPr>
        <w:t xml:space="preserve">• valorizzare il valore del cibo lungo tutta la filiera agroalimentare; </w:t>
      </w:r>
    </w:p>
    <w:p w:rsidR="00BD79A8" w:rsidRDefault="006543BA" w:rsidP="006543BA">
      <w:pPr>
        <w:spacing w:after="0" w:line="20" w:lineRule="atLeast"/>
        <w:jc w:val="both"/>
        <w:rPr>
          <w:rFonts w:cstheme="minorHAnsi"/>
        </w:rPr>
      </w:pPr>
      <w:r w:rsidRPr="006B0B81">
        <w:rPr>
          <w:rFonts w:cstheme="minorHAnsi"/>
        </w:rPr>
        <w:t xml:space="preserve">• ridurre gli sprechi alimentari dal campo alla tavola, recuperare e ridistribuire le eccedenze alimentari; </w:t>
      </w:r>
    </w:p>
    <w:p w:rsidR="00BD79A8" w:rsidRDefault="006543BA" w:rsidP="006543BA">
      <w:pPr>
        <w:spacing w:after="0" w:line="20" w:lineRule="atLeast"/>
        <w:jc w:val="both"/>
        <w:rPr>
          <w:rFonts w:cstheme="minorHAnsi"/>
        </w:rPr>
      </w:pPr>
      <w:r w:rsidRPr="006B0B81">
        <w:rPr>
          <w:rFonts w:cstheme="minorHAnsi"/>
        </w:rPr>
        <w:t xml:space="preserve">• favorire l’utilizzo di sottoprodotti e prodotti agroalimentari soprattutto per l’alimentazione umana; </w:t>
      </w:r>
    </w:p>
    <w:p w:rsidR="00BD79A8" w:rsidRDefault="006543BA" w:rsidP="006543BA">
      <w:pPr>
        <w:spacing w:after="0" w:line="20" w:lineRule="atLeast"/>
        <w:jc w:val="both"/>
        <w:rPr>
          <w:rFonts w:cstheme="minorHAnsi"/>
        </w:rPr>
      </w:pPr>
      <w:r w:rsidRPr="006B0B81">
        <w:rPr>
          <w:rFonts w:cstheme="minorHAnsi"/>
        </w:rPr>
        <w:t>• avere ricadute oggettive e misurabili di natura economica a livello di attività azi</w:t>
      </w:r>
      <w:r w:rsidR="0063370C">
        <w:rPr>
          <w:rFonts w:cstheme="minorHAnsi"/>
        </w:rPr>
        <w:t>e</w:t>
      </w:r>
      <w:r w:rsidRPr="006B0B81">
        <w:rPr>
          <w:rFonts w:cstheme="minorHAnsi"/>
        </w:rPr>
        <w:t xml:space="preserve">ndale; </w:t>
      </w:r>
    </w:p>
    <w:p w:rsidR="00BD79A8" w:rsidRDefault="006543BA" w:rsidP="006543BA">
      <w:pPr>
        <w:spacing w:after="0" w:line="20" w:lineRule="atLeast"/>
        <w:jc w:val="both"/>
        <w:rPr>
          <w:rFonts w:cstheme="minorHAnsi"/>
        </w:rPr>
      </w:pPr>
      <w:r w:rsidRPr="006B0B81">
        <w:rPr>
          <w:rFonts w:cstheme="minorHAnsi"/>
        </w:rPr>
        <w:t xml:space="preserve">• sostenere, incentivare e favorire le attività e le iniziative di organizzazioni pubbliche e private che contribuiscono a combattere la povertà in tutte le sue forme; </w:t>
      </w:r>
    </w:p>
    <w:p w:rsidR="00BD79A8" w:rsidRDefault="006543BA" w:rsidP="006543BA">
      <w:pPr>
        <w:spacing w:after="0" w:line="20" w:lineRule="atLeast"/>
        <w:jc w:val="both"/>
        <w:rPr>
          <w:rFonts w:cstheme="minorHAnsi"/>
        </w:rPr>
      </w:pPr>
      <w:r w:rsidRPr="006B0B81">
        <w:rPr>
          <w:rFonts w:cstheme="minorHAnsi"/>
        </w:rPr>
        <w:t xml:space="preserve">• promuovere sistemi alimentari più sostenibili ed un consumo sostenibile; </w:t>
      </w:r>
    </w:p>
    <w:p w:rsidR="00BD79A8" w:rsidRDefault="006543BA" w:rsidP="006543BA">
      <w:pPr>
        <w:spacing w:after="0" w:line="20" w:lineRule="atLeast"/>
        <w:jc w:val="both"/>
        <w:rPr>
          <w:rFonts w:cstheme="minorHAnsi"/>
        </w:rPr>
      </w:pPr>
      <w:r w:rsidRPr="006B0B81">
        <w:rPr>
          <w:rFonts w:cstheme="minorHAnsi"/>
        </w:rPr>
        <w:t xml:space="preserve">• favorire lo sviluppo della blochchain (tracciabilità della filiera agroalimentare e trasparenza); </w:t>
      </w:r>
    </w:p>
    <w:p w:rsidR="00BD79A8" w:rsidRDefault="006543BA" w:rsidP="006543BA">
      <w:pPr>
        <w:spacing w:after="0" w:line="20" w:lineRule="atLeast"/>
        <w:jc w:val="both"/>
        <w:rPr>
          <w:rFonts w:cstheme="minorHAnsi"/>
        </w:rPr>
      </w:pPr>
      <w:r w:rsidRPr="006B0B81">
        <w:rPr>
          <w:rFonts w:cstheme="minorHAnsi"/>
        </w:rPr>
        <w:lastRenderedPageBreak/>
        <w:t xml:space="preserve">• favorire lo sviluppo e la costituzione di reti che creino progetti innovativi che coinvolgano tutta la filiera, privilegiando la tematica dell’accesso al cibo da parte di tutti i cittadini. I progetti che possono accedere al finanziamento devono presentare le seguenti caratteristiche: </w:t>
      </w:r>
    </w:p>
    <w:p w:rsidR="00BD79A8" w:rsidRDefault="006543BA" w:rsidP="006543BA">
      <w:pPr>
        <w:spacing w:after="0" w:line="20" w:lineRule="atLeast"/>
        <w:jc w:val="both"/>
        <w:rPr>
          <w:rFonts w:cstheme="minorHAnsi"/>
        </w:rPr>
      </w:pPr>
      <w:r w:rsidRPr="006B0B81">
        <w:rPr>
          <w:rFonts w:cstheme="minorHAnsi"/>
        </w:rPr>
        <w:t xml:space="preserve">• essere presentati da uno o più proponenti di cui all’art. 2; </w:t>
      </w:r>
    </w:p>
    <w:p w:rsidR="00BD79A8" w:rsidRDefault="006543BA" w:rsidP="006543BA">
      <w:pPr>
        <w:spacing w:after="0" w:line="20" w:lineRule="atLeast"/>
        <w:jc w:val="both"/>
        <w:rPr>
          <w:rFonts w:cstheme="minorHAnsi"/>
        </w:rPr>
      </w:pPr>
      <w:r w:rsidRPr="006B0B81">
        <w:rPr>
          <w:rFonts w:cstheme="minorHAnsi"/>
        </w:rPr>
        <w:t xml:space="preserve">• essere strettamente coerenti con le finalità, di cui all’articolo 1; </w:t>
      </w:r>
    </w:p>
    <w:p w:rsidR="00BD79A8" w:rsidRDefault="006543BA" w:rsidP="006543BA">
      <w:pPr>
        <w:spacing w:after="0" w:line="20" w:lineRule="atLeast"/>
        <w:jc w:val="both"/>
        <w:rPr>
          <w:rFonts w:cstheme="minorHAnsi"/>
        </w:rPr>
      </w:pPr>
      <w:r w:rsidRPr="006B0B81">
        <w:rPr>
          <w:rFonts w:cstheme="minorHAnsi"/>
        </w:rPr>
        <w:t xml:space="preserve">• avere ad oggetto uno o più alimenti, come definiti all’art.2 del Reg n. 178/2002. </w:t>
      </w:r>
    </w:p>
    <w:p w:rsidR="00BD79A8" w:rsidRDefault="006543BA" w:rsidP="006543BA">
      <w:pPr>
        <w:spacing w:after="0" w:line="20" w:lineRule="atLeast"/>
        <w:jc w:val="both"/>
        <w:rPr>
          <w:rFonts w:cstheme="minorHAnsi"/>
        </w:rPr>
      </w:pPr>
      <w:r w:rsidRPr="006B0B81">
        <w:rPr>
          <w:rFonts w:cstheme="minorHAnsi"/>
        </w:rPr>
        <w:t xml:space="preserve">Fermo restando il possesso dei requisiti di cui al comma 2, non sono comunque ammesse le seguenti tipologie di progetti: </w:t>
      </w:r>
    </w:p>
    <w:p w:rsidR="00BD79A8" w:rsidRDefault="006543BA" w:rsidP="006543BA">
      <w:pPr>
        <w:spacing w:after="0" w:line="20" w:lineRule="atLeast"/>
        <w:jc w:val="both"/>
        <w:rPr>
          <w:rFonts w:cstheme="minorHAnsi"/>
        </w:rPr>
      </w:pPr>
      <w:r w:rsidRPr="006B0B81">
        <w:rPr>
          <w:rFonts w:cstheme="minorHAnsi"/>
        </w:rPr>
        <w:t xml:space="preserve">• progetti o applicazioni informatiche inerenti esclusivamente l’attività di marketing, comunicazione, di formazione, di educazione, di sensibilizzazione, di divulgazione a imprese, consumatori, cittadini o studenti; • progetti inerenti osservatori, studi, ricerche, indagini sui dati riguardanti lo spreco alimentare, le eccedenze o i recuperi. </w:t>
      </w:r>
    </w:p>
    <w:p w:rsidR="00BD79A8" w:rsidRDefault="006543BA" w:rsidP="006543BA">
      <w:pPr>
        <w:spacing w:after="0" w:line="20" w:lineRule="atLeast"/>
        <w:jc w:val="both"/>
        <w:rPr>
          <w:rFonts w:cstheme="minorHAnsi"/>
        </w:rPr>
      </w:pPr>
      <w:r w:rsidRPr="006B0B81">
        <w:rPr>
          <w:rFonts w:cstheme="minorHAnsi"/>
        </w:rPr>
        <w:t>Nella valutazione si terrà conto che i progetti devono:</w:t>
      </w:r>
    </w:p>
    <w:p w:rsidR="00BD79A8" w:rsidRDefault="006543BA" w:rsidP="006543BA">
      <w:pPr>
        <w:spacing w:after="0" w:line="20" w:lineRule="atLeast"/>
        <w:jc w:val="both"/>
        <w:rPr>
          <w:rFonts w:cstheme="minorHAnsi"/>
        </w:rPr>
      </w:pPr>
      <w:r w:rsidRPr="006B0B81">
        <w:rPr>
          <w:rFonts w:cstheme="minorHAnsi"/>
        </w:rPr>
        <w:t xml:space="preserve"> a) essere innovativi, per quanto concerne l’oggetto, il processo produttivo, la tecnologia utilizzata o altri aspetti connessi alle finalità di cui all’art. 1; </w:t>
      </w:r>
    </w:p>
    <w:p w:rsidR="00BD79A8" w:rsidRDefault="006543BA" w:rsidP="006543BA">
      <w:pPr>
        <w:spacing w:after="0" w:line="20" w:lineRule="atLeast"/>
        <w:jc w:val="both"/>
        <w:rPr>
          <w:rFonts w:cstheme="minorHAnsi"/>
        </w:rPr>
      </w:pPr>
      <w:r w:rsidRPr="006B0B81">
        <w:rPr>
          <w:rFonts w:cstheme="minorHAnsi"/>
        </w:rPr>
        <w:t xml:space="preserve">b) essere concretamente applicabili; </w:t>
      </w:r>
    </w:p>
    <w:p w:rsidR="00BD79A8" w:rsidRDefault="006543BA" w:rsidP="006543BA">
      <w:pPr>
        <w:spacing w:after="0" w:line="20" w:lineRule="atLeast"/>
        <w:jc w:val="both"/>
        <w:rPr>
          <w:rFonts w:cstheme="minorHAnsi"/>
        </w:rPr>
      </w:pPr>
      <w:r w:rsidRPr="006B0B81">
        <w:rPr>
          <w:rFonts w:cstheme="minorHAnsi"/>
        </w:rPr>
        <w:t xml:space="preserve">c) interessare una o più classi di prodotti; </w:t>
      </w:r>
    </w:p>
    <w:p w:rsidR="00BD79A8" w:rsidRDefault="006543BA" w:rsidP="006543BA">
      <w:pPr>
        <w:spacing w:after="0" w:line="20" w:lineRule="atLeast"/>
        <w:jc w:val="both"/>
        <w:rPr>
          <w:rFonts w:cstheme="minorHAnsi"/>
        </w:rPr>
      </w:pPr>
      <w:r w:rsidRPr="006B0B81">
        <w:rPr>
          <w:rFonts w:cstheme="minorHAnsi"/>
        </w:rPr>
        <w:t xml:space="preserve">d) avere una o più categorie di soggetti come destinatari finali. Si intendono per categorie singole tipologie di destinatari, valutate anche in base alle dimensioni numeriche stimate e alle dimensioni territoriali; </w:t>
      </w:r>
    </w:p>
    <w:p w:rsidR="00BD79A8" w:rsidRDefault="006543BA" w:rsidP="006543BA">
      <w:pPr>
        <w:spacing w:after="0" w:line="20" w:lineRule="atLeast"/>
        <w:jc w:val="both"/>
        <w:rPr>
          <w:rFonts w:cstheme="minorHAnsi"/>
        </w:rPr>
      </w:pPr>
      <w:r w:rsidRPr="006B0B81">
        <w:rPr>
          <w:rFonts w:cstheme="minorHAnsi"/>
        </w:rPr>
        <w:t xml:space="preserve">e) essere progetti integrati o di rete; </w:t>
      </w:r>
    </w:p>
    <w:p w:rsidR="00BD79A8" w:rsidRDefault="006543BA" w:rsidP="006543BA">
      <w:pPr>
        <w:spacing w:after="0" w:line="20" w:lineRule="atLeast"/>
        <w:jc w:val="both"/>
        <w:rPr>
          <w:rFonts w:cstheme="minorHAnsi"/>
        </w:rPr>
      </w:pPr>
      <w:r w:rsidRPr="006B0B81">
        <w:rPr>
          <w:rFonts w:cstheme="minorHAnsi"/>
        </w:rPr>
        <w:t xml:space="preserve">f) prevedere una quota di cofinanziamento a carico del proponente. Ai fini della valutazione, il cofinanziamento è da intendersi come compartecipazione, esclusivamente finanziaria, finalizzata alla realizzazione del progetto, calcolato come percentuale della quota richiesta nella domanda per la realizzazione del medesimo; </w:t>
      </w:r>
    </w:p>
    <w:p w:rsidR="00BD79A8" w:rsidRDefault="006543BA" w:rsidP="006543BA">
      <w:pPr>
        <w:spacing w:after="0" w:line="20" w:lineRule="atLeast"/>
        <w:jc w:val="both"/>
        <w:rPr>
          <w:rFonts w:cstheme="minorHAnsi"/>
        </w:rPr>
      </w:pPr>
      <w:r w:rsidRPr="006B0B81">
        <w:rPr>
          <w:rFonts w:cstheme="minorHAnsi"/>
        </w:rPr>
        <w:t xml:space="preserve">g) dimostrare esperienza nel settore di pertinenza del progetto, da parte di almeno uno proponenti del progetto stesso. L’esperienza è valutata sulla base del numero di progetti complessivamente realizzati dal proponente, o dai suoi componenti, nell’ultimo quinquennio; </w:t>
      </w:r>
    </w:p>
    <w:p w:rsidR="00BD79A8" w:rsidRDefault="006543BA" w:rsidP="006543BA">
      <w:pPr>
        <w:spacing w:after="0" w:line="20" w:lineRule="atLeast"/>
        <w:jc w:val="both"/>
        <w:rPr>
          <w:rFonts w:cstheme="minorHAnsi"/>
        </w:rPr>
      </w:pPr>
      <w:r w:rsidRPr="006B0B81">
        <w:rPr>
          <w:rFonts w:cstheme="minorHAnsi"/>
        </w:rPr>
        <w:t xml:space="preserve">h) esplicitare l’ambito territoriale dell’intervento: locale, provinciale o regionale; </w:t>
      </w:r>
    </w:p>
    <w:p w:rsidR="00BD79A8" w:rsidRDefault="006543BA" w:rsidP="006543BA">
      <w:pPr>
        <w:spacing w:after="0" w:line="20" w:lineRule="atLeast"/>
        <w:jc w:val="both"/>
        <w:rPr>
          <w:rFonts w:cstheme="minorHAnsi"/>
        </w:rPr>
      </w:pPr>
      <w:r w:rsidRPr="006B0B81">
        <w:rPr>
          <w:rFonts w:cstheme="minorHAnsi"/>
        </w:rPr>
        <w:t>i) essere tesi al miglioramento del recupero delle eccedenze alimentari ai fini dell’alimentazione umana e alla valorizzazione delle risorse alimentari;</w:t>
      </w:r>
    </w:p>
    <w:p w:rsidR="00BD79A8" w:rsidRDefault="006543BA" w:rsidP="006543BA">
      <w:pPr>
        <w:spacing w:after="0" w:line="20" w:lineRule="atLeast"/>
        <w:jc w:val="both"/>
        <w:rPr>
          <w:rFonts w:cstheme="minorHAnsi"/>
        </w:rPr>
      </w:pPr>
      <w:r w:rsidRPr="006B0B81">
        <w:rPr>
          <w:rFonts w:cstheme="minorHAnsi"/>
        </w:rPr>
        <w:t xml:space="preserve">j) prevedere forme di comunicazione del progetto. </w:t>
      </w:r>
    </w:p>
    <w:p w:rsidR="00BD79A8" w:rsidRDefault="006543BA" w:rsidP="006543BA">
      <w:pPr>
        <w:spacing w:after="0" w:line="20" w:lineRule="atLeast"/>
        <w:jc w:val="both"/>
        <w:rPr>
          <w:rFonts w:cstheme="minorHAnsi"/>
        </w:rPr>
      </w:pPr>
      <w:r w:rsidRPr="006B0B81">
        <w:rPr>
          <w:rFonts w:cstheme="minorHAnsi"/>
        </w:rPr>
        <w:t>5. TIPOLOGIA DI PROCEDURA PER L'ASSEGNAZIONE DELLE RISORSE</w:t>
      </w:r>
    </w:p>
    <w:p w:rsidR="00BD79A8" w:rsidRDefault="006543BA" w:rsidP="006543BA">
      <w:pPr>
        <w:spacing w:after="0" w:line="20" w:lineRule="atLeast"/>
        <w:jc w:val="both"/>
        <w:rPr>
          <w:rFonts w:cstheme="minorHAnsi"/>
        </w:rPr>
      </w:pPr>
      <w:r w:rsidRPr="006B0B81">
        <w:rPr>
          <w:rFonts w:cstheme="minorHAnsi"/>
        </w:rPr>
        <w:t xml:space="preserve"> Il contributo è concesso mediante una procedura valutativa (di cui all’art. 5, comma 2 del D.Lgs. n. 123/1998) secondo l’ordine cronologico di presentazione delle domande, fino ad esaurimento della dotazione finanziaria. Il bando prevede, oltre al superamento dell’istruttoria formale, una valutazione dei requisiti di ammissibilità tecnica del progetto effettuata da un apposito comitato di valutazione istituito da Regione Lombardia, composto da cinque rappresentanti di cui due della Consulta regionale e tre di Regione Lombardia, da nominarsi con successivo provvedimento. </w:t>
      </w:r>
    </w:p>
    <w:p w:rsidR="00465946" w:rsidRDefault="006543BA" w:rsidP="006543BA">
      <w:pPr>
        <w:spacing w:after="0" w:line="20" w:lineRule="atLeast"/>
        <w:jc w:val="both"/>
        <w:rPr>
          <w:rFonts w:cstheme="minorHAnsi"/>
        </w:rPr>
      </w:pPr>
      <w:r w:rsidRPr="006B0B81">
        <w:rPr>
          <w:rFonts w:cstheme="minorHAnsi"/>
        </w:rPr>
        <w:t xml:space="preserve">La valutazione delle domande e dei progetti presentati, da parte del comitato, è effettuata sulla base dei seguenti criteri: </w:t>
      </w:r>
    </w:p>
    <w:p w:rsidR="00465946" w:rsidRDefault="006543BA" w:rsidP="006543BA">
      <w:pPr>
        <w:spacing w:after="0" w:line="20" w:lineRule="atLeast"/>
        <w:jc w:val="both"/>
        <w:rPr>
          <w:rFonts w:cstheme="minorHAnsi"/>
        </w:rPr>
      </w:pPr>
      <w:r w:rsidRPr="006B0B81">
        <w:rPr>
          <w:rFonts w:cstheme="minorHAnsi"/>
        </w:rPr>
        <w:t xml:space="preserve">CRITERI PUNTEGGIO MASSIMO ATTRIBUIBILE ARTICOLAZIONE DEL PUNTEGGIO </w:t>
      </w:r>
    </w:p>
    <w:p w:rsidR="00465946" w:rsidRDefault="006543BA" w:rsidP="006543BA">
      <w:pPr>
        <w:spacing w:after="0" w:line="20" w:lineRule="atLeast"/>
        <w:jc w:val="both"/>
        <w:rPr>
          <w:rFonts w:cstheme="minorHAnsi"/>
        </w:rPr>
      </w:pPr>
      <w:r w:rsidRPr="006B0B81">
        <w:rPr>
          <w:rFonts w:cstheme="minorHAnsi"/>
        </w:rPr>
        <w:t>A. Innovazione (art. 4, c. 4, lett. a) 15 Molto alta: 20 punti Alta: 15 punti Media: 10 punti Bassa: 5 punti Irrilevante: 0 punti</w:t>
      </w:r>
    </w:p>
    <w:p w:rsidR="00465946" w:rsidRDefault="006543BA" w:rsidP="006543BA">
      <w:pPr>
        <w:spacing w:after="0" w:line="20" w:lineRule="atLeast"/>
        <w:jc w:val="both"/>
        <w:rPr>
          <w:rFonts w:cstheme="minorHAnsi"/>
        </w:rPr>
      </w:pPr>
      <w:r w:rsidRPr="006B0B81">
        <w:rPr>
          <w:rFonts w:cstheme="minorHAnsi"/>
        </w:rPr>
        <w:t xml:space="preserve">B. Concreta applicabilità del progetto (art. 4, c. 4, lett. b) 15 Alta: 15 punti Media: 10 punti Bassa: 5 punti Irrilevante: 0 punti </w:t>
      </w:r>
    </w:p>
    <w:p w:rsidR="00465946" w:rsidRDefault="006543BA" w:rsidP="006543BA">
      <w:pPr>
        <w:spacing w:after="0" w:line="20" w:lineRule="atLeast"/>
        <w:jc w:val="both"/>
        <w:rPr>
          <w:rFonts w:cstheme="minorHAnsi"/>
        </w:rPr>
      </w:pPr>
      <w:r w:rsidRPr="006B0B81">
        <w:rPr>
          <w:rFonts w:cstheme="minorHAnsi"/>
        </w:rPr>
        <w:t xml:space="preserve">C. Presenza di indicatori e risultati misurabili 10 Pertinenza degli indicatori sul progetto e le finalità Alta 10 Media 5 Bassa 2 Nulla 0 </w:t>
      </w:r>
    </w:p>
    <w:p w:rsidR="00465946" w:rsidRDefault="006543BA" w:rsidP="006543BA">
      <w:pPr>
        <w:spacing w:after="0" w:line="20" w:lineRule="atLeast"/>
        <w:jc w:val="both"/>
        <w:rPr>
          <w:rFonts w:cstheme="minorHAnsi"/>
        </w:rPr>
      </w:pPr>
      <w:r w:rsidRPr="006B0B81">
        <w:rPr>
          <w:rFonts w:cstheme="minorHAnsi"/>
        </w:rPr>
        <w:t xml:space="preserve">D. Portata (sottoclassi di prodotti coinvolti) (art. 4, c. 4, lett. c) 10 ≥ 6 sottoclassi: 15 punti 4-5 sottoclassi: 10 punti 2-3 sottoclassi: 5 punti 1 sottoclasse: 0 punti </w:t>
      </w:r>
    </w:p>
    <w:p w:rsidR="00465946" w:rsidRDefault="006543BA" w:rsidP="006543BA">
      <w:pPr>
        <w:spacing w:after="0" w:line="20" w:lineRule="atLeast"/>
        <w:jc w:val="both"/>
        <w:rPr>
          <w:rFonts w:cstheme="minorHAnsi"/>
        </w:rPr>
      </w:pPr>
      <w:r w:rsidRPr="006B0B81">
        <w:rPr>
          <w:rFonts w:cstheme="minorHAnsi"/>
        </w:rPr>
        <w:t xml:space="preserve">E. Dimensione di soggetti interessati alla ricaduta dell’iniziativa (art. 4, c. 4, lett. d) 15 Alto: 15 punti Medio: 10 punti Basso: 5 punti Irrilevante: 0 punti </w:t>
      </w:r>
    </w:p>
    <w:p w:rsidR="00465946" w:rsidRDefault="006543BA" w:rsidP="006543BA">
      <w:pPr>
        <w:spacing w:after="0" w:line="20" w:lineRule="atLeast"/>
        <w:jc w:val="both"/>
        <w:rPr>
          <w:rFonts w:cstheme="minorHAnsi"/>
        </w:rPr>
      </w:pPr>
      <w:r w:rsidRPr="006B0B81">
        <w:rPr>
          <w:rFonts w:cstheme="minorHAnsi"/>
        </w:rPr>
        <w:t xml:space="preserve">F. Progetto integrato o di rete (art. 4, c. 4, lett. e) 5 Progetto integrato o di rete: 5 punti </w:t>
      </w:r>
    </w:p>
    <w:p w:rsidR="00465946" w:rsidRDefault="006543BA" w:rsidP="006543BA">
      <w:pPr>
        <w:spacing w:after="0" w:line="20" w:lineRule="atLeast"/>
        <w:jc w:val="both"/>
        <w:rPr>
          <w:rFonts w:cstheme="minorHAnsi"/>
        </w:rPr>
      </w:pPr>
      <w:r w:rsidRPr="006B0B81">
        <w:rPr>
          <w:rFonts w:cstheme="minorHAnsi"/>
        </w:rPr>
        <w:t xml:space="preserve">G. Cofinanziamento del progetto (art. 4, c. 4, lett. f) 10 ≥ 75%: 10 punti 40%-74.9%: </w:t>
      </w:r>
    </w:p>
    <w:p w:rsidR="005965AA" w:rsidRDefault="006543BA" w:rsidP="006543BA">
      <w:pPr>
        <w:spacing w:after="0" w:line="20" w:lineRule="atLeast"/>
        <w:jc w:val="both"/>
        <w:rPr>
          <w:rFonts w:cstheme="minorHAnsi"/>
        </w:rPr>
      </w:pPr>
      <w:r w:rsidRPr="006B0B81">
        <w:rPr>
          <w:rFonts w:cstheme="minorHAnsi"/>
        </w:rPr>
        <w:lastRenderedPageBreak/>
        <w:t xml:space="preserve">7 punti 5%-39.9%: 4 punti 0%-4.9%: 0 punti H. Livello di esperienza (art. 4, c. 4, lett. g) 5 2-3 progetti realizzati: 5 punti 1 progetto realizzato: 2 punti 0 progetti realizzati: 0 punti I. Ambito territoriale (art. 4, c. 4, lett. h) 5 Regionale: 5 punti Provinciale: 4 punti Locale: 3 punti Irrilevante: 0 punti Recupero eccedenze alimentari (art. 4, c. 4, lett. i) 5 Recupero eccedenze ai fini dell’alimentazione umana: 5 punti J. Forme di pubblicità del progetto (art. 4, c. 4, lett. j) 5 Alto: 5 punti Medio: 3 punti Basso: 1 punti Irrilevante: 0 punti TOTALE 100 </w:t>
      </w:r>
    </w:p>
    <w:p w:rsidR="005965AA" w:rsidRDefault="006543BA" w:rsidP="006543BA">
      <w:pPr>
        <w:spacing w:after="0" w:line="20" w:lineRule="atLeast"/>
        <w:jc w:val="both"/>
        <w:rPr>
          <w:rFonts w:cstheme="minorHAnsi"/>
        </w:rPr>
      </w:pPr>
      <w:r w:rsidRPr="006B0B81">
        <w:rPr>
          <w:rFonts w:cstheme="minorHAnsi"/>
        </w:rPr>
        <w:t xml:space="preserve">6. PROGETTI FINANZIABILI E SPESE AMMISSIBILI </w:t>
      </w:r>
    </w:p>
    <w:p w:rsidR="005965AA" w:rsidRDefault="006543BA" w:rsidP="006543BA">
      <w:pPr>
        <w:spacing w:after="0" w:line="20" w:lineRule="atLeast"/>
        <w:jc w:val="both"/>
        <w:rPr>
          <w:rFonts w:cstheme="minorHAnsi"/>
        </w:rPr>
      </w:pPr>
      <w:r w:rsidRPr="006B0B81">
        <w:rPr>
          <w:rFonts w:cstheme="minorHAnsi"/>
        </w:rPr>
        <w:t xml:space="preserve">Sono ammissibili a finanziamento le spese coerenti e direttamente funzionali alla realizzazione del progetto. Le spese di personale sono ammissibili per il solo personale assunto mediante una delle forme anche flessibili, previste dall’ordinamento, avente espressamente ad oggetto la realizzazione delle attività previste dal progetto e di durata non superiore al termine di conclusione del progetto. </w:t>
      </w:r>
    </w:p>
    <w:p w:rsidR="005965AA" w:rsidRDefault="006543BA" w:rsidP="006543BA">
      <w:pPr>
        <w:spacing w:after="0" w:line="20" w:lineRule="atLeast"/>
        <w:jc w:val="both"/>
        <w:rPr>
          <w:rFonts w:cstheme="minorHAnsi"/>
        </w:rPr>
      </w:pPr>
      <w:r w:rsidRPr="006B0B81">
        <w:rPr>
          <w:rFonts w:cstheme="minorHAnsi"/>
        </w:rPr>
        <w:t xml:space="preserve">E’ cura del proponente presentare nella proposta di progetto l’articolazione delle spese da sostenere, evidenziando, per ciascuna voce, la coerenza e la corretta funzionalità delle medesime. Il finanziamento copre il 100% delle spese ritenute ammissibili ed effettivamente sostenute, nel limite massimo di € 30.000,00 (al netto di IVA e di altre imposte). </w:t>
      </w:r>
    </w:p>
    <w:p w:rsidR="005965AA" w:rsidRDefault="006543BA" w:rsidP="006543BA">
      <w:pPr>
        <w:spacing w:after="0" w:line="20" w:lineRule="atLeast"/>
        <w:jc w:val="both"/>
        <w:rPr>
          <w:rFonts w:cstheme="minorHAnsi"/>
        </w:rPr>
      </w:pPr>
      <w:r w:rsidRPr="006B0B81">
        <w:rPr>
          <w:rFonts w:cstheme="minorHAnsi"/>
        </w:rPr>
        <w:t xml:space="preserve">Tutti i pagamenti effettuati dal proponente relativi alle spese ammesse a finanziamento devono avvenire tramite bonifico bancario/postale ovvero mediante strumenti di pagamento idonei a consentire la piena tracciabilità delle operazioni, ai sensi di legge. </w:t>
      </w:r>
    </w:p>
    <w:p w:rsidR="005965AA" w:rsidRDefault="006543BA" w:rsidP="006543BA">
      <w:pPr>
        <w:spacing w:after="0" w:line="20" w:lineRule="atLeast"/>
        <w:jc w:val="both"/>
        <w:rPr>
          <w:rFonts w:cstheme="minorHAnsi"/>
        </w:rPr>
      </w:pPr>
      <w:r w:rsidRPr="006B0B81">
        <w:rPr>
          <w:rFonts w:cstheme="minorHAnsi"/>
        </w:rPr>
        <w:t xml:space="preserve">L’imposta sul valore aggiunto (IVA) è ammissibile a finanziamento solo nel caso in cui non sia altrimenti recuperabile, a norma della legislazione nazionale sull’IVA, da parte del soggetto proponente. </w:t>
      </w:r>
    </w:p>
    <w:p w:rsidR="005965AA" w:rsidRDefault="006543BA" w:rsidP="006543BA">
      <w:pPr>
        <w:spacing w:after="0" w:line="20" w:lineRule="atLeast"/>
        <w:jc w:val="both"/>
        <w:rPr>
          <w:rFonts w:cstheme="minorHAnsi"/>
        </w:rPr>
      </w:pPr>
      <w:r w:rsidRPr="006B0B81">
        <w:rPr>
          <w:rFonts w:cstheme="minorHAnsi"/>
        </w:rPr>
        <w:t xml:space="preserve">E’ cura del soggetto proponente giustificare le voci di spesa, per le quali non sia possibile recuperare l’IVA. </w:t>
      </w:r>
    </w:p>
    <w:p w:rsidR="005965AA" w:rsidRDefault="006543BA" w:rsidP="006543BA">
      <w:pPr>
        <w:spacing w:after="0" w:line="20" w:lineRule="atLeast"/>
        <w:jc w:val="both"/>
        <w:rPr>
          <w:rFonts w:cstheme="minorHAnsi"/>
        </w:rPr>
      </w:pPr>
      <w:r w:rsidRPr="006B0B81">
        <w:rPr>
          <w:rFonts w:cstheme="minorHAnsi"/>
        </w:rPr>
        <w:t xml:space="preserve">7. IMPORTO DEL CONTRIBUTO REGIONALE PER IL FINANZIAMENTO DEI PROGETTI </w:t>
      </w:r>
    </w:p>
    <w:p w:rsidR="005965AA" w:rsidRDefault="006543BA" w:rsidP="006543BA">
      <w:pPr>
        <w:spacing w:after="0" w:line="20" w:lineRule="atLeast"/>
        <w:jc w:val="both"/>
        <w:rPr>
          <w:rFonts w:cstheme="minorHAnsi"/>
        </w:rPr>
      </w:pPr>
      <w:r w:rsidRPr="006B0B81">
        <w:rPr>
          <w:rFonts w:cstheme="minorHAnsi"/>
        </w:rPr>
        <w:t xml:space="preserve">Per ogni domanda la spesa minima ammissibile a contributo è pari a € 10.000,00 (IVA inclusa), mentre la spesa massima ammissibile è pari a € 30.000,00 (IVA inclusa) che verrà erogata in un’unica tranche a seguito della presentazione della rendicontazione finale. L’imposta sul valore aggiunto (IVA) è ammissibile a finanziamento ai sensi dell’art. 5. </w:t>
      </w:r>
    </w:p>
    <w:p w:rsidR="005965AA" w:rsidRDefault="006543BA" w:rsidP="006543BA">
      <w:pPr>
        <w:spacing w:after="0" w:line="20" w:lineRule="atLeast"/>
        <w:jc w:val="both"/>
        <w:rPr>
          <w:rFonts w:cstheme="minorHAnsi"/>
        </w:rPr>
      </w:pPr>
      <w:r w:rsidRPr="006B0B81">
        <w:rPr>
          <w:rFonts w:cstheme="minorHAnsi"/>
        </w:rPr>
        <w:t xml:space="preserve">8. ISPEZIONI E CONTROLLI </w:t>
      </w:r>
    </w:p>
    <w:p w:rsidR="006543BA" w:rsidRDefault="006543BA" w:rsidP="006543BA">
      <w:pPr>
        <w:spacing w:after="0" w:line="20" w:lineRule="atLeast"/>
        <w:jc w:val="both"/>
        <w:rPr>
          <w:rFonts w:cstheme="minorHAnsi"/>
        </w:rPr>
      </w:pPr>
      <w:r w:rsidRPr="006B0B81">
        <w:rPr>
          <w:rFonts w:cstheme="minorHAnsi"/>
        </w:rPr>
        <w:t>Regione Lombardia, anche tramite propri enti o delegati, può disporre in qualsiasi momento di ispezioni e sopralluoghi, anche a campione, sui programmi e le spese oggetto di intervento, allo scopo di verificare lo stato di attuazione, il rispetto degli obblighi previsti dal provvedimento di concessione e la veridicit</w:t>
      </w:r>
      <w:r w:rsidR="000D05F1">
        <w:rPr>
          <w:rFonts w:cstheme="minorHAnsi"/>
        </w:rPr>
        <w:t>à</w:t>
      </w:r>
      <w:r w:rsidRPr="006B0B81">
        <w:rPr>
          <w:rFonts w:cstheme="minorHAnsi"/>
        </w:rPr>
        <w:t xml:space="preserve"> delle dichiarazioni e informazioni prodotte dall'impresa beneficiaria, nonch</w:t>
      </w:r>
      <w:r w:rsidR="000D05F1">
        <w:rPr>
          <w:rFonts w:cstheme="minorHAnsi"/>
        </w:rPr>
        <w:t>é</w:t>
      </w:r>
      <w:r w:rsidRPr="006B0B81">
        <w:rPr>
          <w:rFonts w:cstheme="minorHAnsi"/>
        </w:rPr>
        <w:t xml:space="preserve"> l'attivit</w:t>
      </w:r>
      <w:r w:rsidR="000D05F1">
        <w:rPr>
          <w:rFonts w:cstheme="minorHAnsi"/>
        </w:rPr>
        <w:t>à</w:t>
      </w:r>
      <w:r w:rsidRPr="006B0B81">
        <w:rPr>
          <w:rFonts w:cstheme="minorHAnsi"/>
        </w:rPr>
        <w:t xml:space="preserve"> degli eventuali soggetti esterni coinvolti nel procedimento e la regolarit</w:t>
      </w:r>
      <w:r w:rsidR="000D05F1">
        <w:rPr>
          <w:rFonts w:cstheme="minorHAnsi"/>
        </w:rPr>
        <w:t>à</w:t>
      </w:r>
      <w:r w:rsidRPr="006B0B81">
        <w:rPr>
          <w:rFonts w:cstheme="minorHAnsi"/>
        </w:rPr>
        <w:t xml:space="preserve">' di quest'ultimo. </w:t>
      </w:r>
    </w:p>
    <w:p w:rsidR="00165FFA" w:rsidRDefault="00165FFA" w:rsidP="006543BA">
      <w:pPr>
        <w:spacing w:after="0" w:line="20" w:lineRule="atLeast"/>
        <w:jc w:val="both"/>
        <w:rPr>
          <w:rFonts w:cstheme="minorHAnsi"/>
        </w:rPr>
      </w:pPr>
    </w:p>
    <w:p w:rsidR="00165FFA" w:rsidRPr="00165FFA" w:rsidRDefault="00165FFA" w:rsidP="00165FFA">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165FFA">
        <w:rPr>
          <w:rFonts w:cstheme="minorHAnsi"/>
          <w:b/>
        </w:rPr>
        <w:t>SANITÀ</w:t>
      </w:r>
    </w:p>
    <w:p w:rsidR="006543BA" w:rsidRDefault="006543BA" w:rsidP="00186CFB">
      <w:pPr>
        <w:pStyle w:val="Default"/>
        <w:spacing w:line="20" w:lineRule="atLeast"/>
        <w:jc w:val="both"/>
        <w:rPr>
          <w:rFonts w:asciiTheme="minorHAnsi" w:hAnsiTheme="minorHAnsi" w:cstheme="minorHAnsi"/>
          <w:sz w:val="22"/>
          <w:szCs w:val="22"/>
        </w:rPr>
      </w:pPr>
    </w:p>
    <w:p w:rsidR="00165FFA" w:rsidRDefault="006543BA" w:rsidP="006543BA">
      <w:pPr>
        <w:spacing w:after="0" w:line="20" w:lineRule="atLeast"/>
        <w:jc w:val="both"/>
        <w:rPr>
          <w:rFonts w:cstheme="minorHAnsi"/>
        </w:rPr>
      </w:pPr>
      <w:r w:rsidRPr="00165FFA">
        <w:rPr>
          <w:rFonts w:cstheme="minorHAnsi"/>
          <w:b/>
        </w:rPr>
        <w:t>D</w:t>
      </w:r>
      <w:r w:rsidR="00165FFA" w:rsidRPr="00165FFA">
        <w:rPr>
          <w:rFonts w:cstheme="minorHAnsi"/>
          <w:b/>
        </w:rPr>
        <w:t xml:space="preserve">GR </w:t>
      </w:r>
      <w:r w:rsidRPr="00165FFA">
        <w:rPr>
          <w:rFonts w:cstheme="minorHAnsi"/>
          <w:b/>
        </w:rPr>
        <w:t xml:space="preserve"> 31 luglio </w:t>
      </w:r>
      <w:proofErr w:type="gramStart"/>
      <w:r w:rsidRPr="00165FFA">
        <w:rPr>
          <w:rFonts w:cstheme="minorHAnsi"/>
          <w:b/>
        </w:rPr>
        <w:t>2019</w:t>
      </w:r>
      <w:r w:rsidR="00165FFA" w:rsidRPr="00165FFA">
        <w:rPr>
          <w:rFonts w:cstheme="minorHAnsi"/>
          <w:b/>
        </w:rPr>
        <w:t xml:space="preserve">, </w:t>
      </w:r>
      <w:r w:rsidRPr="00165FFA">
        <w:rPr>
          <w:rFonts w:cstheme="minorHAnsi"/>
          <w:b/>
        </w:rPr>
        <w:t xml:space="preserve"> n.</w:t>
      </w:r>
      <w:proofErr w:type="gramEnd"/>
      <w:r w:rsidRPr="00165FFA">
        <w:rPr>
          <w:rFonts w:cstheme="minorHAnsi"/>
          <w:b/>
        </w:rPr>
        <w:t xml:space="preserve"> XI/2013</w:t>
      </w:r>
      <w:r w:rsidR="00165FFA">
        <w:rPr>
          <w:rFonts w:cstheme="minorHAnsi"/>
        </w:rPr>
        <w:t xml:space="preserve">, </w:t>
      </w:r>
      <w:r w:rsidRPr="006B0B81">
        <w:rPr>
          <w:rFonts w:cstheme="minorHAnsi"/>
        </w:rPr>
        <w:t xml:space="preserve"> Ulteriori indicazioni In merito alle attività di cui all’articolo 8-quinquies del decreto legislativo 30 dicembre 1992, n. 502 nei termini disposti dal d.l. 95/2012 (art 15, comma 14) e dalla legge 208/2015 (art. 1, commi 574-577)</w:t>
      </w:r>
      <w:r w:rsidR="00165FFA">
        <w:rPr>
          <w:rFonts w:cstheme="minorHAnsi"/>
        </w:rPr>
        <w:t>.(BUR n. 32 del 7.8.19)</w:t>
      </w:r>
    </w:p>
    <w:p w:rsidR="00165FFA" w:rsidRPr="00165FFA" w:rsidRDefault="00165FFA" w:rsidP="006543BA">
      <w:pPr>
        <w:spacing w:after="0" w:line="20" w:lineRule="atLeast"/>
        <w:jc w:val="both"/>
        <w:rPr>
          <w:rFonts w:cstheme="minorHAnsi"/>
          <w:b/>
        </w:rPr>
      </w:pPr>
      <w:r w:rsidRPr="00165FFA">
        <w:rPr>
          <w:rFonts w:cstheme="minorHAnsi"/>
          <w:b/>
        </w:rPr>
        <w:t>Note</w:t>
      </w:r>
    </w:p>
    <w:p w:rsidR="00165FFA" w:rsidRDefault="00165FFA" w:rsidP="006543BA">
      <w:pPr>
        <w:spacing w:after="0" w:line="20" w:lineRule="atLeast"/>
        <w:jc w:val="both"/>
        <w:rPr>
          <w:rFonts w:cstheme="minorHAnsi"/>
        </w:rPr>
      </w:pPr>
      <w:proofErr w:type="gramStart"/>
      <w:r>
        <w:rPr>
          <w:rFonts w:cstheme="minorHAnsi"/>
        </w:rPr>
        <w:t xml:space="preserve">Vengono </w:t>
      </w:r>
      <w:r w:rsidR="006543BA" w:rsidRPr="006B0B81">
        <w:rPr>
          <w:rFonts w:cstheme="minorHAnsi"/>
        </w:rPr>
        <w:t xml:space="preserve"> recepi</w:t>
      </w:r>
      <w:r>
        <w:rPr>
          <w:rFonts w:cstheme="minorHAnsi"/>
        </w:rPr>
        <w:t>ti</w:t>
      </w:r>
      <w:proofErr w:type="gramEnd"/>
      <w:r>
        <w:rPr>
          <w:rFonts w:cstheme="minorHAnsi"/>
        </w:rPr>
        <w:t xml:space="preserve"> </w:t>
      </w:r>
      <w:r w:rsidR="006543BA" w:rsidRPr="006B0B81">
        <w:rPr>
          <w:rFonts w:cstheme="minorHAnsi"/>
        </w:rPr>
        <w:t xml:space="preserve"> i rilievi e le richieste dei Ministeri competenti della Salute e dell’Economia e delle Finanze relativi alla necessità di avere tetti di spesa, per le attività di specialistica ambulatoriale e per le attività di ricovero, che prescindano dalla provenienza del paziente, anche per le attività di alta complessità e per quelle erogate dagli IRCCS nei termini previsti dal comma 574 della legge 208/2015, per le quali oggi in regione Lombardia non sono previsti</w:t>
      </w:r>
      <w:r>
        <w:rPr>
          <w:rFonts w:cstheme="minorHAnsi"/>
        </w:rPr>
        <w:t>.</w:t>
      </w:r>
    </w:p>
    <w:p w:rsidR="006543BA" w:rsidRPr="006B0B81" w:rsidRDefault="00165FFA" w:rsidP="006543BA">
      <w:pPr>
        <w:spacing w:after="0" w:line="20" w:lineRule="atLeast"/>
        <w:jc w:val="both"/>
        <w:rPr>
          <w:rFonts w:cstheme="minorHAnsi"/>
        </w:rPr>
      </w:pPr>
      <w:r>
        <w:rPr>
          <w:rFonts w:cstheme="minorHAnsi"/>
        </w:rPr>
        <w:t xml:space="preserve">La </w:t>
      </w:r>
      <w:r w:rsidR="006543BA" w:rsidRPr="006B0B81">
        <w:rPr>
          <w:rFonts w:cstheme="minorHAnsi"/>
        </w:rPr>
        <w:t xml:space="preserve">Regione Lombardia, nelle more della definizione degli accordi bilaterali fra le regioni per il governo della mobilità sanitaria interregionale, di cui all’articolo 19 del Patto per la salute sancito con intesa del 3 dicembre 2009, </w:t>
      </w:r>
      <w:proofErr w:type="gramStart"/>
      <w:r w:rsidR="006543BA" w:rsidRPr="006B0B81">
        <w:rPr>
          <w:rFonts w:cstheme="minorHAnsi"/>
        </w:rPr>
        <w:t>p</w:t>
      </w:r>
      <w:r>
        <w:rPr>
          <w:rFonts w:cstheme="minorHAnsi"/>
        </w:rPr>
        <w:t xml:space="preserve">uò </w:t>
      </w:r>
      <w:r w:rsidR="006543BA" w:rsidRPr="006B0B81">
        <w:rPr>
          <w:rFonts w:cstheme="minorHAnsi"/>
        </w:rPr>
        <w:t xml:space="preserve"> adeguare</w:t>
      </w:r>
      <w:proofErr w:type="gramEnd"/>
      <w:r w:rsidR="006543BA" w:rsidRPr="006B0B81">
        <w:rPr>
          <w:rFonts w:cstheme="minorHAnsi"/>
        </w:rPr>
        <w:t xml:space="preserve"> le proprie regole di sistema per il 2019 alle richieste di modifica avanzate dai Ministeri competenti anche senza modificare i singoli contratti già stipulati con i soggetti erogatori di diritto privato</w:t>
      </w:r>
      <w:r>
        <w:rPr>
          <w:rFonts w:cstheme="minorHAnsi"/>
        </w:rPr>
        <w:t xml:space="preserve"> sulla base di specifiche condizioni.</w:t>
      </w:r>
      <w:r w:rsidR="006543BA" w:rsidRPr="006B0B81">
        <w:rPr>
          <w:rFonts w:cstheme="minorHAnsi"/>
        </w:rPr>
        <w:t xml:space="preserve"> </w:t>
      </w:r>
    </w:p>
    <w:p w:rsidR="006543BA" w:rsidRPr="006B0B81" w:rsidRDefault="006543BA" w:rsidP="006543BA">
      <w:pPr>
        <w:spacing w:after="0" w:line="20" w:lineRule="atLeast"/>
        <w:jc w:val="both"/>
        <w:rPr>
          <w:rFonts w:cstheme="minorHAnsi"/>
        </w:rPr>
      </w:pPr>
    </w:p>
    <w:p w:rsidR="004F2972" w:rsidRDefault="006543BA" w:rsidP="004F2972">
      <w:pPr>
        <w:spacing w:after="0" w:line="20" w:lineRule="atLeast"/>
        <w:jc w:val="both"/>
        <w:rPr>
          <w:rFonts w:cstheme="minorHAnsi"/>
        </w:rPr>
      </w:pPr>
      <w:r w:rsidRPr="004F2972">
        <w:rPr>
          <w:rFonts w:cstheme="minorHAnsi"/>
          <w:b/>
        </w:rPr>
        <w:t>D</w:t>
      </w:r>
      <w:r w:rsidR="004F2972" w:rsidRPr="004F2972">
        <w:rPr>
          <w:rFonts w:cstheme="minorHAnsi"/>
          <w:b/>
        </w:rPr>
        <w:t xml:space="preserve">GR </w:t>
      </w:r>
      <w:r w:rsidRPr="004F2972">
        <w:rPr>
          <w:rFonts w:cstheme="minorHAnsi"/>
          <w:b/>
        </w:rPr>
        <w:t xml:space="preserve">31 luglio </w:t>
      </w:r>
      <w:proofErr w:type="gramStart"/>
      <w:r w:rsidRPr="004F2972">
        <w:rPr>
          <w:rFonts w:cstheme="minorHAnsi"/>
          <w:b/>
        </w:rPr>
        <w:t>2019</w:t>
      </w:r>
      <w:r w:rsidR="004F2972" w:rsidRPr="004F2972">
        <w:rPr>
          <w:rFonts w:cstheme="minorHAnsi"/>
          <w:b/>
        </w:rPr>
        <w:t xml:space="preserve">, </w:t>
      </w:r>
      <w:r w:rsidRPr="004F2972">
        <w:rPr>
          <w:rFonts w:cstheme="minorHAnsi"/>
          <w:b/>
        </w:rPr>
        <w:t xml:space="preserve"> n.</w:t>
      </w:r>
      <w:proofErr w:type="gramEnd"/>
      <w:r w:rsidRPr="004F2972">
        <w:rPr>
          <w:rFonts w:cstheme="minorHAnsi"/>
          <w:b/>
        </w:rPr>
        <w:t xml:space="preserve"> XI/2014</w:t>
      </w:r>
      <w:r w:rsidR="004F2972">
        <w:rPr>
          <w:rFonts w:cstheme="minorHAnsi"/>
        </w:rPr>
        <w:t xml:space="preserve">, </w:t>
      </w:r>
      <w:r w:rsidRPr="006B0B81">
        <w:rPr>
          <w:rFonts w:cstheme="minorHAnsi"/>
        </w:rPr>
        <w:t xml:space="preserve"> Criteri per la definizione delle attività e servizi da finanziare con l’istituto delle funzioni di cui all’articolo 8-sexies del d.lgs. 502/1992, a decorrere dall’esercizio 2019</w:t>
      </w:r>
      <w:r w:rsidR="004F2972">
        <w:rPr>
          <w:rFonts w:cstheme="minorHAnsi"/>
        </w:rPr>
        <w:t>. (BUR n. 32 del 7.8.19)</w:t>
      </w:r>
    </w:p>
    <w:p w:rsidR="004F2972" w:rsidRPr="004F2972" w:rsidRDefault="004F2972" w:rsidP="006543BA">
      <w:pPr>
        <w:spacing w:after="0" w:line="20" w:lineRule="atLeast"/>
        <w:jc w:val="both"/>
        <w:rPr>
          <w:rFonts w:cstheme="minorHAnsi"/>
          <w:b/>
        </w:rPr>
      </w:pPr>
      <w:r w:rsidRPr="004F2972">
        <w:rPr>
          <w:rFonts w:cstheme="minorHAnsi"/>
          <w:b/>
        </w:rPr>
        <w:lastRenderedPageBreak/>
        <w:t>Note</w:t>
      </w:r>
    </w:p>
    <w:p w:rsidR="00AE1A63" w:rsidRDefault="004F2972" w:rsidP="006543BA">
      <w:pPr>
        <w:spacing w:after="0" w:line="20" w:lineRule="atLeast"/>
        <w:jc w:val="both"/>
        <w:rPr>
          <w:rFonts w:cstheme="minorHAnsi"/>
        </w:rPr>
      </w:pPr>
      <w:proofErr w:type="gramStart"/>
      <w:r>
        <w:rPr>
          <w:rFonts w:cstheme="minorHAnsi"/>
        </w:rPr>
        <w:t xml:space="preserve">Viene </w:t>
      </w:r>
      <w:r w:rsidR="006543BA" w:rsidRPr="006B0B81">
        <w:rPr>
          <w:rFonts w:cstheme="minorHAnsi"/>
        </w:rPr>
        <w:t xml:space="preserve"> approva</w:t>
      </w:r>
      <w:r w:rsidR="00AE1A63">
        <w:rPr>
          <w:rFonts w:cstheme="minorHAnsi"/>
        </w:rPr>
        <w:t>to</w:t>
      </w:r>
      <w:proofErr w:type="gramEnd"/>
      <w:r w:rsidR="006543BA" w:rsidRPr="006B0B81">
        <w:rPr>
          <w:rFonts w:cstheme="minorHAnsi"/>
        </w:rPr>
        <w:t>, per l’esercizio 2019 entro il limite del valore complessivo di Euro 817,5 milioni per ciascuna tipologia di funzione il limite massimo di risorse disponibili stimate come da</w:t>
      </w:r>
      <w:r w:rsidR="00AE1A63">
        <w:rPr>
          <w:rFonts w:cstheme="minorHAnsi"/>
        </w:rPr>
        <w:t>l  prospetto</w:t>
      </w:r>
      <w:r w:rsidR="006543BA" w:rsidRPr="006B0B81">
        <w:rPr>
          <w:rFonts w:cstheme="minorHAnsi"/>
        </w:rPr>
        <w:t xml:space="preserve"> riportato</w:t>
      </w:r>
      <w:r w:rsidR="00AE1A63">
        <w:rPr>
          <w:rFonts w:cstheme="minorHAnsi"/>
        </w:rPr>
        <w:t>, a xui si fa rinvio.</w:t>
      </w:r>
    </w:p>
    <w:p w:rsidR="006543BA" w:rsidRPr="006B0B81" w:rsidRDefault="006543BA" w:rsidP="006543BA">
      <w:pPr>
        <w:spacing w:after="0" w:line="20" w:lineRule="atLeast"/>
        <w:jc w:val="both"/>
        <w:rPr>
          <w:rFonts w:cstheme="minorHAnsi"/>
        </w:rPr>
      </w:pPr>
    </w:p>
    <w:p w:rsidR="00AE1A63" w:rsidRDefault="006543BA" w:rsidP="00AE1A63">
      <w:pPr>
        <w:spacing w:after="0" w:line="20" w:lineRule="atLeast"/>
        <w:jc w:val="both"/>
        <w:rPr>
          <w:rFonts w:cstheme="minorHAnsi"/>
        </w:rPr>
      </w:pPr>
      <w:r w:rsidRPr="00AE1A63">
        <w:rPr>
          <w:rFonts w:cstheme="minorHAnsi"/>
          <w:b/>
        </w:rPr>
        <w:t>D</w:t>
      </w:r>
      <w:r w:rsidR="00AE1A63" w:rsidRPr="00AE1A63">
        <w:rPr>
          <w:rFonts w:cstheme="minorHAnsi"/>
          <w:b/>
        </w:rPr>
        <w:t xml:space="preserve">GR </w:t>
      </w:r>
      <w:r w:rsidRPr="00AE1A63">
        <w:rPr>
          <w:rFonts w:cstheme="minorHAnsi"/>
          <w:b/>
        </w:rPr>
        <w:t xml:space="preserve"> 31 luglio </w:t>
      </w:r>
      <w:proofErr w:type="gramStart"/>
      <w:r w:rsidRPr="00AE1A63">
        <w:rPr>
          <w:rFonts w:cstheme="minorHAnsi"/>
          <w:b/>
        </w:rPr>
        <w:t>2019</w:t>
      </w:r>
      <w:r w:rsidR="00AE1A63" w:rsidRPr="00AE1A63">
        <w:rPr>
          <w:rFonts w:cstheme="minorHAnsi"/>
          <w:b/>
        </w:rPr>
        <w:t xml:space="preserve">, </w:t>
      </w:r>
      <w:r w:rsidRPr="00AE1A63">
        <w:rPr>
          <w:rFonts w:cstheme="minorHAnsi"/>
          <w:b/>
        </w:rPr>
        <w:t xml:space="preserve"> n.</w:t>
      </w:r>
      <w:proofErr w:type="gramEnd"/>
      <w:r w:rsidRPr="00AE1A63">
        <w:rPr>
          <w:rFonts w:cstheme="minorHAnsi"/>
          <w:b/>
        </w:rPr>
        <w:t xml:space="preserve"> XI/2019</w:t>
      </w:r>
      <w:r w:rsidR="00AE1A63" w:rsidRPr="00AE1A63">
        <w:rPr>
          <w:rFonts w:cstheme="minorHAnsi"/>
          <w:b/>
        </w:rPr>
        <w:t>,</w:t>
      </w:r>
      <w:r w:rsidR="00AE1A63">
        <w:rPr>
          <w:rFonts w:cstheme="minorHAnsi"/>
        </w:rPr>
        <w:t xml:space="preserve"> </w:t>
      </w:r>
      <w:r w:rsidRPr="006B0B81">
        <w:rPr>
          <w:rFonts w:cstheme="minorHAnsi"/>
        </w:rPr>
        <w:t xml:space="preserve"> Prime indicazioni per l’avvio del percorso di riordino e di riclassificazione dei PreSST, dei POT e delle degenze di comunità</w:t>
      </w:r>
      <w:r w:rsidR="00AE1A63">
        <w:rPr>
          <w:rFonts w:cstheme="minorHAnsi"/>
        </w:rPr>
        <w:t xml:space="preserve">. (BUR n. 32 </w:t>
      </w:r>
      <w:proofErr w:type="gramStart"/>
      <w:r w:rsidR="00AE1A63">
        <w:rPr>
          <w:rFonts w:cstheme="minorHAnsi"/>
        </w:rPr>
        <w:t>dell’ 8.8.19</w:t>
      </w:r>
      <w:proofErr w:type="gramEnd"/>
      <w:r w:rsidR="00AE1A63">
        <w:rPr>
          <w:rFonts w:cstheme="minorHAnsi"/>
        </w:rPr>
        <w:t>)</w:t>
      </w:r>
    </w:p>
    <w:p w:rsidR="00730A21" w:rsidRPr="00730A21" w:rsidRDefault="00730A21" w:rsidP="00AE1A63">
      <w:pPr>
        <w:spacing w:after="0" w:line="20" w:lineRule="atLeast"/>
        <w:jc w:val="both"/>
        <w:rPr>
          <w:rFonts w:cstheme="minorHAnsi"/>
          <w:b/>
        </w:rPr>
      </w:pPr>
      <w:r w:rsidRPr="00730A21">
        <w:rPr>
          <w:rFonts w:cstheme="minorHAnsi"/>
          <w:b/>
        </w:rPr>
        <w:t>Note</w:t>
      </w:r>
    </w:p>
    <w:p w:rsidR="00AE1A63" w:rsidRDefault="006543BA" w:rsidP="006543BA">
      <w:pPr>
        <w:spacing w:after="0" w:line="20" w:lineRule="atLeast"/>
        <w:jc w:val="both"/>
        <w:rPr>
          <w:rFonts w:cstheme="minorHAnsi"/>
        </w:rPr>
      </w:pPr>
      <w:r w:rsidRPr="006B0B81">
        <w:rPr>
          <w:rFonts w:cstheme="minorHAnsi"/>
        </w:rPr>
        <w:t xml:space="preserve"> </w:t>
      </w:r>
      <w:proofErr w:type="gramStart"/>
      <w:r w:rsidR="00AE1A63">
        <w:rPr>
          <w:rFonts w:cstheme="minorHAnsi"/>
        </w:rPr>
        <w:t xml:space="preserve">Vengono </w:t>
      </w:r>
      <w:r w:rsidRPr="006B0B81">
        <w:rPr>
          <w:rFonts w:cstheme="minorHAnsi"/>
        </w:rPr>
        <w:t xml:space="preserve"> approva</w:t>
      </w:r>
      <w:r w:rsidR="00AE1A63">
        <w:rPr>
          <w:rFonts w:cstheme="minorHAnsi"/>
        </w:rPr>
        <w:t>t</w:t>
      </w:r>
      <w:r w:rsidRPr="006B0B81">
        <w:rPr>
          <w:rFonts w:cstheme="minorHAnsi"/>
        </w:rPr>
        <w:t>e</w:t>
      </w:r>
      <w:proofErr w:type="gramEnd"/>
      <w:r w:rsidRPr="006B0B81">
        <w:rPr>
          <w:rFonts w:cstheme="minorHAnsi"/>
        </w:rPr>
        <w:t xml:space="preserve"> le prime indicazioni contenute nel documento «Il percorso di integrazione ospedale-territorio: implementazione della rete dei PreSST, dei POT e definizione delle degenze di comunità»</w:t>
      </w:r>
      <w:r w:rsidR="00AE1A63">
        <w:rPr>
          <w:rFonts w:cstheme="minorHAnsi"/>
        </w:rPr>
        <w:t>.</w:t>
      </w:r>
      <w:r w:rsidRPr="006B0B81">
        <w:rPr>
          <w:rFonts w:cstheme="minorHAnsi"/>
        </w:rPr>
        <w:t xml:space="preserve"> </w:t>
      </w:r>
    </w:p>
    <w:p w:rsidR="00AE1A63" w:rsidRDefault="00AE1A63" w:rsidP="006543BA">
      <w:pPr>
        <w:spacing w:after="0" w:line="20" w:lineRule="atLeast"/>
        <w:jc w:val="both"/>
        <w:rPr>
          <w:rFonts w:cstheme="minorHAnsi"/>
        </w:rPr>
      </w:pPr>
    </w:p>
    <w:p w:rsidR="00AE1A63" w:rsidRDefault="00AE1A63" w:rsidP="006543BA">
      <w:pPr>
        <w:spacing w:after="0" w:line="20" w:lineRule="atLeast"/>
        <w:jc w:val="both"/>
        <w:rPr>
          <w:rFonts w:cstheme="minorHAnsi"/>
        </w:rPr>
      </w:pPr>
      <w:r w:rsidRPr="006B0B81">
        <w:rPr>
          <w:rFonts w:cstheme="minorHAnsi"/>
        </w:rPr>
        <w:t xml:space="preserve">IL PERCORSO DI INTEGRAZIONE OSPEDALE-TERRITORIO: IMPLEMENTAZIONE DELLA RETE DEI PRESST, DEI POT E DEFINIZIONE DELLE DEGENZE DI COMUNITÀ L'INTEGRAZIONE OSPEDALE-TERRITORIO </w:t>
      </w:r>
    </w:p>
    <w:p w:rsidR="00AE1A63" w:rsidRDefault="00AE1A63" w:rsidP="006543BA">
      <w:pPr>
        <w:spacing w:after="0" w:line="20" w:lineRule="atLeast"/>
        <w:jc w:val="both"/>
        <w:rPr>
          <w:rFonts w:cstheme="minorHAnsi"/>
        </w:rPr>
      </w:pPr>
    </w:p>
    <w:p w:rsidR="00AE1A63" w:rsidRDefault="006543BA" w:rsidP="006543BA">
      <w:pPr>
        <w:spacing w:after="0" w:line="20" w:lineRule="atLeast"/>
        <w:jc w:val="both"/>
        <w:rPr>
          <w:rFonts w:cstheme="minorHAnsi"/>
        </w:rPr>
      </w:pPr>
      <w:r w:rsidRPr="006B0B81">
        <w:rPr>
          <w:rFonts w:cstheme="minorHAnsi"/>
        </w:rPr>
        <w:t xml:space="preserve">L'integrazione ospedale-territorio rappresenta un fondamentale obiettivo strategico dell'odierno sistema sociosanitario regionale. I fattori che stanno alla base di questa necessità sono molteplici sia in relazione alla domanda che all’offerta. </w:t>
      </w:r>
    </w:p>
    <w:p w:rsidR="00AE1A63" w:rsidRDefault="006543BA" w:rsidP="006543BA">
      <w:pPr>
        <w:spacing w:after="0" w:line="20" w:lineRule="atLeast"/>
        <w:jc w:val="both"/>
        <w:rPr>
          <w:rFonts w:cstheme="minorHAnsi"/>
        </w:rPr>
      </w:pPr>
      <w:r w:rsidRPr="006B0B81">
        <w:rPr>
          <w:rFonts w:cstheme="minorHAnsi"/>
        </w:rPr>
        <w:t xml:space="preserve">Dal lato della domanda: </w:t>
      </w:r>
    </w:p>
    <w:p w:rsidR="00AE1A63" w:rsidRDefault="006543BA" w:rsidP="006543BA">
      <w:pPr>
        <w:spacing w:after="0" w:line="20" w:lineRule="atLeast"/>
        <w:jc w:val="both"/>
        <w:rPr>
          <w:rFonts w:cstheme="minorHAnsi"/>
        </w:rPr>
      </w:pPr>
      <w:r w:rsidRPr="006B0B81">
        <w:rPr>
          <w:rFonts w:cstheme="minorHAnsi"/>
        </w:rPr>
        <w:t xml:space="preserve">• cambiamenti demografici, rappresentati dall'aumento della popolazione anziana, dell'aspettativa di vita alla nascita e dalla trasformazione della struttura familiare che evidenzia, tra l'altro, la significativa quantità di famiglie unipersonali; </w:t>
      </w:r>
    </w:p>
    <w:p w:rsidR="00AE1A63" w:rsidRDefault="006543BA" w:rsidP="006543BA">
      <w:pPr>
        <w:spacing w:after="0" w:line="20" w:lineRule="atLeast"/>
        <w:jc w:val="both"/>
        <w:rPr>
          <w:rFonts w:cstheme="minorHAnsi"/>
        </w:rPr>
      </w:pPr>
      <w:r w:rsidRPr="006B0B81">
        <w:rPr>
          <w:rFonts w:cstheme="minorHAnsi"/>
        </w:rPr>
        <w:t xml:space="preserve">• cambiamenti epidemiologici che vedono in primo piano: </w:t>
      </w:r>
    </w:p>
    <w:p w:rsidR="00AE1A63" w:rsidRDefault="006543BA" w:rsidP="006543BA">
      <w:pPr>
        <w:spacing w:after="0" w:line="20" w:lineRule="atLeast"/>
        <w:jc w:val="both"/>
        <w:rPr>
          <w:rFonts w:cstheme="minorHAnsi"/>
        </w:rPr>
      </w:pPr>
      <w:proofErr w:type="gramStart"/>
      <w:r w:rsidRPr="006B0B81">
        <w:rPr>
          <w:rFonts w:cstheme="minorHAnsi"/>
        </w:rPr>
        <w:t>o</w:t>
      </w:r>
      <w:proofErr w:type="gramEnd"/>
      <w:r w:rsidRPr="006B0B81">
        <w:rPr>
          <w:rFonts w:cstheme="minorHAnsi"/>
        </w:rPr>
        <w:t xml:space="preserve"> l'aumento delle patologie croniche; </w:t>
      </w:r>
    </w:p>
    <w:p w:rsidR="00AE1A63" w:rsidRDefault="006543BA" w:rsidP="006543BA">
      <w:pPr>
        <w:spacing w:after="0" w:line="20" w:lineRule="atLeast"/>
        <w:jc w:val="both"/>
        <w:rPr>
          <w:rFonts w:cstheme="minorHAnsi"/>
        </w:rPr>
      </w:pPr>
      <w:proofErr w:type="gramStart"/>
      <w:r w:rsidRPr="006B0B81">
        <w:rPr>
          <w:rFonts w:cstheme="minorHAnsi"/>
        </w:rPr>
        <w:t>o</w:t>
      </w:r>
      <w:proofErr w:type="gramEnd"/>
      <w:r w:rsidRPr="006B0B81">
        <w:rPr>
          <w:rFonts w:cstheme="minorHAnsi"/>
        </w:rPr>
        <w:t xml:space="preserve"> la presenza di pazienti anziani, complessi e poli-patologici che ricorrono spesso ai servizi sanitari e all'ospedalizzazione, richiedono tempi di degenza in genere più lunghi, hanno un maggior bisogno assistenziale con necessità di risposte sociosanitarie integrate; </w:t>
      </w:r>
    </w:p>
    <w:p w:rsidR="00AE1A63" w:rsidRDefault="006543BA" w:rsidP="006543BA">
      <w:pPr>
        <w:spacing w:after="0" w:line="20" w:lineRule="atLeast"/>
        <w:jc w:val="both"/>
        <w:rPr>
          <w:rFonts w:cstheme="minorHAnsi"/>
        </w:rPr>
      </w:pPr>
      <w:proofErr w:type="gramStart"/>
      <w:r w:rsidRPr="006B0B81">
        <w:rPr>
          <w:rFonts w:cstheme="minorHAnsi"/>
        </w:rPr>
        <w:t>o</w:t>
      </w:r>
      <w:proofErr w:type="gramEnd"/>
      <w:r w:rsidRPr="006B0B81">
        <w:rPr>
          <w:rFonts w:cstheme="minorHAnsi"/>
        </w:rPr>
        <w:t xml:space="preserve"> l'aumento sia dell'incidenza sia della prevalenza di persone con "disabilità acquisite" </w:t>
      </w:r>
    </w:p>
    <w:p w:rsidR="00AE1A63" w:rsidRDefault="006543BA" w:rsidP="006543BA">
      <w:pPr>
        <w:spacing w:after="0" w:line="20" w:lineRule="atLeast"/>
        <w:jc w:val="both"/>
        <w:rPr>
          <w:rFonts w:cstheme="minorHAnsi"/>
        </w:rPr>
      </w:pPr>
      <w:proofErr w:type="gramStart"/>
      <w:r w:rsidRPr="006B0B81">
        <w:rPr>
          <w:rFonts w:cstheme="minorHAnsi"/>
        </w:rPr>
        <w:t>o</w:t>
      </w:r>
      <w:proofErr w:type="gramEnd"/>
      <w:r w:rsidRPr="006B0B81">
        <w:rPr>
          <w:rFonts w:cstheme="minorHAnsi"/>
        </w:rPr>
        <w:t xml:space="preserve"> malattie degenerative/evolutive con il conseguente incremento di persone che presentano condizioni di elevata "fragilità" cui si associano spesso condizioni di "vulnerabilità sociale”; </w:t>
      </w:r>
    </w:p>
    <w:p w:rsidR="00AE1A63" w:rsidRDefault="006543BA" w:rsidP="006543BA">
      <w:pPr>
        <w:spacing w:after="0" w:line="20" w:lineRule="atLeast"/>
        <w:jc w:val="both"/>
        <w:rPr>
          <w:rFonts w:cstheme="minorHAnsi"/>
        </w:rPr>
      </w:pPr>
      <w:proofErr w:type="gramStart"/>
      <w:r w:rsidRPr="006B0B81">
        <w:rPr>
          <w:rFonts w:cstheme="minorHAnsi"/>
        </w:rPr>
        <w:t>o</w:t>
      </w:r>
      <w:proofErr w:type="gramEnd"/>
      <w:r w:rsidRPr="006B0B81">
        <w:rPr>
          <w:rFonts w:cstheme="minorHAnsi"/>
        </w:rPr>
        <w:t xml:space="preserve"> altri determinanti di salute quali, ad esempio, i fattori socioeconomici e gli stili di vita che contribuiscono in maniera importante alla longevità della comunità; o le aspettative crescenti di assistiti e famiglie sempre più «empowered». </w:t>
      </w:r>
    </w:p>
    <w:p w:rsidR="00AE1A63" w:rsidRDefault="006543BA" w:rsidP="006543BA">
      <w:pPr>
        <w:spacing w:after="0" w:line="20" w:lineRule="atLeast"/>
        <w:jc w:val="both"/>
        <w:rPr>
          <w:rFonts w:cstheme="minorHAnsi"/>
        </w:rPr>
      </w:pPr>
      <w:r w:rsidRPr="006B0B81">
        <w:rPr>
          <w:rFonts w:cstheme="minorHAnsi"/>
        </w:rPr>
        <w:t xml:space="preserve">Quanto sopra evidenzia come, a livello territoriale, sia oggi in forte incremento la domanda di una "presa in carico" nella quale alla dimensione più propriamente sanitaria si associ e si connetta la dimensione di natura sociosanitaria in quanto capace di far coincidere la qualità delle cure con la qualità della vita della persona che ne fruisce. </w:t>
      </w:r>
    </w:p>
    <w:p w:rsidR="00AE1A63" w:rsidRDefault="006543BA" w:rsidP="006543BA">
      <w:pPr>
        <w:spacing w:after="0" w:line="20" w:lineRule="atLeast"/>
        <w:jc w:val="both"/>
        <w:rPr>
          <w:rFonts w:cstheme="minorHAnsi"/>
        </w:rPr>
      </w:pPr>
      <w:r w:rsidRPr="006B0B81">
        <w:rPr>
          <w:rFonts w:cstheme="minorHAnsi"/>
        </w:rPr>
        <w:t xml:space="preserve">Dal lato dell’offerta: </w:t>
      </w:r>
    </w:p>
    <w:p w:rsidR="00AE1A63" w:rsidRDefault="006543BA" w:rsidP="006543BA">
      <w:pPr>
        <w:spacing w:after="0" w:line="20" w:lineRule="atLeast"/>
        <w:jc w:val="both"/>
        <w:rPr>
          <w:rFonts w:cstheme="minorHAnsi"/>
        </w:rPr>
      </w:pPr>
      <w:r w:rsidRPr="006B0B81">
        <w:rPr>
          <w:rFonts w:cstheme="minorHAnsi"/>
        </w:rPr>
        <w:t xml:space="preserve">• innovazioni tecnologiche e delle tecniche mediche, che richiedono concentrazione della casistica in pochi centri ospedalieri, modificano i processi e i setting assistenziali e possono devolvere attività ospedaliera sul territorio o a domicilio; </w:t>
      </w:r>
    </w:p>
    <w:p w:rsidR="00AE1A63" w:rsidRDefault="006543BA" w:rsidP="006543BA">
      <w:pPr>
        <w:spacing w:after="0" w:line="20" w:lineRule="atLeast"/>
        <w:jc w:val="both"/>
        <w:rPr>
          <w:rFonts w:cstheme="minorHAnsi"/>
        </w:rPr>
      </w:pPr>
      <w:r w:rsidRPr="006B0B81">
        <w:rPr>
          <w:rFonts w:cstheme="minorHAnsi"/>
        </w:rPr>
        <w:t xml:space="preserve">• progressiva diminuzione dei posti letto per pazienti acuti; </w:t>
      </w:r>
    </w:p>
    <w:p w:rsidR="00AE1A63" w:rsidRDefault="006543BA" w:rsidP="006543BA">
      <w:pPr>
        <w:spacing w:after="0" w:line="20" w:lineRule="atLeast"/>
        <w:jc w:val="both"/>
        <w:rPr>
          <w:rFonts w:cstheme="minorHAnsi"/>
        </w:rPr>
      </w:pPr>
      <w:r w:rsidRPr="006B0B81">
        <w:rPr>
          <w:rFonts w:cstheme="minorHAnsi"/>
        </w:rPr>
        <w:t xml:space="preserve">• cambiamenti nella demografia professionale con professionalità emergenti e crescente carenza di medici specializzati, soprattutto in alcune discipline. </w:t>
      </w:r>
    </w:p>
    <w:p w:rsidR="00AE1A63" w:rsidRDefault="006543BA" w:rsidP="006543BA">
      <w:pPr>
        <w:spacing w:after="0" w:line="20" w:lineRule="atLeast"/>
        <w:jc w:val="both"/>
        <w:rPr>
          <w:rFonts w:cstheme="minorHAnsi"/>
        </w:rPr>
      </w:pPr>
      <w:r w:rsidRPr="006B0B81">
        <w:rPr>
          <w:rFonts w:cstheme="minorHAnsi"/>
        </w:rPr>
        <w:t xml:space="preserve">Nell’ambito dell’assistenza territoriale, queste necessità emergenti richiedono, a fianco della tradizionale rete delle unità d'offerta di natura sociosanitaria domiciliare, semiresidenziale e residenziale, lo sviluppo delle nuove tipologie di offerta, quali i Presidi Ospedalieri Territoriali (POT) e i Presidi Socio Sanitario Territoriale (PreSST), secondo quanto previsto dalla l.r. 33/09 a seguito delle modifiche introdotte con la l.r. 23/15, con il contestuale riordino del settore delle cosiddette degenze di comunità, capaci di assicurare nel quadro del principio della presa in carico risposte sempre più integrate al bisogno di assistenza sanitaria e sociosanitaria anche in stretta collaborazione con l’offerta dei servizi sociali. In questo senso il percorso nelle degenze di comunità dovrebbe essere parte di un percorso più continuativo di presa in carico della persona cronica e/o fragile nel quale realizzare soluzioni assistenziali, spostando l’asse delle cure dall’ospedale e dalle unità d’offerta residenziali al domicilio come luogo di vita. </w:t>
      </w:r>
    </w:p>
    <w:p w:rsidR="00AE1A63" w:rsidRDefault="006543BA" w:rsidP="006543BA">
      <w:pPr>
        <w:spacing w:after="0" w:line="20" w:lineRule="atLeast"/>
        <w:jc w:val="both"/>
        <w:rPr>
          <w:rFonts w:cstheme="minorHAnsi"/>
        </w:rPr>
      </w:pPr>
      <w:r w:rsidRPr="006B0B81">
        <w:rPr>
          <w:rFonts w:cstheme="minorHAnsi"/>
        </w:rPr>
        <w:lastRenderedPageBreak/>
        <w:t xml:space="preserve">Al fine di assicurare alla persona con bisogno di cura e assistenza il necessario accompagnamento e l’indispensabile continuità nel percorso di cura territoriale e un appropriato utilizzo dei servizi disponibili, dovranno essere individuate strutture organizzative di coordinamento (centri multiservizi o centrali per la continuità assistenziale) nelle ASST o in altri enti del sistema che, in stretto collegamento con le ATS, siano in grado di svolgere le funzioni di valutazione multidimensionale e casemanagement, di supportare il percorso di presa in carico e, nello specifico: </w:t>
      </w:r>
    </w:p>
    <w:p w:rsidR="00AE1A63" w:rsidRDefault="006543BA" w:rsidP="006543BA">
      <w:pPr>
        <w:spacing w:after="0" w:line="20" w:lineRule="atLeast"/>
        <w:jc w:val="both"/>
        <w:rPr>
          <w:rFonts w:cstheme="minorHAnsi"/>
        </w:rPr>
      </w:pPr>
      <w:r w:rsidRPr="006B0B81">
        <w:rPr>
          <w:rFonts w:cstheme="minorHAnsi"/>
        </w:rPr>
        <w:t xml:space="preserve">- identificare i bisogni di natura clinico-assistenziale degli utenti attraverso la valutazione multidimensionale (effettuata dalle strutture segnalanti o direttamente in caso di provenienza dal territorio); </w:t>
      </w:r>
    </w:p>
    <w:p w:rsidR="00AE1A63" w:rsidRDefault="006543BA" w:rsidP="006543BA">
      <w:pPr>
        <w:spacing w:after="0" w:line="20" w:lineRule="atLeast"/>
        <w:jc w:val="both"/>
        <w:rPr>
          <w:rFonts w:cstheme="minorHAnsi"/>
        </w:rPr>
      </w:pPr>
      <w:r w:rsidRPr="006B0B81">
        <w:rPr>
          <w:rFonts w:cstheme="minorHAnsi"/>
        </w:rPr>
        <w:t xml:space="preserve">- mantenere aggiornata la mappatura dei servizi residenziali, semiresidenziali e domiciliari presenti sul territorio e delle relative modalità di accesso; </w:t>
      </w:r>
    </w:p>
    <w:p w:rsidR="00AE1A63" w:rsidRDefault="006543BA" w:rsidP="006543BA">
      <w:pPr>
        <w:spacing w:after="0" w:line="20" w:lineRule="atLeast"/>
        <w:jc w:val="both"/>
        <w:rPr>
          <w:rFonts w:cstheme="minorHAnsi"/>
        </w:rPr>
      </w:pPr>
      <w:r w:rsidRPr="006B0B81">
        <w:rPr>
          <w:rFonts w:cstheme="minorHAnsi"/>
        </w:rPr>
        <w:t xml:space="preserve">- individuare la disponibilità di posti nelle unità d’offerta territoriali; </w:t>
      </w:r>
    </w:p>
    <w:p w:rsidR="00AE1A63" w:rsidRDefault="006543BA" w:rsidP="006543BA">
      <w:pPr>
        <w:spacing w:after="0" w:line="20" w:lineRule="atLeast"/>
        <w:jc w:val="both"/>
        <w:rPr>
          <w:rFonts w:cstheme="minorHAnsi"/>
        </w:rPr>
      </w:pPr>
      <w:r w:rsidRPr="006B0B81">
        <w:rPr>
          <w:rFonts w:cstheme="minorHAnsi"/>
        </w:rPr>
        <w:t>- ricevere le segnalazioni di dimissione/le richieste di accoglienza in unità d’offerta sociosanitarie e individuare le possibili strutture idonee;</w:t>
      </w:r>
    </w:p>
    <w:p w:rsidR="00AE1A63" w:rsidRDefault="006543BA" w:rsidP="006543BA">
      <w:pPr>
        <w:spacing w:after="0" w:line="20" w:lineRule="atLeast"/>
        <w:jc w:val="both"/>
        <w:rPr>
          <w:rFonts w:cstheme="minorHAnsi"/>
        </w:rPr>
      </w:pPr>
      <w:r w:rsidRPr="006B0B81">
        <w:rPr>
          <w:rFonts w:cstheme="minorHAnsi"/>
        </w:rPr>
        <w:t xml:space="preserve"> - definire protocolli di dimissione/ammissione protetta che tengano conto anche del possibile invio di pazienti dai pronto soccorso ospedalieri; </w:t>
      </w:r>
    </w:p>
    <w:p w:rsidR="00AE1A63" w:rsidRDefault="006543BA" w:rsidP="006543BA">
      <w:pPr>
        <w:spacing w:after="0" w:line="20" w:lineRule="atLeast"/>
        <w:jc w:val="both"/>
        <w:rPr>
          <w:rFonts w:cstheme="minorHAnsi"/>
        </w:rPr>
      </w:pPr>
      <w:r w:rsidRPr="006B0B81">
        <w:rPr>
          <w:rFonts w:cstheme="minorHAnsi"/>
        </w:rPr>
        <w:t xml:space="preserve">- interagire con le strutture di degenza di comunità e la persona interessata o con il care-giver familiare per assicurare, al momento della dimissione da tali strutture, la continuità della presa in carico del paziente e il percorso di accompagnamento al domicilio attraverso l’ADI o ad altra soluzione residenziale; </w:t>
      </w:r>
    </w:p>
    <w:p w:rsidR="00AE1A63" w:rsidRDefault="006543BA" w:rsidP="006543BA">
      <w:pPr>
        <w:spacing w:after="0" w:line="20" w:lineRule="atLeast"/>
        <w:jc w:val="both"/>
        <w:rPr>
          <w:rFonts w:cstheme="minorHAnsi"/>
        </w:rPr>
      </w:pPr>
      <w:r w:rsidRPr="006B0B81">
        <w:rPr>
          <w:rFonts w:cstheme="minorHAnsi"/>
        </w:rPr>
        <w:t xml:space="preserve">- modulare interventi di cure primarie integrandole sempre più con la medicina specialistica, spostando sul territorio la risposta a bisogni di medio-bassa intensità. </w:t>
      </w:r>
    </w:p>
    <w:p w:rsidR="00AE1A63" w:rsidRDefault="006543BA" w:rsidP="006543BA">
      <w:pPr>
        <w:spacing w:after="0" w:line="20" w:lineRule="atLeast"/>
        <w:jc w:val="both"/>
        <w:rPr>
          <w:rFonts w:cstheme="minorHAnsi"/>
        </w:rPr>
      </w:pPr>
      <w:r w:rsidRPr="006B0B81">
        <w:rPr>
          <w:rFonts w:cstheme="minorHAnsi"/>
        </w:rPr>
        <w:t xml:space="preserve">Le ATS, con funzione programmatoria, e le ASST, con funzione organizzativa gestionale, sono chiamate a guidare il processo di riordino sulla base di una puntuale rilevazione dei bisogni di natura sociosanitaria nei diversi territori, anche al fine di definire l’entità delle risorse necessarie e individuare le strutture prioritariamente da convertire in POT e PreSST, da realizzare in un contesto di attenta analisi dei bisogni sociosanitari in un quadro di raccordo tra domanda e offerta. </w:t>
      </w:r>
    </w:p>
    <w:p w:rsidR="00925B9D" w:rsidRDefault="006543BA" w:rsidP="006543BA">
      <w:pPr>
        <w:spacing w:after="0" w:line="20" w:lineRule="atLeast"/>
        <w:jc w:val="both"/>
        <w:rPr>
          <w:rFonts w:cstheme="minorHAnsi"/>
        </w:rPr>
      </w:pPr>
      <w:r w:rsidRPr="006B0B81">
        <w:rPr>
          <w:rFonts w:cstheme="minorHAnsi"/>
        </w:rPr>
        <w:t xml:space="preserve">Si prevede, contestualmente al riordino, la necessità di avviare da parte delle ATS e delle ASST coerenti processi di riqualificazione delle risorse umane attribuite alla rete territoriale e di aggiornamento della dotazione tecnologica utile all’attuazione dei percorsi anche tramite lo sviluppo di soluzioni di tecno-assistenza. In tale contesto il quadro delle attività e dei servizi programmati dovranno tenere conto di un approccio multidirezionale includendo percorsi che vanno dall'ospedale al territorio ma anche dal territorio all'ospedale in un'ottica di presa in carico appropriata. PreSST – Presidio Socio Sanitario Territoriale Il PreSST, così come definito dalla legge regionale n.33/09 e s.m.i., costituisce una modalità organizzativa di riferimento che ha lo scopo di integrare le attività e le prestazioni di carattere sanitario, sociosanitario e sociale e concorrere alla presa in carico della persona e delle fragilità. </w:t>
      </w:r>
    </w:p>
    <w:p w:rsidR="00925B9D" w:rsidRDefault="006543BA" w:rsidP="006543BA">
      <w:pPr>
        <w:spacing w:after="0" w:line="20" w:lineRule="atLeast"/>
        <w:jc w:val="both"/>
        <w:rPr>
          <w:rFonts w:cstheme="minorHAnsi"/>
        </w:rPr>
      </w:pPr>
      <w:r w:rsidRPr="006B0B81">
        <w:rPr>
          <w:rFonts w:cstheme="minorHAnsi"/>
        </w:rPr>
        <w:t xml:space="preserve">Eroga, direttamente o attraverso accordi di rete con erogatori accreditati e a contratto, prestazioni sanitarie e sociosanitarie ambulatoriali e domiciliari a media e bassa intensità rivolgendosi prioritariamente ai soggetti del territorio di riferimento, i cui bisogni richiedono una risposta fortemente integrata tra l’ambito sanitario, sociosanitario e sociale. </w:t>
      </w:r>
    </w:p>
    <w:p w:rsidR="00925B9D" w:rsidRDefault="006543BA" w:rsidP="006543BA">
      <w:pPr>
        <w:spacing w:after="0" w:line="20" w:lineRule="atLeast"/>
        <w:jc w:val="both"/>
        <w:rPr>
          <w:rFonts w:cstheme="minorHAnsi"/>
        </w:rPr>
      </w:pPr>
      <w:r w:rsidRPr="006B0B81">
        <w:rPr>
          <w:rFonts w:cstheme="minorHAnsi"/>
        </w:rPr>
        <w:t xml:space="preserve">Nel quadro della presa in carico integrata delle persone fragili assicura direttamente o d’intesa con erogatori accreditati e/o a contratto la valutazione multidimensionale e la definizione del progetto individuale. </w:t>
      </w:r>
    </w:p>
    <w:p w:rsidR="00925B9D" w:rsidRDefault="006543BA" w:rsidP="006543BA">
      <w:pPr>
        <w:spacing w:after="0" w:line="20" w:lineRule="atLeast"/>
        <w:jc w:val="both"/>
        <w:rPr>
          <w:rFonts w:cstheme="minorHAnsi"/>
        </w:rPr>
      </w:pPr>
      <w:r w:rsidRPr="006B0B81">
        <w:rPr>
          <w:rFonts w:cstheme="minorHAnsi"/>
        </w:rPr>
        <w:t xml:space="preserve">Il PreSST rappresenta, pertanto, la struttura fisica: </w:t>
      </w:r>
    </w:p>
    <w:p w:rsidR="00925B9D" w:rsidRDefault="006543BA" w:rsidP="006543BA">
      <w:pPr>
        <w:spacing w:after="0" w:line="20" w:lineRule="atLeast"/>
        <w:jc w:val="both"/>
        <w:rPr>
          <w:rFonts w:cstheme="minorHAnsi"/>
        </w:rPr>
      </w:pPr>
      <w:r w:rsidRPr="006B0B81">
        <w:rPr>
          <w:rFonts w:cstheme="minorHAnsi"/>
        </w:rPr>
        <w:t xml:space="preserve">• in cui si realizza l’integrazione e il coordinamento tra l’ambito delle cure primarie, delle cure specialistiche e le attività assicurate dalle unità d’offerta sociosanitarie; </w:t>
      </w:r>
    </w:p>
    <w:p w:rsidR="00925B9D" w:rsidRDefault="006543BA" w:rsidP="006543BA">
      <w:pPr>
        <w:spacing w:after="0" w:line="20" w:lineRule="atLeast"/>
        <w:jc w:val="both"/>
        <w:rPr>
          <w:rFonts w:cstheme="minorHAnsi"/>
        </w:rPr>
      </w:pPr>
      <w:r w:rsidRPr="006B0B81">
        <w:rPr>
          <w:rFonts w:cstheme="minorHAnsi"/>
        </w:rPr>
        <w:t>• dove è possibile e auspicabile realizzare l’integrazione tra le attività sanitarie, sociosanitarie e sociali, in particolare quelle a favore delle persone fragili, promosse e realizzate nel rispetto delle competenze degli enti di riferimento. Può, inoltre, favorire il collegamento con le associazioni di volontariato. I PreSST devono essere ben identificabili dal cittadino e possono essere costituiti all’interno di strutture, quali presidi ospedalieri, distretti, poliambulatori, strutture territoriali e unità d’offerta sociosanitarie, collegate in via informatica con l’azienda di appartenenza e dotate di strumentazioni di base. Costituiscono sedi privilegiate per l’esercizio della medicina di iniziativa nei confronti delle cronicità e delle fragilità e concorrono a garantire la continuità delle cure. Il</w:t>
      </w:r>
    </w:p>
    <w:p w:rsidR="00925B9D" w:rsidRDefault="006543BA" w:rsidP="006543BA">
      <w:pPr>
        <w:spacing w:after="0" w:line="20" w:lineRule="atLeast"/>
        <w:jc w:val="both"/>
        <w:rPr>
          <w:rFonts w:cstheme="minorHAnsi"/>
        </w:rPr>
      </w:pPr>
      <w:r w:rsidRPr="006B0B81">
        <w:rPr>
          <w:rFonts w:cstheme="minorHAnsi"/>
        </w:rPr>
        <w:t xml:space="preserve"> PreSST assicura: </w:t>
      </w:r>
    </w:p>
    <w:p w:rsidR="00925B9D" w:rsidRDefault="006543BA" w:rsidP="006543BA">
      <w:pPr>
        <w:spacing w:after="0" w:line="20" w:lineRule="atLeast"/>
        <w:jc w:val="both"/>
        <w:rPr>
          <w:rFonts w:cstheme="minorHAnsi"/>
        </w:rPr>
      </w:pPr>
      <w:r w:rsidRPr="006B0B81">
        <w:rPr>
          <w:rFonts w:cstheme="minorHAnsi"/>
        </w:rPr>
        <w:t xml:space="preserve">• la promozione della salute e il miglioramento della gestione del percorso di cura sul territorio; </w:t>
      </w:r>
    </w:p>
    <w:p w:rsidR="00925B9D" w:rsidRDefault="006543BA" w:rsidP="006543BA">
      <w:pPr>
        <w:spacing w:after="0" w:line="20" w:lineRule="atLeast"/>
        <w:jc w:val="both"/>
        <w:rPr>
          <w:rFonts w:cstheme="minorHAnsi"/>
        </w:rPr>
      </w:pPr>
      <w:r w:rsidRPr="006B0B81">
        <w:rPr>
          <w:rFonts w:cstheme="minorHAnsi"/>
        </w:rPr>
        <w:lastRenderedPageBreak/>
        <w:t xml:space="preserve">• la presa in carico delle persone fragili con particolare attenzione alle persone disabili e non autosufficienti attraverso la lettura integrata dei bisogni realizzata con gli strumenti valutazione multidimensionale e la definizione di un piano di assistenza individualizzato che garantisca una risposta integrata di natura sanitaria, sociosanitaria e sociale; • la presenza di servizi di prossimità al cittadino, garantendo punti di accesso al sistema sociosanitario e sociale integrato con particolare attenzione al soggetto cronico e fragile; </w:t>
      </w:r>
    </w:p>
    <w:p w:rsidR="00925B9D" w:rsidRDefault="006543BA" w:rsidP="006543BA">
      <w:pPr>
        <w:spacing w:after="0" w:line="20" w:lineRule="atLeast"/>
        <w:jc w:val="both"/>
        <w:rPr>
          <w:rFonts w:cstheme="minorHAnsi"/>
        </w:rPr>
      </w:pPr>
      <w:r w:rsidRPr="006B0B81">
        <w:rPr>
          <w:rFonts w:cstheme="minorHAnsi"/>
        </w:rPr>
        <w:t>• il miglioramento dell’allocazione delle risorse sanitarie, sociosanitarie e sociali presenti sul territorio (comprese le farmacie dei servizi).</w:t>
      </w:r>
    </w:p>
    <w:p w:rsidR="00925B9D" w:rsidRDefault="006543BA" w:rsidP="006543BA">
      <w:pPr>
        <w:spacing w:after="0" w:line="20" w:lineRule="atLeast"/>
        <w:jc w:val="both"/>
        <w:rPr>
          <w:rFonts w:cstheme="minorHAnsi"/>
        </w:rPr>
      </w:pPr>
      <w:r w:rsidRPr="006B0B81">
        <w:rPr>
          <w:rFonts w:cstheme="minorHAnsi"/>
        </w:rPr>
        <w:t xml:space="preserve"> Attività e prestazioni </w:t>
      </w:r>
    </w:p>
    <w:p w:rsidR="00925B9D" w:rsidRDefault="006543BA" w:rsidP="006543BA">
      <w:pPr>
        <w:spacing w:after="0" w:line="20" w:lineRule="atLeast"/>
        <w:jc w:val="both"/>
        <w:rPr>
          <w:rFonts w:cstheme="minorHAnsi"/>
        </w:rPr>
      </w:pPr>
      <w:r w:rsidRPr="006B0B81">
        <w:rPr>
          <w:rFonts w:cstheme="minorHAnsi"/>
        </w:rPr>
        <w:t xml:space="preserve">Il PreSST deve prevedere la presenza delle seguenti aree di intervento di base così suddivise: </w:t>
      </w:r>
    </w:p>
    <w:p w:rsidR="00925B9D" w:rsidRDefault="006543BA" w:rsidP="006543BA">
      <w:pPr>
        <w:spacing w:after="0" w:line="20" w:lineRule="atLeast"/>
        <w:jc w:val="both"/>
        <w:rPr>
          <w:rFonts w:cstheme="minorHAnsi"/>
        </w:rPr>
      </w:pPr>
      <w:r w:rsidRPr="006B0B81">
        <w:rPr>
          <w:rFonts w:cstheme="minorHAnsi"/>
        </w:rPr>
        <w:t xml:space="preserve">1) area dell’accoglienza: un punto di accoglienza che fornisce, oltre ai servizi amministrativi di supporto, informazioni e orientamento ai servizi sanitari, sociosanitari e sociali del territorio; </w:t>
      </w:r>
    </w:p>
    <w:p w:rsidR="00925B9D" w:rsidRDefault="006543BA" w:rsidP="006543BA">
      <w:pPr>
        <w:spacing w:after="0" w:line="20" w:lineRule="atLeast"/>
        <w:jc w:val="both"/>
        <w:rPr>
          <w:rFonts w:cstheme="minorHAnsi"/>
        </w:rPr>
      </w:pPr>
      <w:r w:rsidRPr="006B0B81">
        <w:rPr>
          <w:rFonts w:cstheme="minorHAnsi"/>
        </w:rPr>
        <w:t xml:space="preserve">2) area della presa in carico delle persone disabili e non autosufficienti: servizio destinato ad assicurare, anche d'intesa con le unità d'offerta sociosanitarie e sanitarie presenti sul territorio, la valutazione multidimensionale, la definizione del "progetto individuale", l'individuazione dei sostegni necessari alla realizzazione del progetto individuale, l'accesso alle misure regionali o nazionali loro dedicate e l'attivazione della rete dei servizi; </w:t>
      </w:r>
    </w:p>
    <w:p w:rsidR="00925B9D" w:rsidRDefault="006543BA" w:rsidP="006543BA">
      <w:pPr>
        <w:spacing w:after="0" w:line="20" w:lineRule="atLeast"/>
        <w:jc w:val="both"/>
        <w:rPr>
          <w:rFonts w:cstheme="minorHAnsi"/>
        </w:rPr>
      </w:pPr>
      <w:r w:rsidRPr="006B0B81">
        <w:rPr>
          <w:rFonts w:cstheme="minorHAnsi"/>
        </w:rPr>
        <w:t xml:space="preserve">3) area della medicina territoriale: attività erogate da MMG/PLS singoli o associati, con la presenza di personale di studio (nel caso di presenza di medici singoli devono essere adottate modalità di integrazione organizzativa); </w:t>
      </w:r>
    </w:p>
    <w:p w:rsidR="00925B9D" w:rsidRDefault="006543BA" w:rsidP="006543BA">
      <w:pPr>
        <w:spacing w:after="0" w:line="20" w:lineRule="atLeast"/>
        <w:jc w:val="both"/>
        <w:rPr>
          <w:rFonts w:cstheme="minorHAnsi"/>
        </w:rPr>
      </w:pPr>
      <w:r w:rsidRPr="006B0B81">
        <w:rPr>
          <w:rFonts w:cstheme="minorHAnsi"/>
        </w:rPr>
        <w:t xml:space="preserve">4) area della specialistica ambulatoriale e degli ausili e protesi: attività di specialistica ambulatoriale accreditata, prevalentemente indirizzata a garantire i percorsi assistenziali territoriali, con particolare orientamento alla gestione degli assistiti con patologie croniche compensate e ad alta prevalenza (come ad esempio cardiologia, diabetologia e oculistica) e a quello delle persone disabili e non autosufficienti con interventi volti ad assicurare le diverse fasi per l’erogazione degli ausili e protesi necessarie; </w:t>
      </w:r>
    </w:p>
    <w:p w:rsidR="00925B9D" w:rsidRDefault="006543BA" w:rsidP="006543BA">
      <w:pPr>
        <w:spacing w:after="0" w:line="20" w:lineRule="atLeast"/>
        <w:jc w:val="both"/>
        <w:rPr>
          <w:rFonts w:cstheme="minorHAnsi"/>
        </w:rPr>
      </w:pPr>
      <w:r w:rsidRPr="006B0B81">
        <w:rPr>
          <w:rFonts w:cstheme="minorHAnsi"/>
        </w:rPr>
        <w:t xml:space="preserve">5) ambulatorio infermieristico rivolto a singoli e a gruppi di assistiti in grado di garantire il management nei confronti della persona cronica/fragile e prestazioni infermieristiche quali interventi di educazione terapeutica, supporto e verifica dell’aderenza alle prescrizioni, prestazioni assistenziali, ecc. </w:t>
      </w:r>
    </w:p>
    <w:p w:rsidR="00925B9D" w:rsidRDefault="006543BA" w:rsidP="006543BA">
      <w:pPr>
        <w:spacing w:after="0" w:line="20" w:lineRule="atLeast"/>
        <w:jc w:val="both"/>
        <w:rPr>
          <w:rFonts w:cstheme="minorHAnsi"/>
        </w:rPr>
      </w:pPr>
      <w:r w:rsidRPr="006B0B81">
        <w:rPr>
          <w:rFonts w:cstheme="minorHAnsi"/>
        </w:rPr>
        <w:t xml:space="preserve">6) area sociale, se presente: erogazione delle prestazioni del servizio sociale per le persone di cui ai punti precedenti nel rispetto delle competenze degli enti e delle procedure di riferimento, ivi compreso assicurare le necessarie informazioni sul tema della protezione giuridica. </w:t>
      </w:r>
    </w:p>
    <w:p w:rsidR="00925B9D" w:rsidRDefault="006543BA" w:rsidP="006543BA">
      <w:pPr>
        <w:spacing w:after="0" w:line="20" w:lineRule="atLeast"/>
        <w:jc w:val="both"/>
        <w:rPr>
          <w:rFonts w:cstheme="minorHAnsi"/>
        </w:rPr>
      </w:pPr>
      <w:r w:rsidRPr="006B0B81">
        <w:rPr>
          <w:rFonts w:cstheme="minorHAnsi"/>
        </w:rPr>
        <w:t xml:space="preserve">Inoltre, presso il PreSST possono essere presenti le seguenti attività complementari: </w:t>
      </w:r>
    </w:p>
    <w:p w:rsidR="00925B9D" w:rsidRDefault="006543BA" w:rsidP="006543BA">
      <w:pPr>
        <w:spacing w:after="0" w:line="20" w:lineRule="atLeast"/>
        <w:jc w:val="both"/>
        <w:rPr>
          <w:rFonts w:cstheme="minorHAnsi"/>
        </w:rPr>
      </w:pPr>
      <w:r w:rsidRPr="006B0B81">
        <w:rPr>
          <w:rFonts w:cstheme="minorHAnsi"/>
        </w:rPr>
        <w:t xml:space="preserve">• servizio di continuità assistenziale; </w:t>
      </w:r>
    </w:p>
    <w:p w:rsidR="00925B9D" w:rsidRDefault="006543BA" w:rsidP="006543BA">
      <w:pPr>
        <w:spacing w:after="0" w:line="20" w:lineRule="atLeast"/>
        <w:jc w:val="both"/>
        <w:rPr>
          <w:rFonts w:cstheme="minorHAnsi"/>
        </w:rPr>
      </w:pPr>
      <w:r w:rsidRPr="006B0B81">
        <w:rPr>
          <w:rFonts w:cstheme="minorHAnsi"/>
        </w:rPr>
        <w:t xml:space="preserve">• centro servizi per la presa in carico del paziente cronico; </w:t>
      </w:r>
    </w:p>
    <w:p w:rsidR="00925B9D" w:rsidRDefault="006543BA" w:rsidP="006543BA">
      <w:pPr>
        <w:spacing w:after="0" w:line="20" w:lineRule="atLeast"/>
        <w:jc w:val="both"/>
        <w:rPr>
          <w:rFonts w:cstheme="minorHAnsi"/>
        </w:rPr>
      </w:pPr>
      <w:r w:rsidRPr="006B0B81">
        <w:rPr>
          <w:rFonts w:cstheme="minorHAnsi"/>
        </w:rPr>
        <w:t xml:space="preserve">• servizi di teleassistenza/telemedicina; </w:t>
      </w:r>
    </w:p>
    <w:p w:rsidR="00925B9D" w:rsidRDefault="006543BA" w:rsidP="006543BA">
      <w:pPr>
        <w:spacing w:after="0" w:line="20" w:lineRule="atLeast"/>
        <w:jc w:val="both"/>
        <w:rPr>
          <w:rFonts w:cstheme="minorHAnsi"/>
        </w:rPr>
      </w:pPr>
      <w:r w:rsidRPr="006B0B81">
        <w:rPr>
          <w:rFonts w:cstheme="minorHAnsi"/>
        </w:rPr>
        <w:t xml:space="preserve">• sportello di scelta e revoca; </w:t>
      </w:r>
    </w:p>
    <w:p w:rsidR="00925B9D" w:rsidRDefault="006543BA" w:rsidP="006543BA">
      <w:pPr>
        <w:spacing w:after="0" w:line="20" w:lineRule="atLeast"/>
        <w:jc w:val="both"/>
        <w:rPr>
          <w:rFonts w:cstheme="minorHAnsi"/>
        </w:rPr>
      </w:pPr>
      <w:r w:rsidRPr="006B0B81">
        <w:rPr>
          <w:rFonts w:cstheme="minorHAnsi"/>
        </w:rPr>
        <w:t xml:space="preserve">• prestazioni di prevenzione (screening, vaccinazioni) e di promozione della salute; </w:t>
      </w:r>
    </w:p>
    <w:p w:rsidR="00925B9D" w:rsidRDefault="006543BA" w:rsidP="006543BA">
      <w:pPr>
        <w:spacing w:after="0" w:line="20" w:lineRule="atLeast"/>
        <w:jc w:val="both"/>
        <w:rPr>
          <w:rFonts w:cstheme="minorHAnsi"/>
        </w:rPr>
      </w:pPr>
      <w:r w:rsidRPr="006B0B81">
        <w:rPr>
          <w:rFonts w:cstheme="minorHAnsi"/>
        </w:rPr>
        <w:t xml:space="preserve">• assistenza domiciliare integrata; </w:t>
      </w:r>
    </w:p>
    <w:p w:rsidR="00925B9D" w:rsidRDefault="006543BA" w:rsidP="006543BA">
      <w:pPr>
        <w:spacing w:after="0" w:line="20" w:lineRule="atLeast"/>
        <w:jc w:val="both"/>
        <w:rPr>
          <w:rFonts w:cstheme="minorHAnsi"/>
        </w:rPr>
      </w:pPr>
      <w:r w:rsidRPr="006B0B81">
        <w:rPr>
          <w:rFonts w:cstheme="minorHAnsi"/>
        </w:rPr>
        <w:t xml:space="preserve">• farmacia/farmacia dei servizi; </w:t>
      </w:r>
    </w:p>
    <w:p w:rsidR="00925B9D" w:rsidRDefault="006543BA" w:rsidP="006543BA">
      <w:pPr>
        <w:spacing w:after="0" w:line="20" w:lineRule="atLeast"/>
        <w:jc w:val="both"/>
        <w:rPr>
          <w:rFonts w:cstheme="minorHAnsi"/>
        </w:rPr>
      </w:pPr>
      <w:r w:rsidRPr="006B0B81">
        <w:rPr>
          <w:rFonts w:cstheme="minorHAnsi"/>
        </w:rPr>
        <w:t xml:space="preserve">• consultorio familiare; </w:t>
      </w:r>
    </w:p>
    <w:p w:rsidR="00925B9D" w:rsidRDefault="006543BA" w:rsidP="006543BA">
      <w:pPr>
        <w:spacing w:after="0" w:line="20" w:lineRule="atLeast"/>
        <w:jc w:val="both"/>
        <w:rPr>
          <w:rFonts w:cstheme="minorHAnsi"/>
        </w:rPr>
      </w:pPr>
      <w:r w:rsidRPr="006B0B81">
        <w:rPr>
          <w:rFonts w:cstheme="minorHAnsi"/>
        </w:rPr>
        <w:t xml:space="preserve">• servizi ambulatoriali per le dipendenze (Ser.D. o S.M.I.); </w:t>
      </w:r>
    </w:p>
    <w:p w:rsidR="00925B9D" w:rsidRDefault="006543BA" w:rsidP="006543BA">
      <w:pPr>
        <w:spacing w:after="0" w:line="20" w:lineRule="atLeast"/>
        <w:jc w:val="both"/>
        <w:rPr>
          <w:rFonts w:cstheme="minorHAnsi"/>
        </w:rPr>
      </w:pPr>
      <w:r w:rsidRPr="006B0B81">
        <w:rPr>
          <w:rFonts w:cstheme="minorHAnsi"/>
        </w:rPr>
        <w:t xml:space="preserve">• servizi sociali dei Comuni; </w:t>
      </w:r>
    </w:p>
    <w:p w:rsidR="00925B9D" w:rsidRDefault="006543BA" w:rsidP="006543BA">
      <w:pPr>
        <w:spacing w:after="0" w:line="20" w:lineRule="atLeast"/>
        <w:jc w:val="both"/>
        <w:rPr>
          <w:rFonts w:cstheme="minorHAnsi"/>
        </w:rPr>
      </w:pPr>
      <w:r w:rsidRPr="006B0B81">
        <w:rPr>
          <w:rFonts w:cstheme="minorHAnsi"/>
        </w:rPr>
        <w:t xml:space="preserve">• sportello informativo di natura sociale; </w:t>
      </w:r>
    </w:p>
    <w:p w:rsidR="00925B9D" w:rsidRDefault="006543BA" w:rsidP="006543BA">
      <w:pPr>
        <w:spacing w:after="0" w:line="20" w:lineRule="atLeast"/>
        <w:jc w:val="both"/>
        <w:rPr>
          <w:rFonts w:cstheme="minorHAnsi"/>
        </w:rPr>
      </w:pPr>
      <w:r w:rsidRPr="006B0B81">
        <w:rPr>
          <w:rFonts w:cstheme="minorHAnsi"/>
        </w:rPr>
        <w:t xml:space="preserve">• spazi per la presenza di associazioni territoriali, nel rispetto dei principi di economicità, trasparenza e imparzialità. </w:t>
      </w:r>
    </w:p>
    <w:p w:rsidR="00925B9D" w:rsidRDefault="006543BA" w:rsidP="006543BA">
      <w:pPr>
        <w:spacing w:after="0" w:line="20" w:lineRule="atLeast"/>
        <w:jc w:val="both"/>
        <w:rPr>
          <w:rFonts w:cstheme="minorHAnsi"/>
        </w:rPr>
      </w:pPr>
      <w:r w:rsidRPr="006B0B81">
        <w:rPr>
          <w:rFonts w:cstheme="minorHAnsi"/>
        </w:rPr>
        <w:t xml:space="preserve">Le attività dei PreSST possono coesistere e integrarsi negli spazi con le seguenti attività autorizzate e accreditate nelle rispettive unità d’offerta di carattere sanitario (per le quali dovranno mantenersi i requisiti già previsti), ovvero: </w:t>
      </w:r>
    </w:p>
    <w:p w:rsidR="00925B9D" w:rsidRDefault="006543BA" w:rsidP="006543BA">
      <w:pPr>
        <w:spacing w:after="0" w:line="20" w:lineRule="atLeast"/>
        <w:jc w:val="both"/>
        <w:rPr>
          <w:rFonts w:cstheme="minorHAnsi"/>
        </w:rPr>
      </w:pPr>
      <w:r w:rsidRPr="006B0B81">
        <w:rPr>
          <w:rFonts w:cstheme="minorHAnsi"/>
        </w:rPr>
        <w:t xml:space="preserve">• macroattività ambulatoriali complesse (MAC); </w:t>
      </w:r>
    </w:p>
    <w:p w:rsidR="00925B9D" w:rsidRDefault="006543BA" w:rsidP="006543BA">
      <w:pPr>
        <w:spacing w:after="0" w:line="20" w:lineRule="atLeast"/>
        <w:jc w:val="both"/>
        <w:rPr>
          <w:rFonts w:cstheme="minorHAnsi"/>
        </w:rPr>
      </w:pPr>
      <w:r w:rsidRPr="006B0B81">
        <w:rPr>
          <w:rFonts w:cstheme="minorHAnsi"/>
        </w:rPr>
        <w:t xml:space="preserve">• diagnostica di base (punto prelievi, point of care, radiologia tradizionale, ecografia, ecc.); • centri di dialisi territoriali (CAL). </w:t>
      </w:r>
    </w:p>
    <w:p w:rsidR="00925B9D" w:rsidRDefault="006543BA" w:rsidP="006543BA">
      <w:pPr>
        <w:spacing w:after="0" w:line="20" w:lineRule="atLeast"/>
        <w:jc w:val="both"/>
        <w:rPr>
          <w:rFonts w:cstheme="minorHAnsi"/>
        </w:rPr>
      </w:pPr>
      <w:r w:rsidRPr="006B0B81">
        <w:rPr>
          <w:rFonts w:cstheme="minorHAnsi"/>
        </w:rPr>
        <w:t xml:space="preserve">Requisiti minimi del PreSST </w:t>
      </w:r>
    </w:p>
    <w:p w:rsidR="00925B9D" w:rsidRDefault="006543BA" w:rsidP="006543BA">
      <w:pPr>
        <w:spacing w:after="0" w:line="20" w:lineRule="atLeast"/>
        <w:jc w:val="both"/>
        <w:rPr>
          <w:rFonts w:cstheme="minorHAnsi"/>
        </w:rPr>
      </w:pPr>
      <w:r w:rsidRPr="006B0B81">
        <w:rPr>
          <w:rFonts w:cstheme="minorHAnsi"/>
        </w:rPr>
        <w:t xml:space="preserve">Sia pure in una logica di estrema flessibilità strutturale ed organizzativa, i PreSST devono possedere gli standard necessari ad assicurare lo svolgimento delle proprie funzioni. </w:t>
      </w:r>
    </w:p>
    <w:p w:rsidR="00925B9D" w:rsidRDefault="006543BA" w:rsidP="006543BA">
      <w:pPr>
        <w:spacing w:after="0" w:line="20" w:lineRule="atLeast"/>
        <w:jc w:val="both"/>
        <w:rPr>
          <w:rFonts w:cstheme="minorHAnsi"/>
        </w:rPr>
      </w:pPr>
      <w:r w:rsidRPr="006B0B81">
        <w:rPr>
          <w:rFonts w:cstheme="minorHAnsi"/>
        </w:rPr>
        <w:lastRenderedPageBreak/>
        <w:t xml:space="preserve">Requisiti strutturali </w:t>
      </w:r>
    </w:p>
    <w:p w:rsidR="00925B9D" w:rsidRDefault="006543BA" w:rsidP="006543BA">
      <w:pPr>
        <w:spacing w:after="0" w:line="20" w:lineRule="atLeast"/>
        <w:jc w:val="both"/>
        <w:rPr>
          <w:rFonts w:cstheme="minorHAnsi"/>
        </w:rPr>
      </w:pPr>
      <w:r w:rsidRPr="006B0B81">
        <w:rPr>
          <w:rFonts w:cstheme="minorHAnsi"/>
        </w:rPr>
        <w:t xml:space="preserve">Il PreSST, per i servizi di natura sanitaria e sociosanitaria erogati, deve rispettare la normativa di riferimento rispetto ai requisiti organizzativi, strutturali e tecnologici generali di cui al D.P.R. 14 gennaio 1997. </w:t>
      </w:r>
    </w:p>
    <w:p w:rsidR="00925B9D" w:rsidRDefault="006543BA" w:rsidP="006543BA">
      <w:pPr>
        <w:spacing w:after="0" w:line="20" w:lineRule="atLeast"/>
        <w:jc w:val="both"/>
        <w:rPr>
          <w:rFonts w:cstheme="minorHAnsi"/>
        </w:rPr>
      </w:pPr>
      <w:r w:rsidRPr="006B0B81">
        <w:rPr>
          <w:rFonts w:cstheme="minorHAnsi"/>
        </w:rPr>
        <w:t xml:space="preserve">Il PreSST è un presidio territoriale, ovvero un luogo ben identificabile, riconoscibile e di riferimento per i cittadini. </w:t>
      </w:r>
    </w:p>
    <w:p w:rsidR="00925B9D" w:rsidRDefault="006543BA" w:rsidP="006543BA">
      <w:pPr>
        <w:spacing w:after="0" w:line="20" w:lineRule="atLeast"/>
        <w:jc w:val="both"/>
        <w:rPr>
          <w:rFonts w:cstheme="minorHAnsi"/>
        </w:rPr>
      </w:pPr>
      <w:r w:rsidRPr="006B0B81">
        <w:rPr>
          <w:rFonts w:cstheme="minorHAnsi"/>
        </w:rPr>
        <w:t xml:space="preserve">Il PreSST deve prevedere un’area di accesso e un’area per l’erogazione delle prestazioni sanitaria, sociosanitaria e sociali, qualora presenti. L’area di accesso comprende: • area di accoglienza e accettazione; • area di attesa; </w:t>
      </w:r>
    </w:p>
    <w:p w:rsidR="00925B9D" w:rsidRDefault="006543BA" w:rsidP="006543BA">
      <w:pPr>
        <w:spacing w:after="0" w:line="20" w:lineRule="atLeast"/>
        <w:jc w:val="both"/>
        <w:rPr>
          <w:rFonts w:cstheme="minorHAnsi"/>
        </w:rPr>
      </w:pPr>
      <w:r w:rsidRPr="006B0B81">
        <w:rPr>
          <w:rFonts w:cstheme="minorHAnsi"/>
        </w:rPr>
        <w:t xml:space="preserve">• area per le attività amministrative; </w:t>
      </w:r>
    </w:p>
    <w:p w:rsidR="00925B9D" w:rsidRDefault="006543BA" w:rsidP="006543BA">
      <w:pPr>
        <w:spacing w:after="0" w:line="20" w:lineRule="atLeast"/>
        <w:jc w:val="both"/>
        <w:rPr>
          <w:rFonts w:cstheme="minorHAnsi"/>
        </w:rPr>
      </w:pPr>
      <w:r w:rsidRPr="006B0B81">
        <w:rPr>
          <w:rFonts w:cstheme="minorHAnsi"/>
        </w:rPr>
        <w:t xml:space="preserve">• servizi igienici per l’utenza, di cui almeno uno attrezzato per non autosufficienza. </w:t>
      </w:r>
    </w:p>
    <w:p w:rsidR="00925B9D" w:rsidRDefault="006543BA" w:rsidP="006543BA">
      <w:pPr>
        <w:spacing w:after="0" w:line="20" w:lineRule="atLeast"/>
        <w:jc w:val="both"/>
        <w:rPr>
          <w:rFonts w:cstheme="minorHAnsi"/>
        </w:rPr>
      </w:pPr>
      <w:r w:rsidRPr="006B0B81">
        <w:rPr>
          <w:rFonts w:cstheme="minorHAnsi"/>
        </w:rPr>
        <w:t xml:space="preserve">L’area erogativa prevede: • gli studi dei MMG/PLS; • l'area per la presa in carico delle persone disabili e non autosufficienti; </w:t>
      </w:r>
    </w:p>
    <w:p w:rsidR="00925B9D" w:rsidRDefault="006543BA" w:rsidP="006543BA">
      <w:pPr>
        <w:spacing w:after="0" w:line="20" w:lineRule="atLeast"/>
        <w:jc w:val="both"/>
        <w:rPr>
          <w:rFonts w:cstheme="minorHAnsi"/>
        </w:rPr>
      </w:pPr>
      <w:r w:rsidRPr="006B0B81">
        <w:rPr>
          <w:rFonts w:cstheme="minorHAnsi"/>
        </w:rPr>
        <w:t xml:space="preserve">• gli ambulatori e i locali per lo svolgimento delle altre attività eventualmente presenti in ambito sanitario o sociosanitario; </w:t>
      </w:r>
    </w:p>
    <w:p w:rsidR="00925B9D" w:rsidRDefault="006543BA" w:rsidP="006543BA">
      <w:pPr>
        <w:spacing w:after="0" w:line="20" w:lineRule="atLeast"/>
        <w:jc w:val="both"/>
        <w:rPr>
          <w:rFonts w:cstheme="minorHAnsi"/>
        </w:rPr>
      </w:pPr>
      <w:r w:rsidRPr="006B0B81">
        <w:rPr>
          <w:rFonts w:cstheme="minorHAnsi"/>
        </w:rPr>
        <w:t xml:space="preserve">• i locali per le attività sociali, qualora presenti. </w:t>
      </w:r>
    </w:p>
    <w:p w:rsidR="00925B9D" w:rsidRDefault="006543BA" w:rsidP="006543BA">
      <w:pPr>
        <w:spacing w:after="0" w:line="20" w:lineRule="atLeast"/>
        <w:jc w:val="both"/>
        <w:rPr>
          <w:rFonts w:cstheme="minorHAnsi"/>
        </w:rPr>
      </w:pPr>
      <w:r w:rsidRPr="006B0B81">
        <w:rPr>
          <w:rFonts w:cstheme="minorHAnsi"/>
        </w:rPr>
        <w:t xml:space="preserve">Gli spazi e i locali devono possedere i requisiti già previsti dalla vigente normativa di settore e devono essere idonei a garantire il rispetto dei requisiti di autorizzazione e accreditamento per le attività svolte. Requisiti organizzativi. </w:t>
      </w:r>
    </w:p>
    <w:p w:rsidR="00925B9D" w:rsidRDefault="006543BA" w:rsidP="006543BA">
      <w:pPr>
        <w:spacing w:after="0" w:line="20" w:lineRule="atLeast"/>
        <w:jc w:val="both"/>
        <w:rPr>
          <w:rFonts w:cstheme="minorHAnsi"/>
        </w:rPr>
      </w:pPr>
      <w:r w:rsidRPr="006B0B81">
        <w:rPr>
          <w:rFonts w:cstheme="minorHAnsi"/>
        </w:rPr>
        <w:t xml:space="preserve">Ciascun servizio sanitario o sociosanitario presente nel PreSST opera applicando i requisiti di autorizzazione e accreditamento previsti dalla normativa per la specifica attività. Il responsabile sanitario del PreSST deve essere in possesso di laurea in medicina e chirurgia e può essere responsabile di più PreSST presenti nella stessa azienda. Il coordinamento delle attività è garantito da una figura individuata dal legale rappresentante. Per ciascun PreSST sono definite: </w:t>
      </w:r>
    </w:p>
    <w:p w:rsidR="00925B9D" w:rsidRDefault="006543BA" w:rsidP="006543BA">
      <w:pPr>
        <w:spacing w:after="0" w:line="20" w:lineRule="atLeast"/>
        <w:jc w:val="both"/>
        <w:rPr>
          <w:rFonts w:cstheme="minorHAnsi"/>
        </w:rPr>
      </w:pPr>
      <w:r w:rsidRPr="006B0B81">
        <w:rPr>
          <w:rFonts w:cstheme="minorHAnsi"/>
        </w:rPr>
        <w:t xml:space="preserve">• le funzioni del responsabile sanitario; </w:t>
      </w:r>
    </w:p>
    <w:p w:rsidR="00925B9D" w:rsidRDefault="006543BA" w:rsidP="006543BA">
      <w:pPr>
        <w:spacing w:after="0" w:line="20" w:lineRule="atLeast"/>
        <w:jc w:val="both"/>
        <w:rPr>
          <w:rFonts w:cstheme="minorHAnsi"/>
        </w:rPr>
      </w:pPr>
      <w:r w:rsidRPr="006B0B81">
        <w:rPr>
          <w:rFonts w:cstheme="minorHAnsi"/>
        </w:rPr>
        <w:t xml:space="preserve">• le funzioni del coordinatore; </w:t>
      </w:r>
    </w:p>
    <w:p w:rsidR="00925B9D" w:rsidRDefault="006543BA" w:rsidP="006543BA">
      <w:pPr>
        <w:spacing w:after="0" w:line="20" w:lineRule="atLeast"/>
        <w:jc w:val="both"/>
        <w:rPr>
          <w:rFonts w:cstheme="minorHAnsi"/>
        </w:rPr>
      </w:pPr>
      <w:r w:rsidRPr="006B0B81">
        <w:rPr>
          <w:rFonts w:cstheme="minorHAnsi"/>
        </w:rPr>
        <w:t xml:space="preserve">• le modalità di coordinamento delle attività e il raccordo con i soggetti presenti interni ed esterni che sono coinvolti nel PreSST attraverso un documento aziendale validato dalla direzione; </w:t>
      </w:r>
    </w:p>
    <w:p w:rsidR="00925B9D" w:rsidRDefault="006543BA" w:rsidP="006543BA">
      <w:pPr>
        <w:spacing w:after="0" w:line="20" w:lineRule="atLeast"/>
        <w:jc w:val="both"/>
        <w:rPr>
          <w:rFonts w:cstheme="minorHAnsi"/>
        </w:rPr>
      </w:pPr>
      <w:r w:rsidRPr="006B0B81">
        <w:rPr>
          <w:rFonts w:cstheme="minorHAnsi"/>
        </w:rPr>
        <w:t xml:space="preserve">• la procedura per la supervisione e il monitoraggio del corretto svolgimento delle varie funzioni all’interno del PreSST stesso (tempistiche, occupazione degli ambulatori, rotazione del personale, strumentistica, etc.); • le procedure operative ritenute necessarie all’organizzazione per ogni singola area di intervento; </w:t>
      </w:r>
    </w:p>
    <w:p w:rsidR="00925B9D" w:rsidRDefault="006543BA" w:rsidP="006543BA">
      <w:pPr>
        <w:spacing w:after="0" w:line="20" w:lineRule="atLeast"/>
        <w:jc w:val="both"/>
        <w:rPr>
          <w:rFonts w:cstheme="minorHAnsi"/>
        </w:rPr>
      </w:pPr>
      <w:r w:rsidRPr="006B0B81">
        <w:rPr>
          <w:rFonts w:cstheme="minorHAnsi"/>
        </w:rPr>
        <w:t xml:space="preserve">• le modalità di coordinamento, nel rispetto della normativa vigente, dei sistemi informativi utilizzati dai vari soggetti. </w:t>
      </w:r>
    </w:p>
    <w:p w:rsidR="0059319B" w:rsidRDefault="006543BA" w:rsidP="006543BA">
      <w:pPr>
        <w:spacing w:after="0" w:line="20" w:lineRule="atLeast"/>
        <w:jc w:val="both"/>
        <w:rPr>
          <w:rFonts w:cstheme="minorHAnsi"/>
        </w:rPr>
      </w:pPr>
      <w:r w:rsidRPr="006B0B81">
        <w:rPr>
          <w:rFonts w:cstheme="minorHAnsi"/>
        </w:rPr>
        <w:t>Il punto di accoglienza deve prevedere l’apertura giornaliera per almeno 5 giorni a settimana ad esclusione delle giornate festive.</w:t>
      </w:r>
    </w:p>
    <w:p w:rsidR="0059319B" w:rsidRDefault="006543BA" w:rsidP="006543BA">
      <w:pPr>
        <w:spacing w:after="0" w:line="20" w:lineRule="atLeast"/>
        <w:jc w:val="both"/>
        <w:rPr>
          <w:rFonts w:cstheme="minorHAnsi"/>
        </w:rPr>
      </w:pPr>
      <w:r w:rsidRPr="006B0B81">
        <w:rPr>
          <w:rFonts w:cstheme="minorHAnsi"/>
        </w:rPr>
        <w:t>L’orario di apertura è stabilito sulla base delle esigenze del territorio in accordo con la ATS.</w:t>
      </w:r>
    </w:p>
    <w:p w:rsidR="0059319B" w:rsidRDefault="006543BA" w:rsidP="006543BA">
      <w:pPr>
        <w:spacing w:after="0" w:line="20" w:lineRule="atLeast"/>
        <w:jc w:val="both"/>
        <w:rPr>
          <w:rFonts w:cstheme="minorHAnsi"/>
        </w:rPr>
      </w:pPr>
      <w:r w:rsidRPr="006B0B81">
        <w:rPr>
          <w:rFonts w:cstheme="minorHAnsi"/>
        </w:rPr>
        <w:t xml:space="preserve"> POT – Presidio Ospedaliero Territoriale </w:t>
      </w:r>
    </w:p>
    <w:p w:rsidR="0059319B" w:rsidRDefault="006543BA" w:rsidP="006543BA">
      <w:pPr>
        <w:spacing w:after="0" w:line="20" w:lineRule="atLeast"/>
        <w:jc w:val="both"/>
        <w:rPr>
          <w:rFonts w:cstheme="minorHAnsi"/>
        </w:rPr>
      </w:pPr>
      <w:r w:rsidRPr="006B0B81">
        <w:rPr>
          <w:rFonts w:cstheme="minorHAnsi"/>
        </w:rPr>
        <w:t xml:space="preserve">La l.r. 33/2009 definisce i POT quali “strutture multi servizio deputate all’erogazione di prestazioni residenziali sanitarie e sociosanitarie a media e bassa intensità per acuti e cronici e di prestazioni ambulatoriali e domiciliari”. </w:t>
      </w:r>
    </w:p>
    <w:p w:rsidR="0059319B" w:rsidRDefault="006543BA" w:rsidP="006543BA">
      <w:pPr>
        <w:spacing w:after="0" w:line="20" w:lineRule="atLeast"/>
        <w:jc w:val="both"/>
        <w:rPr>
          <w:rFonts w:cstheme="minorHAnsi"/>
        </w:rPr>
      </w:pPr>
      <w:r w:rsidRPr="006B0B81">
        <w:rPr>
          <w:rFonts w:cstheme="minorHAnsi"/>
        </w:rPr>
        <w:t>Come ribadito nella D.G.R. n. X/6551 del 04/05/2017, i POT sono strutture a valenza territoriale per la gestione ed erogazione di servizi di carattere sanitario, sociosanitario con forte connessione alla componente sociale rivolti a pazienti cronici, prevalentemente complessi e fragili.</w:t>
      </w:r>
    </w:p>
    <w:p w:rsidR="0059319B" w:rsidRDefault="006543BA" w:rsidP="006543BA">
      <w:pPr>
        <w:spacing w:after="0" w:line="20" w:lineRule="atLeast"/>
        <w:jc w:val="both"/>
        <w:rPr>
          <w:rFonts w:cstheme="minorHAnsi"/>
        </w:rPr>
      </w:pPr>
      <w:r w:rsidRPr="006B0B81">
        <w:rPr>
          <w:rFonts w:cstheme="minorHAnsi"/>
        </w:rPr>
        <w:t>Rappresentano un nodo funzionale della rete dei servizi di diagnosi, cura e assistenza dei pazienti cronici, anche per malati problematici con bisogni complessi, che devono effettuare ripetuti controlli dello stato di salute per evitare lo scompenso della malattia e che richiedono quindi molteplici servizi e livelli di assistenza del sistema sanitario e sociosanitario.</w:t>
      </w:r>
    </w:p>
    <w:p w:rsidR="0059319B" w:rsidRDefault="006543BA" w:rsidP="006543BA">
      <w:pPr>
        <w:spacing w:after="0" w:line="20" w:lineRule="atLeast"/>
        <w:jc w:val="both"/>
        <w:rPr>
          <w:rFonts w:cstheme="minorHAnsi"/>
        </w:rPr>
      </w:pPr>
      <w:r w:rsidRPr="006B0B81">
        <w:rPr>
          <w:rFonts w:cstheme="minorHAnsi"/>
        </w:rPr>
        <w:t xml:space="preserve">I POT devono operare integrando i servizi di tipo sanitario ospedalieri, domiciliari, ambulatoriali e residenziali di media e bassa intensità, con i servizi tradizionalmente in carico all’ambito sociosanitario e favorendo l’integrazione e la comunicazione tra gli operatori sul singolo percorso. </w:t>
      </w:r>
    </w:p>
    <w:p w:rsidR="0059319B" w:rsidRDefault="006543BA" w:rsidP="006543BA">
      <w:pPr>
        <w:spacing w:after="0" w:line="20" w:lineRule="atLeast"/>
        <w:jc w:val="both"/>
        <w:rPr>
          <w:rFonts w:cstheme="minorHAnsi"/>
        </w:rPr>
      </w:pPr>
      <w:r w:rsidRPr="006B0B81">
        <w:rPr>
          <w:rFonts w:cstheme="minorHAnsi"/>
        </w:rPr>
        <w:t xml:space="preserve">A tal fine, oltre ai medici specialisti, i POT possono avvalersi dei MMG/PLS che partecipano all’interno della struttura alla gestione sanitaria dei propri pazienti ricoverati con differenti livelli di collaborazione, nell’ambito di accordi specifici stipulati con l’ASST e con l’ATS di riferimento. </w:t>
      </w:r>
    </w:p>
    <w:p w:rsidR="005163FB" w:rsidRDefault="006543BA" w:rsidP="006543BA">
      <w:pPr>
        <w:spacing w:after="0" w:line="20" w:lineRule="atLeast"/>
        <w:jc w:val="both"/>
        <w:rPr>
          <w:rFonts w:cstheme="minorHAnsi"/>
        </w:rPr>
      </w:pPr>
      <w:r w:rsidRPr="006B0B81">
        <w:rPr>
          <w:rFonts w:cstheme="minorHAnsi"/>
        </w:rPr>
        <w:lastRenderedPageBreak/>
        <w:t xml:space="preserve">Si configurano prevalentemente come strutture residenziali volte ad assicurare una risposta temporanea per livelli di assistenza più complessi di quelli dei PreSST e devono assicurare l’attività di degenza di comunità. Deve, inoltre, essere assicurato un punto di accoglienza che fornisca, oltre ai servizi amministrativi di supporto, informazioni e orientamento ai servizi sanitari, sociosanitari e sociali del territorio. </w:t>
      </w:r>
    </w:p>
    <w:p w:rsidR="005163FB" w:rsidRDefault="006543BA" w:rsidP="006543BA">
      <w:pPr>
        <w:spacing w:after="0" w:line="20" w:lineRule="atLeast"/>
        <w:jc w:val="both"/>
        <w:rPr>
          <w:rFonts w:cstheme="minorHAnsi"/>
        </w:rPr>
      </w:pPr>
      <w:r w:rsidRPr="006B0B81">
        <w:rPr>
          <w:rFonts w:cstheme="minorHAnsi"/>
        </w:rPr>
        <w:t xml:space="preserve">In funzione dell’assetto della struttura, il POT può erogare altre attività complementari tra le quali ad esempio le cure palliative e le attività già previste nei PreSST. </w:t>
      </w:r>
    </w:p>
    <w:p w:rsidR="005163FB" w:rsidRDefault="006543BA" w:rsidP="006543BA">
      <w:pPr>
        <w:spacing w:after="0" w:line="20" w:lineRule="atLeast"/>
        <w:jc w:val="both"/>
        <w:rPr>
          <w:rFonts w:cstheme="minorHAnsi"/>
        </w:rPr>
      </w:pPr>
      <w:r w:rsidRPr="006B0B81">
        <w:rPr>
          <w:rFonts w:cstheme="minorHAnsi"/>
        </w:rPr>
        <w:t xml:space="preserve">Si accede ai POT: </w:t>
      </w:r>
    </w:p>
    <w:p w:rsidR="005163FB" w:rsidRDefault="006543BA" w:rsidP="006543BA">
      <w:pPr>
        <w:spacing w:after="0" w:line="20" w:lineRule="atLeast"/>
        <w:jc w:val="both"/>
        <w:rPr>
          <w:rFonts w:cstheme="minorHAnsi"/>
        </w:rPr>
      </w:pPr>
      <w:r w:rsidRPr="006B0B81">
        <w:rPr>
          <w:rFonts w:cstheme="minorHAnsi"/>
        </w:rPr>
        <w:t xml:space="preserve">• su invio da parte del MMG (ad esempio pazienti cronici con riacutizzazioni o con bisogni sociosanitari complessi, ecc.); </w:t>
      </w:r>
    </w:p>
    <w:p w:rsidR="005163FB" w:rsidRDefault="006543BA" w:rsidP="006543BA">
      <w:pPr>
        <w:spacing w:after="0" w:line="20" w:lineRule="atLeast"/>
        <w:jc w:val="both"/>
        <w:rPr>
          <w:rFonts w:cstheme="minorHAnsi"/>
        </w:rPr>
      </w:pPr>
      <w:r w:rsidRPr="006B0B81">
        <w:rPr>
          <w:rFonts w:cstheme="minorHAnsi"/>
        </w:rPr>
        <w:t xml:space="preserve">• su invio da parte di servizi specialistici (accesso da ambulatorio, dal PS o in dimissione da un ricovero); </w:t>
      </w:r>
    </w:p>
    <w:p w:rsidR="005163FB" w:rsidRDefault="006543BA" w:rsidP="006543BA">
      <w:pPr>
        <w:spacing w:after="0" w:line="20" w:lineRule="atLeast"/>
        <w:jc w:val="both"/>
        <w:rPr>
          <w:rFonts w:cstheme="minorHAnsi"/>
        </w:rPr>
      </w:pPr>
      <w:r w:rsidRPr="006B0B81">
        <w:rPr>
          <w:rFonts w:cstheme="minorHAnsi"/>
        </w:rPr>
        <w:t xml:space="preserve">• su invio dei responsabili dei PreSST. </w:t>
      </w:r>
    </w:p>
    <w:p w:rsidR="005163FB" w:rsidRDefault="006543BA" w:rsidP="006543BA">
      <w:pPr>
        <w:spacing w:after="0" w:line="20" w:lineRule="atLeast"/>
        <w:jc w:val="both"/>
        <w:rPr>
          <w:rFonts w:cstheme="minorHAnsi"/>
        </w:rPr>
      </w:pPr>
      <w:r w:rsidRPr="006B0B81">
        <w:rPr>
          <w:rFonts w:cstheme="minorHAnsi"/>
        </w:rPr>
        <w:t>I criteri clinici e organizzativi da utilizzare per definire le modalità di accesso al POT in relazione alle attività e alle specializzazioni accreditate sono definiti in accordo con l’ATS di competenza.</w:t>
      </w:r>
    </w:p>
    <w:p w:rsidR="005163FB" w:rsidRDefault="006543BA" w:rsidP="006543BA">
      <w:pPr>
        <w:spacing w:after="0" w:line="20" w:lineRule="atLeast"/>
        <w:jc w:val="both"/>
        <w:rPr>
          <w:rFonts w:cstheme="minorHAnsi"/>
        </w:rPr>
      </w:pPr>
      <w:r w:rsidRPr="006B0B81">
        <w:rPr>
          <w:rFonts w:cstheme="minorHAnsi"/>
        </w:rPr>
        <w:t xml:space="preserve"> Requisiti del POT </w:t>
      </w:r>
    </w:p>
    <w:p w:rsidR="005163FB" w:rsidRDefault="006543BA" w:rsidP="006543BA">
      <w:pPr>
        <w:spacing w:after="0" w:line="20" w:lineRule="atLeast"/>
        <w:jc w:val="both"/>
        <w:rPr>
          <w:rFonts w:cstheme="minorHAnsi"/>
        </w:rPr>
      </w:pPr>
      <w:r w:rsidRPr="006B0B81">
        <w:rPr>
          <w:rFonts w:cstheme="minorHAnsi"/>
        </w:rPr>
        <w:t xml:space="preserve">Sia pure in una logica di estrema flessibilità strutturale ed organizzativa, i POT devono possedere gli standard necessari ad assicurare parte dei servizi di primo livello. Il POT deve possedere i requisiti generali autorizzativi e di accreditamento previsti dal D.P.R. 14 gennaio 1997 e dalla D.G.R. n. 38133/98 e s.m.i. </w:t>
      </w:r>
    </w:p>
    <w:p w:rsidR="005163FB" w:rsidRDefault="006543BA" w:rsidP="006543BA">
      <w:pPr>
        <w:spacing w:after="0" w:line="20" w:lineRule="atLeast"/>
        <w:jc w:val="both"/>
        <w:rPr>
          <w:rFonts w:cstheme="minorHAnsi"/>
        </w:rPr>
      </w:pPr>
      <w:r w:rsidRPr="006B0B81">
        <w:rPr>
          <w:rFonts w:cstheme="minorHAnsi"/>
        </w:rPr>
        <w:t>Requisiti strutturali specifici</w:t>
      </w:r>
    </w:p>
    <w:p w:rsidR="005163FB" w:rsidRDefault="006543BA" w:rsidP="006543BA">
      <w:pPr>
        <w:spacing w:after="0" w:line="20" w:lineRule="atLeast"/>
        <w:jc w:val="both"/>
        <w:rPr>
          <w:rFonts w:cstheme="minorHAnsi"/>
        </w:rPr>
      </w:pPr>
      <w:r w:rsidRPr="006B0B81">
        <w:rPr>
          <w:rFonts w:cstheme="minorHAnsi"/>
        </w:rPr>
        <w:t xml:space="preserve"> Il POT deve prevedere un’area di accoglienza e un’area sanitaria/sociosanitaria. </w:t>
      </w:r>
    </w:p>
    <w:p w:rsidR="005163FB" w:rsidRDefault="006543BA" w:rsidP="006543BA">
      <w:pPr>
        <w:spacing w:after="0" w:line="20" w:lineRule="atLeast"/>
        <w:jc w:val="both"/>
        <w:rPr>
          <w:rFonts w:cstheme="minorHAnsi"/>
        </w:rPr>
      </w:pPr>
      <w:r w:rsidRPr="006B0B81">
        <w:rPr>
          <w:rFonts w:cstheme="minorHAnsi"/>
        </w:rPr>
        <w:t xml:space="preserve">Area di accoglienza: </w:t>
      </w:r>
    </w:p>
    <w:p w:rsidR="005163FB" w:rsidRDefault="006543BA" w:rsidP="006543BA">
      <w:pPr>
        <w:spacing w:after="0" w:line="20" w:lineRule="atLeast"/>
        <w:jc w:val="both"/>
        <w:rPr>
          <w:rFonts w:cstheme="minorHAnsi"/>
        </w:rPr>
      </w:pPr>
      <w:r w:rsidRPr="006B0B81">
        <w:rPr>
          <w:rFonts w:cstheme="minorHAnsi"/>
        </w:rPr>
        <w:t xml:space="preserve">• spazio accoglienza ed accettazione; </w:t>
      </w:r>
    </w:p>
    <w:p w:rsidR="005163FB" w:rsidRDefault="006543BA" w:rsidP="006543BA">
      <w:pPr>
        <w:spacing w:after="0" w:line="20" w:lineRule="atLeast"/>
        <w:jc w:val="both"/>
        <w:rPr>
          <w:rFonts w:cstheme="minorHAnsi"/>
        </w:rPr>
      </w:pPr>
      <w:r w:rsidRPr="006B0B81">
        <w:rPr>
          <w:rFonts w:cstheme="minorHAnsi"/>
        </w:rPr>
        <w:t xml:space="preserve">• spazio per attesa; </w:t>
      </w:r>
    </w:p>
    <w:p w:rsidR="005163FB" w:rsidRDefault="006543BA" w:rsidP="006543BA">
      <w:pPr>
        <w:spacing w:after="0" w:line="20" w:lineRule="atLeast"/>
        <w:jc w:val="both"/>
        <w:rPr>
          <w:rFonts w:cstheme="minorHAnsi"/>
        </w:rPr>
      </w:pPr>
      <w:r w:rsidRPr="006B0B81">
        <w:rPr>
          <w:rFonts w:cstheme="minorHAnsi"/>
        </w:rPr>
        <w:t>• servizi igienici per utenza esterna di cui almeno uno attrezzato per non autosufficienza.</w:t>
      </w:r>
    </w:p>
    <w:p w:rsidR="005163FB" w:rsidRDefault="006543BA" w:rsidP="006543BA">
      <w:pPr>
        <w:spacing w:after="0" w:line="20" w:lineRule="atLeast"/>
        <w:jc w:val="both"/>
        <w:rPr>
          <w:rFonts w:cstheme="minorHAnsi"/>
        </w:rPr>
      </w:pPr>
      <w:r w:rsidRPr="006B0B81">
        <w:rPr>
          <w:rFonts w:cstheme="minorHAnsi"/>
        </w:rPr>
        <w:t xml:space="preserve"> Area sanitaria e sociosanitaria comprendente: </w:t>
      </w:r>
    </w:p>
    <w:p w:rsidR="005163FB" w:rsidRDefault="006543BA" w:rsidP="006543BA">
      <w:pPr>
        <w:spacing w:after="0" w:line="20" w:lineRule="atLeast"/>
        <w:jc w:val="both"/>
        <w:rPr>
          <w:rFonts w:cstheme="minorHAnsi"/>
        </w:rPr>
      </w:pPr>
      <w:r w:rsidRPr="006B0B81">
        <w:rPr>
          <w:rFonts w:cstheme="minorHAnsi"/>
        </w:rPr>
        <w:t xml:space="preserve">• area di residenzialità (degenze di comunità); </w:t>
      </w:r>
    </w:p>
    <w:p w:rsidR="005163FB" w:rsidRDefault="006543BA" w:rsidP="006543BA">
      <w:pPr>
        <w:spacing w:after="0" w:line="20" w:lineRule="atLeast"/>
        <w:jc w:val="both"/>
        <w:rPr>
          <w:rFonts w:cstheme="minorHAnsi"/>
        </w:rPr>
      </w:pPr>
      <w:r w:rsidRPr="006B0B81">
        <w:rPr>
          <w:rFonts w:cstheme="minorHAnsi"/>
        </w:rPr>
        <w:t xml:space="preserve">• area per le altre attività. </w:t>
      </w:r>
    </w:p>
    <w:p w:rsidR="005163FB" w:rsidRDefault="006543BA" w:rsidP="006543BA">
      <w:pPr>
        <w:spacing w:after="0" w:line="20" w:lineRule="atLeast"/>
        <w:jc w:val="both"/>
        <w:rPr>
          <w:rFonts w:cstheme="minorHAnsi"/>
        </w:rPr>
      </w:pPr>
      <w:r w:rsidRPr="006B0B81">
        <w:rPr>
          <w:rFonts w:cstheme="minorHAnsi"/>
        </w:rPr>
        <w:t>Tutte le attività erogate devono osservare i requisiti organizzativi, gestionali, strutturali e tecnologici generali e specifici previsti dalla vigente normativa per le attività svolte.</w:t>
      </w:r>
    </w:p>
    <w:p w:rsidR="005163FB" w:rsidRDefault="006543BA" w:rsidP="006543BA">
      <w:pPr>
        <w:spacing w:after="0" w:line="20" w:lineRule="atLeast"/>
        <w:jc w:val="both"/>
        <w:rPr>
          <w:rFonts w:cstheme="minorHAnsi"/>
        </w:rPr>
      </w:pPr>
      <w:r w:rsidRPr="006B0B81">
        <w:rPr>
          <w:rFonts w:cstheme="minorHAnsi"/>
        </w:rPr>
        <w:t xml:space="preserve">Degenze di comunità </w:t>
      </w:r>
    </w:p>
    <w:p w:rsidR="005163FB" w:rsidRDefault="006543BA" w:rsidP="006543BA">
      <w:pPr>
        <w:spacing w:after="0" w:line="20" w:lineRule="atLeast"/>
        <w:jc w:val="both"/>
        <w:rPr>
          <w:rFonts w:cstheme="minorHAnsi"/>
        </w:rPr>
      </w:pPr>
      <w:r w:rsidRPr="006B0B81">
        <w:rPr>
          <w:rFonts w:cstheme="minorHAnsi"/>
        </w:rPr>
        <w:t xml:space="preserve">Le degenze di comunità sono un servizio residenziale territoriale, non ricompreso nell’ambito delle strutture di ricovero di cui al DPCM del 12/01/2017, che eroga degenze di breve durata rivolte a pazienti che necessitano di assistenza infermieristica continuativa e/o di interventi sanitari a bassa intensità clinica non gestibili al domicilio anche a causa del contesto di vita del paziente. </w:t>
      </w:r>
    </w:p>
    <w:p w:rsidR="005163FB" w:rsidRDefault="006543BA" w:rsidP="006543BA">
      <w:pPr>
        <w:spacing w:after="0" w:line="20" w:lineRule="atLeast"/>
        <w:jc w:val="both"/>
        <w:rPr>
          <w:rFonts w:cstheme="minorHAnsi"/>
        </w:rPr>
      </w:pPr>
      <w:r w:rsidRPr="006B0B81">
        <w:rPr>
          <w:rFonts w:cstheme="minorHAnsi"/>
        </w:rPr>
        <w:t xml:space="preserve">L’attività di ricovero, temporaneo ed extra ospedaliero, è destinata a pazienti che provengono da ospedali o dal proprio domicilio in condizioni cliniche tali da non richiedere assistenza ospedaliera per acuti ma che non sono ancora sufficientemente stabilizzate per consentire il rientro al proprio domicilio, necessitando di un periodo di degenza in un contesto che possa fornire un’assistenza adeguata di medio-bassa intensità. </w:t>
      </w:r>
    </w:p>
    <w:p w:rsidR="005163FB" w:rsidRDefault="006543BA" w:rsidP="006543BA">
      <w:pPr>
        <w:spacing w:after="0" w:line="20" w:lineRule="atLeast"/>
        <w:jc w:val="both"/>
        <w:rPr>
          <w:rFonts w:cstheme="minorHAnsi"/>
        </w:rPr>
      </w:pPr>
      <w:r w:rsidRPr="006B0B81">
        <w:rPr>
          <w:rFonts w:cstheme="minorHAnsi"/>
        </w:rPr>
        <w:t xml:space="preserve">Per questi pazienti la struttura ospedaliera per acuti non offrirebbe benefici superiori a quelli che potrebbero ottenere strutture territoriali in grado di assicurare percorsi clinico-assistenziali appropriati per la gestione delle loro condizioni cliniche. </w:t>
      </w:r>
    </w:p>
    <w:p w:rsidR="005D2496" w:rsidRDefault="006543BA" w:rsidP="006543BA">
      <w:pPr>
        <w:spacing w:after="0" w:line="20" w:lineRule="atLeast"/>
        <w:jc w:val="both"/>
        <w:rPr>
          <w:rFonts w:cstheme="minorHAnsi"/>
        </w:rPr>
      </w:pPr>
      <w:r w:rsidRPr="006B0B81">
        <w:rPr>
          <w:rFonts w:cstheme="minorHAnsi"/>
        </w:rPr>
        <w:t>Per rendere l’offerta delle degenze di comunità più omogenea, efficace e funzionale nell’ambito della Regione, è necessario effettuare l’analisi e la revisione delle diverse tipologie di degenza oggi presenti, attraverso la semplificazione dei modelli di presa in carico e di assistenza, tenendo conto anche dei nuovi presidi per l’erogazione delle prestazioni territoriali, POT e PreSST.</w:t>
      </w:r>
    </w:p>
    <w:p w:rsidR="005D2496" w:rsidRDefault="005D2496" w:rsidP="006543BA">
      <w:pPr>
        <w:spacing w:after="0" w:line="20" w:lineRule="atLeast"/>
        <w:jc w:val="both"/>
        <w:rPr>
          <w:rFonts w:cstheme="minorHAnsi"/>
        </w:rPr>
      </w:pPr>
      <w:proofErr w:type="gramStart"/>
      <w:r>
        <w:rPr>
          <w:rFonts w:cstheme="minorHAnsi"/>
        </w:rPr>
        <w:t xml:space="preserve">La </w:t>
      </w:r>
      <w:r w:rsidR="006543BA" w:rsidRPr="006B0B81">
        <w:rPr>
          <w:rFonts w:cstheme="minorHAnsi"/>
        </w:rPr>
        <w:t xml:space="preserve"> Regione</w:t>
      </w:r>
      <w:proofErr w:type="gramEnd"/>
      <w:r w:rsidR="006543BA" w:rsidRPr="006B0B81">
        <w:rPr>
          <w:rFonts w:cstheme="minorHAnsi"/>
        </w:rPr>
        <w:t xml:space="preserve"> Lombardia ha, infatti, sviluppato negli anni diverse forme di degenza che si possono ricondurre oggi al settore delle degenze di comunità o a quello della riabilitazione. </w:t>
      </w:r>
    </w:p>
    <w:p w:rsidR="005D2496" w:rsidRDefault="006543BA" w:rsidP="006543BA">
      <w:pPr>
        <w:spacing w:after="0" w:line="20" w:lineRule="atLeast"/>
        <w:jc w:val="both"/>
        <w:rPr>
          <w:rFonts w:cstheme="minorHAnsi"/>
        </w:rPr>
      </w:pPr>
      <w:r w:rsidRPr="006B0B81">
        <w:rPr>
          <w:rFonts w:cstheme="minorHAnsi"/>
        </w:rPr>
        <w:t xml:space="preserve">Le diverse forme sono nate e sono maturate su due percorsi paralleli che hanno visto coinvolti l’ex Direzione Generale Salute per l’ambito sanitario e l’ex Direzione Generale Famiglia per l’ambito sociosanitario: </w:t>
      </w:r>
    </w:p>
    <w:p w:rsidR="005D2496" w:rsidRDefault="006543BA" w:rsidP="006543BA">
      <w:pPr>
        <w:spacing w:after="0" w:line="20" w:lineRule="atLeast"/>
        <w:jc w:val="both"/>
        <w:rPr>
          <w:rFonts w:cstheme="minorHAnsi"/>
        </w:rPr>
      </w:pPr>
      <w:r w:rsidRPr="006B0B81">
        <w:rPr>
          <w:rFonts w:cstheme="minorHAnsi"/>
        </w:rPr>
        <w:t xml:space="preserve">• in ambito sanitario sono presenti: o le degenze di riabilitazione ospedaliera definite dalla D.G.R. n. VII/19883/2004; o le cure sub-acute, introdotte con la D.G.R. n. IX/937/2010 e poi perfezionate con la D.G.R. n. IX/1479/2011; </w:t>
      </w:r>
    </w:p>
    <w:p w:rsidR="005D2496" w:rsidRDefault="006543BA" w:rsidP="006543BA">
      <w:pPr>
        <w:spacing w:after="0" w:line="20" w:lineRule="atLeast"/>
        <w:jc w:val="both"/>
        <w:rPr>
          <w:rFonts w:cstheme="minorHAnsi"/>
        </w:rPr>
      </w:pPr>
      <w:r w:rsidRPr="006B0B81">
        <w:rPr>
          <w:rFonts w:cstheme="minorHAnsi"/>
        </w:rPr>
        <w:t xml:space="preserve">• in ambito sociosanitario: o le degenze di riabilitazione extra ospedaliera (ex art. 26 legge 833/78), anch’esse definite dalla D.G.R. n. VII/19883/2004; o le cure post acute (D.G.R. n. 3239/2012), poi confluite nel 2014 </w:t>
      </w:r>
      <w:r w:rsidRPr="006B0B81">
        <w:rPr>
          <w:rFonts w:cstheme="minorHAnsi"/>
        </w:rPr>
        <w:lastRenderedPageBreak/>
        <w:t xml:space="preserve">nella rete delle cure intermedie, che comprende anche le strutture di degenza riabilitativa residenziale ex art. 26 (D.G.R. n. X/1185/2013), per cui sono stati introdotti dei requisiti e dei profili sperimentali con la D.G.R. n. X/3383/2015. Più recentemente sono state avviati due progetti sperimentali di servizi di degenza per la gestione appropriata della persona cronica e fragile, per lo più anziana: </w:t>
      </w:r>
    </w:p>
    <w:p w:rsidR="005D2496" w:rsidRDefault="006543BA" w:rsidP="006543BA">
      <w:pPr>
        <w:spacing w:after="0" w:line="20" w:lineRule="atLeast"/>
        <w:jc w:val="both"/>
        <w:rPr>
          <w:rFonts w:cstheme="minorHAnsi"/>
        </w:rPr>
      </w:pPr>
      <w:r w:rsidRPr="006B0B81">
        <w:rPr>
          <w:rFonts w:cstheme="minorHAnsi"/>
        </w:rPr>
        <w:t xml:space="preserve">• il “Progetto sperimentale Punto di Primo Intervento Geriatrico (PRINGE)” presso l’azienda di servizi alla persona Istituti Milanesi Martinitt e Stelline e Pio Albergo Trivulzio di Milano per l’appropriatezza della presa in carico dei pazienti anziani cronici e fragili che accedono al pronto soccorso dell’ASST Fatebenefratelli-Sacco, approvato con la D.G.R. n. X/6503 del 21/04/2017, che ha offerto una risposta al bisogno di grandi anziani che hanno avuto un accesso al pronto soccorso per un evento acuto ma non necessitano di un ricovero ospedaliero e, tuttavia, non sono nelle condizioni di rientrare al domicilio; </w:t>
      </w:r>
    </w:p>
    <w:p w:rsidR="005D2496" w:rsidRDefault="006543BA" w:rsidP="006543BA">
      <w:pPr>
        <w:spacing w:after="0" w:line="20" w:lineRule="atLeast"/>
        <w:jc w:val="both"/>
        <w:rPr>
          <w:rFonts w:cstheme="minorHAnsi"/>
        </w:rPr>
      </w:pPr>
      <w:r w:rsidRPr="006B0B81">
        <w:rPr>
          <w:rFonts w:cstheme="minorHAnsi"/>
        </w:rPr>
        <w:t xml:space="preserve">• il progetto per l’avvio sperimentale di un Servizio Territoriale di Assistenza Residenziale (STAR) presso la Fondazione Richiedei di Gussago (BS), approvato con la D.G.R. n. X/6766 del 22/06/2017, che ha proposto un servizio innovativo di degenza di comunità, caratterizzato dalle cure di personale infermieristico con il coinvolgimento dei medici di medicina generale, quali responsabili della conduzione clinica dell’assistito. A fronte di un quadro di offerta ricco, ma molto variegato per tipologia e distribuzione territoriale, anche tenendo in debita considerazione le indicazioni del D.M. n. 70/2015, la l.r. 33/09 e in aderenza a quanto previsto nei nuovi LEA, si rende necessario ripensare e riordinare tale settore dell’offerta. </w:t>
      </w:r>
    </w:p>
    <w:p w:rsidR="005D2496" w:rsidRDefault="006543BA" w:rsidP="006543BA">
      <w:pPr>
        <w:spacing w:after="0" w:line="20" w:lineRule="atLeast"/>
        <w:jc w:val="both"/>
        <w:rPr>
          <w:rFonts w:cstheme="minorHAnsi"/>
        </w:rPr>
      </w:pPr>
      <w:r w:rsidRPr="006B0B81">
        <w:rPr>
          <w:rFonts w:cstheme="minorHAnsi"/>
        </w:rPr>
        <w:t xml:space="preserve">A tal fine, le degenze sub-acute, post-acute, le cure intermedie ex riabilitazione sociosanitaria di mantenimento e stabilizzazione e la parte delle degenze ex riabilitazione generale e geriatrica rivolta a profili di cura a carattere prevalentemente clinico assistenziale (definita sulla base della casistica trattata e del fabbisogno rilevato dalle ATS) sono ricondotte alle degenze di comunità, con la precisazione che tale ricovero di natura temporanea prevede la valutazione multidimensionale. </w:t>
      </w:r>
    </w:p>
    <w:p w:rsidR="005D2496" w:rsidRDefault="006543BA" w:rsidP="006543BA">
      <w:pPr>
        <w:spacing w:after="0" w:line="20" w:lineRule="atLeast"/>
        <w:jc w:val="both"/>
        <w:rPr>
          <w:rFonts w:cstheme="minorHAnsi"/>
        </w:rPr>
      </w:pPr>
      <w:r w:rsidRPr="006B0B81">
        <w:rPr>
          <w:rFonts w:cstheme="minorHAnsi"/>
        </w:rPr>
        <w:t xml:space="preserve">Modello assistenziale e modalità di presa in carico </w:t>
      </w:r>
    </w:p>
    <w:p w:rsidR="005D2496" w:rsidRDefault="006543BA" w:rsidP="006543BA">
      <w:pPr>
        <w:spacing w:after="0" w:line="20" w:lineRule="atLeast"/>
        <w:jc w:val="both"/>
        <w:rPr>
          <w:rFonts w:cstheme="minorHAnsi"/>
        </w:rPr>
      </w:pPr>
      <w:r w:rsidRPr="006B0B81">
        <w:rPr>
          <w:rFonts w:cstheme="minorHAnsi"/>
        </w:rPr>
        <w:t xml:space="preserve">Le degenze di comunità offrono un’attività di ricovero breve a elevato impegno sanitario, rivolta a pazienti che, a seguito di un episodio di acuzie minore o per la riacutizzazione di patologie croniche, necessitano di un supporto clinico di medio/bassa intensità non erogabile a domicilio, per inidoneità del domicilio stesso (strutturale e/o sociale) o perché necessitano di assistenza o sorveglianza sanitaria infermieristica continuativa, anche notturna. </w:t>
      </w:r>
    </w:p>
    <w:p w:rsidR="005D2496" w:rsidRDefault="006543BA" w:rsidP="006543BA">
      <w:pPr>
        <w:spacing w:after="0" w:line="20" w:lineRule="atLeast"/>
        <w:jc w:val="both"/>
        <w:rPr>
          <w:rFonts w:cstheme="minorHAnsi"/>
        </w:rPr>
      </w:pPr>
      <w:r w:rsidRPr="006B0B81">
        <w:rPr>
          <w:rFonts w:cstheme="minorHAnsi"/>
        </w:rPr>
        <w:t xml:space="preserve">Alla luce delle categorie di pazienti oggi accolti nella rete delle degenze riconducibili alle degenze di comunità e tenuto conto dei relativi standard assistenziali, è possibile individuare due livelli assistenziali così differenziati: </w:t>
      </w:r>
    </w:p>
    <w:p w:rsidR="005D2496" w:rsidRDefault="006543BA" w:rsidP="006543BA">
      <w:pPr>
        <w:spacing w:after="0" w:line="20" w:lineRule="atLeast"/>
        <w:jc w:val="both"/>
        <w:rPr>
          <w:rFonts w:cstheme="minorHAnsi"/>
        </w:rPr>
      </w:pPr>
      <w:r w:rsidRPr="006B0B81">
        <w:rPr>
          <w:rFonts w:cstheme="minorHAnsi"/>
        </w:rPr>
        <w:t xml:space="preserve">• livello base, per pazienti stabilizzati senza necessità riabilitative, provenienti di norma dal domicilio o da reparti di degenza per acuti, che richiedono assistenza e monitoraggio prevalentemente di carattere infermieristico continuo nelle 24 ore giornaliere oppure l’attivazione di un percorso di accompagnamento alla dimissione per pazienti provenienti da una degenza per acuti; </w:t>
      </w:r>
    </w:p>
    <w:p w:rsidR="005D2496" w:rsidRDefault="006543BA" w:rsidP="006543BA">
      <w:pPr>
        <w:spacing w:after="0" w:line="20" w:lineRule="atLeast"/>
        <w:jc w:val="both"/>
        <w:rPr>
          <w:rFonts w:cstheme="minorHAnsi"/>
        </w:rPr>
      </w:pPr>
      <w:r w:rsidRPr="006B0B81">
        <w:rPr>
          <w:rFonts w:cstheme="minorHAnsi"/>
        </w:rPr>
        <w:t xml:space="preserve">• livello avanzato, per pazienti affetti da postumi di un evento acuto o da scompenso clinicamente non complesso di una patologia cronica, che necessitano di supporto medico ed infermieristico nelle 24 ore giornaliere, di procedure diagnostiche e/o terapeutiche di base che non devono essere necessariamente eseguite in un ospedale per acuti e di supporto all’autonomia. </w:t>
      </w:r>
    </w:p>
    <w:p w:rsidR="00EE1F99" w:rsidRDefault="006543BA" w:rsidP="006543BA">
      <w:pPr>
        <w:spacing w:after="0" w:line="20" w:lineRule="atLeast"/>
        <w:jc w:val="both"/>
        <w:rPr>
          <w:rFonts w:cstheme="minorHAnsi"/>
        </w:rPr>
      </w:pPr>
      <w:r w:rsidRPr="006B0B81">
        <w:rPr>
          <w:rFonts w:cstheme="minorHAnsi"/>
        </w:rPr>
        <w:t xml:space="preserve">Operativamente, la degenza di comunità di livello base è organizzata in moduli a gestione infermieristica in grado di garantire l'assistenza infermieristica e tutelare sulle 24 ore giornaliere con intensità e competenze superiori a quanto erogabile al domicilio ed assicurando l'assistenza medica tramite la presenza di medici di medicina generale, di pediatri di libera scelta o di altri medici dedicati che hanno la responsabilità clinica del paziente. </w:t>
      </w:r>
    </w:p>
    <w:p w:rsidR="00EE1F99" w:rsidRDefault="006543BA" w:rsidP="006543BA">
      <w:pPr>
        <w:spacing w:after="0" w:line="20" w:lineRule="atLeast"/>
        <w:jc w:val="both"/>
        <w:rPr>
          <w:rFonts w:cstheme="minorHAnsi"/>
        </w:rPr>
      </w:pPr>
      <w:r w:rsidRPr="006B0B81">
        <w:rPr>
          <w:rFonts w:cstheme="minorHAnsi"/>
        </w:rPr>
        <w:t xml:space="preserve">Il modello organizzativo punta a garantire continuità di cura e assistenza anche in relazione a problematiche socio-ambientali, valorizzando le risorse di rete esistenti, in particolare MMG/PLS e la rete sociosanitaria presenti sul territorio. Le degenze di comunità sono volte ad erogare ricoveri brevi finalizzati a completare il percorso di stabilizzazione e di accompagnamento del paziente verso il domicilio o altre soluzioni di lungodegenza (RSA/RSD) e, pertanto, tali ricoveri non possono essere di norma prolungati con passaggi tra i due livelli se non in casi particolari, adeguatamente motivati e causati da eventi intercorrenti riportati all’interno del FASAS che comportino un cambiamento delle condizioni dell’utente, sempre nel rispetto dei criteri di appropriatezza previsti per il ricovero. </w:t>
      </w:r>
    </w:p>
    <w:p w:rsidR="00EE1F99" w:rsidRDefault="006543BA" w:rsidP="006543BA">
      <w:pPr>
        <w:spacing w:after="0" w:line="20" w:lineRule="atLeast"/>
        <w:jc w:val="both"/>
        <w:rPr>
          <w:rFonts w:cstheme="minorHAnsi"/>
        </w:rPr>
      </w:pPr>
      <w:r w:rsidRPr="006B0B81">
        <w:rPr>
          <w:rFonts w:cstheme="minorHAnsi"/>
        </w:rPr>
        <w:lastRenderedPageBreak/>
        <w:t xml:space="preserve">L’attività è erogata in una struttura pubblica o privata accreditata in possesso dei requisiti strutturali, tecnologici e organizzativi per le finalità che sono ad essa pertinenti che garantiscono la qualità delle cure e la sicurezza dei pazienti, nonché la misurazione dei processi e degli esiti. </w:t>
      </w:r>
    </w:p>
    <w:p w:rsidR="00EE1F99" w:rsidRDefault="006543BA" w:rsidP="006543BA">
      <w:pPr>
        <w:spacing w:after="0" w:line="20" w:lineRule="atLeast"/>
        <w:jc w:val="both"/>
        <w:rPr>
          <w:rFonts w:cstheme="minorHAnsi"/>
        </w:rPr>
      </w:pPr>
      <w:r w:rsidRPr="006B0B81">
        <w:rPr>
          <w:rFonts w:cstheme="minorHAnsi"/>
        </w:rPr>
        <w:t xml:space="preserve">Destinatari </w:t>
      </w:r>
    </w:p>
    <w:p w:rsidR="00EE1F99" w:rsidRDefault="006543BA" w:rsidP="006543BA">
      <w:pPr>
        <w:spacing w:after="0" w:line="20" w:lineRule="atLeast"/>
        <w:jc w:val="both"/>
        <w:rPr>
          <w:rFonts w:cstheme="minorHAnsi"/>
        </w:rPr>
      </w:pPr>
      <w:r w:rsidRPr="006B0B81">
        <w:rPr>
          <w:rFonts w:cstheme="minorHAnsi"/>
        </w:rPr>
        <w:t xml:space="preserve">I destinatari delle degenze di comunità sono prevalentemente anziani e soggetti fragili, con insorgenza/aggravamento di problematiche cliniche acute/subacute o in fase di dimissione ospedaliera, che necessitano di supporto clinico/terapeutico/assistenziale di intensità non gestibile a domicilio, anche finalizzato a prevenire ricoveri ospedalieri inappropriati. </w:t>
      </w:r>
    </w:p>
    <w:p w:rsidR="00EE1F99" w:rsidRDefault="006543BA" w:rsidP="006543BA">
      <w:pPr>
        <w:spacing w:after="0" w:line="20" w:lineRule="atLeast"/>
        <w:jc w:val="both"/>
        <w:rPr>
          <w:rFonts w:cstheme="minorHAnsi"/>
        </w:rPr>
      </w:pPr>
      <w:r w:rsidRPr="006B0B81">
        <w:rPr>
          <w:rFonts w:cstheme="minorHAnsi"/>
        </w:rPr>
        <w:t xml:space="preserve">Le problematiche sanitarie che possono appropriatamente essere prese in carico dalle DdC sono riconducibili alla seguente esemplificazione di tipologie clinico - assistenziali: </w:t>
      </w:r>
    </w:p>
    <w:p w:rsidR="00EE1F99" w:rsidRDefault="006543BA" w:rsidP="006543BA">
      <w:pPr>
        <w:spacing w:after="0" w:line="20" w:lineRule="atLeast"/>
        <w:jc w:val="both"/>
        <w:rPr>
          <w:rFonts w:cstheme="minorHAnsi"/>
        </w:rPr>
      </w:pPr>
      <w:r w:rsidRPr="006B0B81">
        <w:rPr>
          <w:rFonts w:cstheme="minorHAnsi"/>
        </w:rPr>
        <w:t xml:space="preserve">• pazienti affetti da aggravamento dello stato generale di salute (es: infezioni delle vie urinarie, broncopneumopatie croniche in fase di riacutizzazione, broncopolmoniti non complicate) che necessitano di sorveglianza infermieristica continuativa e che richiedono interventi sanitari potenzialmente erogabili a domicilio ma che necessitano di ricovero in mancanza di idoneità del domicilio stesso (per motivi strutturali e/o sociali) o perché senza adeguato supporto familiare e/o pazienti cronici con fragilità dovute a condizioni sociali e sanitarie a carattere temporaneo con possibilità di inserimento nel percorso di domiciliarità; </w:t>
      </w:r>
    </w:p>
    <w:p w:rsidR="00EE1F99" w:rsidRDefault="006543BA" w:rsidP="006543BA">
      <w:pPr>
        <w:spacing w:after="0" w:line="20" w:lineRule="atLeast"/>
        <w:jc w:val="both"/>
        <w:rPr>
          <w:rFonts w:cstheme="minorHAnsi"/>
        </w:rPr>
      </w:pPr>
      <w:r w:rsidRPr="006B0B81">
        <w:rPr>
          <w:rFonts w:cstheme="minorHAnsi"/>
        </w:rPr>
        <w:t xml:space="preserve">• pazienti con patologie croniche riacutizzate e/o dimessi precocemente dopo il primo trattamento, per evitare gli effetti negativi di una prolungata degenza in ospedale tradizionale oppure malati con patologie di tipo evolutivo seguiti periodicamente in collaborazione con i reparti specialistici (es: epatopatie croniche, sindromi da malassorbimento in corso di cicli terapeutici, patologie cardiache croniche dopo una fase di scompenso e in prima dimissione o che necessitano di un monitoraggio continuo non possibile a domicilio, malattie degenerative del sistema nervoso centrale, in accordo con il reparto specialistico, pazienti con ridotta autonomia con necessità di trattamenti non fattibili al domicilio); </w:t>
      </w:r>
    </w:p>
    <w:p w:rsidR="00EE1F99" w:rsidRDefault="006543BA" w:rsidP="006543BA">
      <w:pPr>
        <w:spacing w:after="0" w:line="20" w:lineRule="atLeast"/>
        <w:jc w:val="both"/>
        <w:rPr>
          <w:rFonts w:cstheme="minorHAnsi"/>
        </w:rPr>
      </w:pPr>
      <w:r w:rsidRPr="006B0B81">
        <w:rPr>
          <w:rFonts w:cstheme="minorHAnsi"/>
        </w:rPr>
        <w:t xml:space="preserve">• pazienti dimessi dal ricovero o dai letti di osservazione breve intensiva dei pronto soccorso, o seguiti da reparti ospedalieri specialistici, in fase di proseguimento di terapia curativa e riabilitativa, da effettuarsi sotto controllo sanitario (es: esiti recenti di vasculopatie subacute quali ictus, TIA, tromboflebiti, flebotrombosi, esiti non stabilizzati di traumi, vasculopatie acute cerebrali in corso di riabilitazione, malattie endocrinologiche in corso di scompenso e periodico accertamento, patologie traumatiche non chirurgiche in pazienti cronici). </w:t>
      </w:r>
    </w:p>
    <w:p w:rsidR="00EE1F99" w:rsidRDefault="006543BA" w:rsidP="006543BA">
      <w:pPr>
        <w:spacing w:after="0" w:line="20" w:lineRule="atLeast"/>
        <w:jc w:val="both"/>
        <w:rPr>
          <w:rFonts w:cstheme="minorHAnsi"/>
        </w:rPr>
      </w:pPr>
      <w:r w:rsidRPr="006B0B81">
        <w:rPr>
          <w:rFonts w:cstheme="minorHAnsi"/>
        </w:rPr>
        <w:t xml:space="preserve">A completamento delle prestazioni erogate dalla componente sanitaria, deve essere garantita nel corso del ricovero in DdC la possibilità di accedere a prestazioni sanitarie specialistiche e di specialistica ambulatoriale, l’integrazione con la componente sociale, di competenza degli enti locali, e l’integrazione con la componente sociosanitaria in una logica di presa in carico complessiva dei pazienti, perno dell’evoluzione del SSR. </w:t>
      </w:r>
    </w:p>
    <w:p w:rsidR="00126F9E" w:rsidRDefault="006543BA" w:rsidP="006543BA">
      <w:pPr>
        <w:spacing w:after="0" w:line="20" w:lineRule="atLeast"/>
        <w:jc w:val="both"/>
        <w:rPr>
          <w:rFonts w:cstheme="minorHAnsi"/>
        </w:rPr>
      </w:pPr>
      <w:r w:rsidRPr="006B0B81">
        <w:rPr>
          <w:rFonts w:cstheme="minorHAnsi"/>
        </w:rPr>
        <w:t xml:space="preserve">Tra gli obiettivi primari del ricovero, deve essere posto anche l’empowerment di pazienti e del caregiver, attraverso l’addestramento alla migliore gestione possibile delle nuove condizioni cliniche e terapeutiche e al riconoscimento precoce di eventuali sintomi di instabilità. </w:t>
      </w:r>
    </w:p>
    <w:p w:rsidR="00B22860" w:rsidRDefault="006543BA" w:rsidP="006543BA">
      <w:pPr>
        <w:spacing w:after="0" w:line="20" w:lineRule="atLeast"/>
        <w:jc w:val="both"/>
        <w:rPr>
          <w:rFonts w:cstheme="minorHAnsi"/>
        </w:rPr>
      </w:pPr>
      <w:r w:rsidRPr="006B0B81">
        <w:rPr>
          <w:rFonts w:cstheme="minorHAnsi"/>
        </w:rPr>
        <w:t xml:space="preserve">Le degenze di comunità sono sempre riconducibili all’assistenza territoriale ma possono essere collocate in presidi ospedalieri, POT, unità d’offerta sociosanitarie di RSA o di cure intermedie ex istituti di riabilitazione extra ospedaliera. </w:t>
      </w:r>
    </w:p>
    <w:p w:rsidR="00B22860" w:rsidRDefault="006543BA" w:rsidP="006543BA">
      <w:pPr>
        <w:spacing w:after="0" w:line="20" w:lineRule="atLeast"/>
        <w:jc w:val="both"/>
        <w:rPr>
          <w:rFonts w:cstheme="minorHAnsi"/>
        </w:rPr>
      </w:pPr>
      <w:r w:rsidRPr="006B0B81">
        <w:rPr>
          <w:rFonts w:cstheme="minorHAnsi"/>
        </w:rPr>
        <w:t xml:space="preserve">Il livello avanzato, che prevede la presenza continuativa del medico nelle 24 ore giornaliere in struttura e deve garantire la diagnostica di base (esami ematochimici di base, radiogramma torace/addome in bianco), viene di noma erogato all’interno di presidi ospedalieri, ma può essere attivato presso POT, RSA, strutture di cure intermedie, purché opportunamente attrezzate e riorganizzate per gestire la maggiore complessità della casistica. </w:t>
      </w:r>
    </w:p>
    <w:p w:rsidR="00B22860" w:rsidRDefault="006543BA" w:rsidP="006543BA">
      <w:pPr>
        <w:spacing w:after="0" w:line="20" w:lineRule="atLeast"/>
        <w:jc w:val="both"/>
        <w:rPr>
          <w:rFonts w:cstheme="minorHAnsi"/>
        </w:rPr>
      </w:pPr>
      <w:r w:rsidRPr="006B0B81">
        <w:rPr>
          <w:rFonts w:cstheme="minorHAnsi"/>
        </w:rPr>
        <w:t xml:space="preserve">Queste strutture possono avvalersi delle tecnologie avanzate della telemedicina, della teleassistenza, del teleconsulto e dell’ICT, che consentono loro di organizzarsi in rete per garantire le sinergie e il raccordo tra le diverse unità d’offerta del territorio. </w:t>
      </w:r>
    </w:p>
    <w:p w:rsidR="00B22860" w:rsidRDefault="006543BA" w:rsidP="006543BA">
      <w:pPr>
        <w:spacing w:after="0" w:line="20" w:lineRule="atLeast"/>
        <w:jc w:val="both"/>
        <w:rPr>
          <w:rFonts w:cstheme="minorHAnsi"/>
        </w:rPr>
      </w:pPr>
      <w:r w:rsidRPr="006B0B81">
        <w:rPr>
          <w:rFonts w:cstheme="minorHAnsi"/>
        </w:rPr>
        <w:t xml:space="preserve">Organizzazione dei posti letto Le degenze di comunità sono organizzate in moduli. In ciascun modulo possono essere presenti non più di 20 posti letto che rappresentano la dimensione ottimale. </w:t>
      </w:r>
    </w:p>
    <w:p w:rsidR="00B22860" w:rsidRDefault="006543BA" w:rsidP="006543BA">
      <w:pPr>
        <w:spacing w:after="0" w:line="20" w:lineRule="atLeast"/>
        <w:jc w:val="both"/>
        <w:rPr>
          <w:rFonts w:cstheme="minorHAnsi"/>
        </w:rPr>
      </w:pPr>
      <w:r w:rsidRPr="006B0B81">
        <w:rPr>
          <w:rFonts w:cstheme="minorHAnsi"/>
        </w:rPr>
        <w:t xml:space="preserve">Nella medesima struttura, è possibile prevedere fino ad un massimo di due moduli, per garantire la coerenza rispetto alle finalità, ai destinatari e alle modalità di gestione. </w:t>
      </w:r>
    </w:p>
    <w:p w:rsidR="00B22860" w:rsidRDefault="006543BA" w:rsidP="006543BA">
      <w:pPr>
        <w:spacing w:after="0" w:line="20" w:lineRule="atLeast"/>
        <w:jc w:val="both"/>
        <w:rPr>
          <w:rFonts w:cstheme="minorHAnsi"/>
        </w:rPr>
      </w:pPr>
      <w:r w:rsidRPr="006B0B81">
        <w:rPr>
          <w:rFonts w:cstheme="minorHAnsi"/>
        </w:rPr>
        <w:t xml:space="preserve">È anche possibile ipotizzare moduli di 5/6 posti letto (minimo 3 stanze) presso unità d’offerta di RSA al fine di favorire la vicinanza ai luoghi di vita e alle sedi di attività dei MMG. </w:t>
      </w:r>
    </w:p>
    <w:p w:rsidR="00B22860" w:rsidRDefault="006543BA" w:rsidP="006543BA">
      <w:pPr>
        <w:spacing w:after="0" w:line="20" w:lineRule="atLeast"/>
        <w:jc w:val="both"/>
        <w:rPr>
          <w:rFonts w:cstheme="minorHAnsi"/>
        </w:rPr>
      </w:pPr>
      <w:r w:rsidRPr="006B0B81">
        <w:rPr>
          <w:rFonts w:cstheme="minorHAnsi"/>
        </w:rPr>
        <w:lastRenderedPageBreak/>
        <w:t>Il limite dei due moduli non si applica per i posti letto delle unità d’offerta già accreditate e oggetto di riclassificazione.</w:t>
      </w:r>
    </w:p>
    <w:p w:rsidR="00B22860" w:rsidRDefault="006543BA" w:rsidP="006543BA">
      <w:pPr>
        <w:spacing w:after="0" w:line="20" w:lineRule="atLeast"/>
        <w:jc w:val="both"/>
        <w:rPr>
          <w:rFonts w:cstheme="minorHAnsi"/>
        </w:rPr>
      </w:pPr>
      <w:r w:rsidRPr="006B0B81">
        <w:rPr>
          <w:rFonts w:cstheme="minorHAnsi"/>
        </w:rPr>
        <w:t xml:space="preserve"> Responsabilità </w:t>
      </w:r>
    </w:p>
    <w:p w:rsidR="00B22860" w:rsidRDefault="006543BA" w:rsidP="006543BA">
      <w:pPr>
        <w:spacing w:after="0" w:line="20" w:lineRule="atLeast"/>
        <w:jc w:val="both"/>
        <w:rPr>
          <w:rFonts w:cstheme="minorHAnsi"/>
        </w:rPr>
      </w:pPr>
      <w:r w:rsidRPr="006B0B81">
        <w:rPr>
          <w:rFonts w:cstheme="minorHAnsi"/>
        </w:rPr>
        <w:t xml:space="preserve">La gestione e le attività sono basate su un approccio multidisciplinare e multiprofessionale, in cui sono assicurate collaborazione e integrazione delle diverse competenze. </w:t>
      </w:r>
    </w:p>
    <w:p w:rsidR="00B22860" w:rsidRDefault="006543BA" w:rsidP="006543BA">
      <w:pPr>
        <w:spacing w:after="0" w:line="20" w:lineRule="atLeast"/>
        <w:jc w:val="both"/>
        <w:rPr>
          <w:rFonts w:cstheme="minorHAnsi"/>
        </w:rPr>
      </w:pPr>
      <w:r w:rsidRPr="006B0B81">
        <w:rPr>
          <w:rFonts w:cstheme="minorHAnsi"/>
        </w:rPr>
        <w:t xml:space="preserve">La responsabilità igienico sanitaria è in capo a un medico formalmente individuato. </w:t>
      </w:r>
    </w:p>
    <w:p w:rsidR="00B22860" w:rsidRDefault="006543BA" w:rsidP="006543BA">
      <w:pPr>
        <w:spacing w:after="0" w:line="20" w:lineRule="atLeast"/>
        <w:jc w:val="both"/>
        <w:rPr>
          <w:rFonts w:cstheme="minorHAnsi"/>
        </w:rPr>
      </w:pPr>
      <w:r w:rsidRPr="006B0B81">
        <w:rPr>
          <w:rFonts w:cstheme="minorHAnsi"/>
        </w:rPr>
        <w:t xml:space="preserve">La responsabilità gestionale-organizzativa è in capo a un coordinatore infermieristico in possesso dei requisiti previsti dalla vigente normativa (l. 43/2006), che deve: </w:t>
      </w:r>
    </w:p>
    <w:p w:rsidR="00B22860" w:rsidRDefault="006543BA" w:rsidP="006543BA">
      <w:pPr>
        <w:spacing w:after="0" w:line="20" w:lineRule="atLeast"/>
        <w:jc w:val="both"/>
        <w:rPr>
          <w:rFonts w:cstheme="minorHAnsi"/>
        </w:rPr>
      </w:pPr>
      <w:r w:rsidRPr="006B0B81">
        <w:rPr>
          <w:rFonts w:cstheme="minorHAnsi"/>
        </w:rPr>
        <w:t xml:space="preserve">• garantire un’ottimale organizzazione ed una efficiente gestione delle risorse assistenziali assegnate; </w:t>
      </w:r>
    </w:p>
    <w:p w:rsidR="00B22860" w:rsidRDefault="006543BA" w:rsidP="006543BA">
      <w:pPr>
        <w:spacing w:after="0" w:line="20" w:lineRule="atLeast"/>
        <w:jc w:val="both"/>
        <w:rPr>
          <w:rFonts w:cstheme="minorHAnsi"/>
        </w:rPr>
      </w:pPr>
      <w:r w:rsidRPr="006B0B81">
        <w:rPr>
          <w:rFonts w:cstheme="minorHAnsi"/>
        </w:rPr>
        <w:t xml:space="preserve">• assicurare la valutazione degli esiti dell’attività assistenziale di competenza ed organizzativa; </w:t>
      </w:r>
    </w:p>
    <w:p w:rsidR="00B22860" w:rsidRDefault="006543BA" w:rsidP="006543BA">
      <w:pPr>
        <w:spacing w:after="0" w:line="20" w:lineRule="atLeast"/>
        <w:jc w:val="both"/>
        <w:rPr>
          <w:rFonts w:cstheme="minorHAnsi"/>
        </w:rPr>
      </w:pPr>
      <w:r w:rsidRPr="006B0B81">
        <w:rPr>
          <w:rFonts w:cstheme="minorHAnsi"/>
        </w:rPr>
        <w:t xml:space="preserve">• sviluppare nella unità di offerta, in sinergia con le funzioni aziendali dedicate, programmi di miglioramento della qualità e di risk management; </w:t>
      </w:r>
    </w:p>
    <w:p w:rsidR="00B22860" w:rsidRDefault="006543BA" w:rsidP="006543BA">
      <w:pPr>
        <w:spacing w:after="0" w:line="20" w:lineRule="atLeast"/>
        <w:jc w:val="both"/>
        <w:rPr>
          <w:rFonts w:cstheme="minorHAnsi"/>
        </w:rPr>
      </w:pPr>
      <w:r w:rsidRPr="006B0B81">
        <w:rPr>
          <w:rFonts w:cstheme="minorHAnsi"/>
        </w:rPr>
        <w:t xml:space="preserve">• avere il ruolo di interfaccia con i MMG/PLS, i medici di continuità assistenziale, la centrale di continuità assistenziale e con gli altri operatori della rete nell’ottica dell’integrazione della rete dei servizi e della presa in carico dei pazienti; </w:t>
      </w:r>
    </w:p>
    <w:p w:rsidR="00B22860" w:rsidRDefault="006543BA" w:rsidP="006543BA">
      <w:pPr>
        <w:spacing w:after="0" w:line="20" w:lineRule="atLeast"/>
        <w:jc w:val="both"/>
        <w:rPr>
          <w:rFonts w:cstheme="minorHAnsi"/>
        </w:rPr>
      </w:pPr>
      <w:r w:rsidRPr="006B0B81">
        <w:rPr>
          <w:rFonts w:cstheme="minorHAnsi"/>
        </w:rPr>
        <w:t xml:space="preserve">• attivare e coordinare il nucleo di valutazione multidimensionale dei pazienti in ingresso con la partecipazione del medico; </w:t>
      </w:r>
    </w:p>
    <w:p w:rsidR="00B22860" w:rsidRDefault="006543BA" w:rsidP="006543BA">
      <w:pPr>
        <w:spacing w:after="0" w:line="20" w:lineRule="atLeast"/>
        <w:jc w:val="both"/>
        <w:rPr>
          <w:rFonts w:cstheme="minorHAnsi"/>
        </w:rPr>
      </w:pPr>
      <w:r w:rsidRPr="006B0B81">
        <w:rPr>
          <w:rFonts w:cstheme="minorHAnsi"/>
        </w:rPr>
        <w:t xml:space="preserve">• svolgere una funzione di collegamento tra la direzione aziendale e i responsabili sanitari, clinici ed assistenziali. </w:t>
      </w:r>
    </w:p>
    <w:p w:rsidR="00B22860" w:rsidRDefault="006543BA" w:rsidP="006543BA">
      <w:pPr>
        <w:spacing w:after="0" w:line="20" w:lineRule="atLeast"/>
        <w:jc w:val="both"/>
        <w:rPr>
          <w:rFonts w:cstheme="minorHAnsi"/>
        </w:rPr>
      </w:pPr>
      <w:r w:rsidRPr="006B0B81">
        <w:rPr>
          <w:rFonts w:cstheme="minorHAnsi"/>
        </w:rPr>
        <w:t xml:space="preserve">In presenza di più unità d’offerta, è facoltà dell’ente erogatore individuare una figura infermieristica dirigenziale di coordinamento. </w:t>
      </w:r>
    </w:p>
    <w:p w:rsidR="00B22860" w:rsidRDefault="006543BA" w:rsidP="006543BA">
      <w:pPr>
        <w:spacing w:after="0" w:line="20" w:lineRule="atLeast"/>
        <w:jc w:val="both"/>
        <w:rPr>
          <w:rFonts w:cstheme="minorHAnsi"/>
        </w:rPr>
      </w:pPr>
      <w:r w:rsidRPr="006B0B81">
        <w:rPr>
          <w:rFonts w:cstheme="minorHAnsi"/>
        </w:rPr>
        <w:t xml:space="preserve">La responsabilità clinica di ciascun paziente è attribuita a un medico individuato dalla struttura che per i posti letto di livello base può essere un medico di medicina generale (pediatra di libera scelta, se paziente pediatrico), anche all’interno di una forma organizzativa della medicina territoriale. </w:t>
      </w:r>
    </w:p>
    <w:p w:rsidR="00B22860" w:rsidRDefault="006543BA" w:rsidP="006543BA">
      <w:pPr>
        <w:spacing w:after="0" w:line="20" w:lineRule="atLeast"/>
        <w:jc w:val="both"/>
        <w:rPr>
          <w:rFonts w:cstheme="minorHAnsi"/>
        </w:rPr>
      </w:pPr>
      <w:r w:rsidRPr="006B0B81">
        <w:rPr>
          <w:rFonts w:cstheme="minorHAnsi"/>
        </w:rPr>
        <w:t xml:space="preserve">La responsabilità assistenziale è in capo ad un infermiere e l’assistenza infermieristica è garantita in modo continuativo nelle 24 ore giornaliere. </w:t>
      </w:r>
    </w:p>
    <w:p w:rsidR="00B22860" w:rsidRDefault="006543BA" w:rsidP="006543BA">
      <w:pPr>
        <w:spacing w:after="0" w:line="20" w:lineRule="atLeast"/>
        <w:jc w:val="both"/>
        <w:rPr>
          <w:rFonts w:cstheme="minorHAnsi"/>
        </w:rPr>
      </w:pPr>
      <w:r w:rsidRPr="006B0B81">
        <w:rPr>
          <w:rFonts w:cstheme="minorHAnsi"/>
        </w:rPr>
        <w:t xml:space="preserve">In caso di necessità, l’infermiere attiva il responsabile clinico della struttura. </w:t>
      </w:r>
    </w:p>
    <w:p w:rsidR="00B22860" w:rsidRDefault="006543BA" w:rsidP="006543BA">
      <w:pPr>
        <w:spacing w:after="0" w:line="20" w:lineRule="atLeast"/>
        <w:jc w:val="both"/>
        <w:rPr>
          <w:rFonts w:cstheme="minorHAnsi"/>
        </w:rPr>
      </w:pPr>
      <w:r w:rsidRPr="006B0B81">
        <w:rPr>
          <w:rFonts w:cstheme="minorHAnsi"/>
        </w:rPr>
        <w:t xml:space="preserve">Per il solo livello base, nei giorni e negli orari in cui non è presente, si avvale del servizio di continuità assistenziale o del medico reperibile della struttura. </w:t>
      </w:r>
    </w:p>
    <w:p w:rsidR="00B22860" w:rsidRDefault="006543BA" w:rsidP="006543BA">
      <w:pPr>
        <w:spacing w:after="0" w:line="20" w:lineRule="atLeast"/>
        <w:jc w:val="both"/>
        <w:rPr>
          <w:rFonts w:cstheme="minorHAnsi"/>
        </w:rPr>
      </w:pPr>
      <w:r w:rsidRPr="006B0B81">
        <w:rPr>
          <w:rFonts w:cstheme="minorHAnsi"/>
        </w:rPr>
        <w:t xml:space="preserve">Devono essere previsti accordi con le strutture ospedaliere per acuti per l’eventuale tempestivo accoglimento di pazienti con necessità cliniche, diagnostiche o terapeutiche intercorrenti Per le situazioni di emergenza e urgenza viene attivato il sistema di Emergenza Urgenza Extraospedaliero </w:t>
      </w:r>
    </w:p>
    <w:p w:rsidR="00B22860" w:rsidRDefault="006543BA" w:rsidP="006543BA">
      <w:pPr>
        <w:spacing w:after="0" w:line="20" w:lineRule="atLeast"/>
        <w:jc w:val="both"/>
        <w:rPr>
          <w:rFonts w:cstheme="minorHAnsi"/>
        </w:rPr>
      </w:pPr>
      <w:r w:rsidRPr="006B0B81">
        <w:rPr>
          <w:rFonts w:cstheme="minorHAnsi"/>
        </w:rPr>
        <w:t xml:space="preserve">Modalità di accesso </w:t>
      </w:r>
    </w:p>
    <w:p w:rsidR="00B22860" w:rsidRDefault="006543BA" w:rsidP="006543BA">
      <w:pPr>
        <w:spacing w:after="0" w:line="20" w:lineRule="atLeast"/>
        <w:jc w:val="both"/>
        <w:rPr>
          <w:rFonts w:cstheme="minorHAnsi"/>
        </w:rPr>
      </w:pPr>
      <w:r w:rsidRPr="006B0B81">
        <w:rPr>
          <w:rFonts w:cstheme="minorHAnsi"/>
        </w:rPr>
        <w:t xml:space="preserve">L’accesso può avvenire dal domicilio o da altre strutture ospedaliere su prescrizione del medico di medicina generale (pediatra di libera scelta se paziente pediatrico), dello specialista ambulatoriale o del medico ospedaliero, anche direttamente dal pronto soccorso previo accordo con la struttura e secondo modalità predefinite. I criteri di accesso alle degenze di comunità sono i seguenti: </w:t>
      </w:r>
    </w:p>
    <w:p w:rsidR="00B22860" w:rsidRDefault="006543BA" w:rsidP="006543BA">
      <w:pPr>
        <w:spacing w:after="0" w:line="20" w:lineRule="atLeast"/>
        <w:jc w:val="both"/>
        <w:rPr>
          <w:rFonts w:cstheme="minorHAnsi"/>
        </w:rPr>
      </w:pPr>
      <w:r w:rsidRPr="006B0B81">
        <w:rPr>
          <w:rFonts w:cstheme="minorHAnsi"/>
        </w:rPr>
        <w:t xml:space="preserve">• necessità di assistenza residenziale non erogabile al domicilio (sono esclusi ricoveri di sollievo); </w:t>
      </w:r>
    </w:p>
    <w:p w:rsidR="00B22860" w:rsidRDefault="006543BA" w:rsidP="006543BA">
      <w:pPr>
        <w:spacing w:after="0" w:line="20" w:lineRule="atLeast"/>
        <w:jc w:val="both"/>
        <w:rPr>
          <w:rFonts w:cstheme="minorHAnsi"/>
        </w:rPr>
      </w:pPr>
      <w:r w:rsidRPr="006B0B81">
        <w:rPr>
          <w:rFonts w:cstheme="minorHAnsi"/>
        </w:rPr>
        <w:t xml:space="preserve">• diagnosi già individuata; </w:t>
      </w:r>
    </w:p>
    <w:p w:rsidR="00B22860" w:rsidRDefault="006543BA" w:rsidP="006543BA">
      <w:pPr>
        <w:spacing w:after="0" w:line="20" w:lineRule="atLeast"/>
        <w:jc w:val="both"/>
        <w:rPr>
          <w:rFonts w:cstheme="minorHAnsi"/>
        </w:rPr>
      </w:pPr>
      <w:r w:rsidRPr="006B0B81">
        <w:rPr>
          <w:rFonts w:cstheme="minorHAnsi"/>
        </w:rPr>
        <w:t xml:space="preserve">• prognosi e impostazione terapeutica già definite; </w:t>
      </w:r>
    </w:p>
    <w:p w:rsidR="00B22860" w:rsidRDefault="006543BA" w:rsidP="006543BA">
      <w:pPr>
        <w:spacing w:after="0" w:line="20" w:lineRule="atLeast"/>
        <w:jc w:val="both"/>
        <w:rPr>
          <w:rFonts w:cstheme="minorHAnsi"/>
        </w:rPr>
      </w:pPr>
      <w:r w:rsidRPr="006B0B81">
        <w:rPr>
          <w:rFonts w:cstheme="minorHAnsi"/>
        </w:rPr>
        <w:t xml:space="preserve">• valutazione del carico assistenziale e della instabilità clinica attraverso scale standardizzate di valutazione clinico-assistenziale; </w:t>
      </w:r>
    </w:p>
    <w:p w:rsidR="00B22860" w:rsidRDefault="006543BA" w:rsidP="006543BA">
      <w:pPr>
        <w:spacing w:after="0" w:line="20" w:lineRule="atLeast"/>
        <w:jc w:val="both"/>
        <w:rPr>
          <w:rFonts w:cstheme="minorHAnsi"/>
        </w:rPr>
      </w:pPr>
      <w:r w:rsidRPr="006B0B81">
        <w:rPr>
          <w:rFonts w:cstheme="minorHAnsi"/>
        </w:rPr>
        <w:t xml:space="preserve">• programma di trattamento già stilato e condiviso con il paziente e/o con la famiglia (ad eccezione dei pazienti direttamente provenienti del pronto soccorso). </w:t>
      </w:r>
    </w:p>
    <w:p w:rsidR="00B22860" w:rsidRDefault="006543BA" w:rsidP="006543BA">
      <w:pPr>
        <w:spacing w:after="0" w:line="20" w:lineRule="atLeast"/>
        <w:jc w:val="both"/>
        <w:rPr>
          <w:rFonts w:cstheme="minorHAnsi"/>
        </w:rPr>
      </w:pPr>
      <w:r w:rsidRPr="006B0B81">
        <w:rPr>
          <w:rFonts w:cstheme="minorHAnsi"/>
        </w:rPr>
        <w:t xml:space="preserve">La richiesta di ricovero presso le degenze di comunità deve essere corredata da una scheda unica di valutazione regionale adottata dalla Direzione Generale Welfare quale strumento necessario alla verifica dell’aderenza ai criteri di accesso, all’individuazione del livello assistenziale e all’appropriatezza dei ricoveri in fase di dimissione. In fase di accesso è prevista una valutazione multidimensionale anche per conferma dell’appropriatezza e del livello di ricovero. </w:t>
      </w:r>
    </w:p>
    <w:p w:rsidR="00B22860" w:rsidRDefault="006543BA" w:rsidP="006543BA">
      <w:pPr>
        <w:spacing w:after="0" w:line="20" w:lineRule="atLeast"/>
        <w:jc w:val="both"/>
        <w:rPr>
          <w:rFonts w:cstheme="minorHAnsi"/>
        </w:rPr>
      </w:pPr>
      <w:r w:rsidRPr="006B0B81">
        <w:rPr>
          <w:rFonts w:cstheme="minorHAnsi"/>
        </w:rPr>
        <w:t xml:space="preserve">Costituiscono criteri di esclusione: </w:t>
      </w:r>
    </w:p>
    <w:p w:rsidR="00B22860" w:rsidRDefault="006543BA" w:rsidP="006543BA">
      <w:pPr>
        <w:spacing w:after="0" w:line="20" w:lineRule="atLeast"/>
        <w:jc w:val="both"/>
        <w:rPr>
          <w:rFonts w:cstheme="minorHAnsi"/>
        </w:rPr>
      </w:pPr>
      <w:r w:rsidRPr="006B0B81">
        <w:rPr>
          <w:rFonts w:cstheme="minorHAnsi"/>
        </w:rPr>
        <w:t xml:space="preserve">• le patologie psichiatriche attive; </w:t>
      </w:r>
    </w:p>
    <w:p w:rsidR="00B22860" w:rsidRDefault="006543BA" w:rsidP="006543BA">
      <w:pPr>
        <w:spacing w:after="0" w:line="20" w:lineRule="atLeast"/>
        <w:jc w:val="both"/>
        <w:rPr>
          <w:rFonts w:cstheme="minorHAnsi"/>
        </w:rPr>
      </w:pPr>
      <w:r w:rsidRPr="006B0B81">
        <w:rPr>
          <w:rFonts w:cstheme="minorHAnsi"/>
        </w:rPr>
        <w:t xml:space="preserve">• le condizioni per cui sono già previsti interventi specifici specializzati (come ad esempio le persone in stato vegetativo permanente, gli affetti da SLA, ecc.); </w:t>
      </w:r>
    </w:p>
    <w:p w:rsidR="00B22860" w:rsidRDefault="006543BA" w:rsidP="006543BA">
      <w:pPr>
        <w:spacing w:after="0" w:line="20" w:lineRule="atLeast"/>
        <w:jc w:val="both"/>
        <w:rPr>
          <w:rFonts w:cstheme="minorHAnsi"/>
        </w:rPr>
      </w:pPr>
      <w:r w:rsidRPr="006B0B81">
        <w:rPr>
          <w:rFonts w:cstheme="minorHAnsi"/>
        </w:rPr>
        <w:lastRenderedPageBreak/>
        <w:t xml:space="preserve">• le acuzie non risolte; </w:t>
      </w:r>
    </w:p>
    <w:p w:rsidR="00B22860" w:rsidRDefault="006543BA" w:rsidP="006543BA">
      <w:pPr>
        <w:spacing w:after="0" w:line="20" w:lineRule="atLeast"/>
        <w:jc w:val="both"/>
        <w:rPr>
          <w:rFonts w:cstheme="minorHAnsi"/>
        </w:rPr>
      </w:pPr>
      <w:r w:rsidRPr="006B0B81">
        <w:rPr>
          <w:rFonts w:cstheme="minorHAnsi"/>
        </w:rPr>
        <w:t xml:space="preserve">• le diagnosi incomplete o in corso di definizione. </w:t>
      </w:r>
    </w:p>
    <w:p w:rsidR="00B22860" w:rsidRDefault="006543BA" w:rsidP="006543BA">
      <w:pPr>
        <w:spacing w:after="0" w:line="20" w:lineRule="atLeast"/>
        <w:jc w:val="both"/>
        <w:rPr>
          <w:rFonts w:cstheme="minorHAnsi"/>
        </w:rPr>
      </w:pPr>
      <w:r w:rsidRPr="006B0B81">
        <w:rPr>
          <w:rFonts w:cstheme="minorHAnsi"/>
        </w:rPr>
        <w:t xml:space="preserve">La DdC di base può prevedere pazienti pediatrici ed il coinvolgimento del pediatra di libera scelta solo se inserita nel contesto degli ospedali pediatrici. </w:t>
      </w:r>
    </w:p>
    <w:p w:rsidR="00B22860" w:rsidRDefault="006543BA" w:rsidP="006543BA">
      <w:pPr>
        <w:spacing w:after="0" w:line="20" w:lineRule="atLeast"/>
        <w:jc w:val="both"/>
        <w:rPr>
          <w:rFonts w:cstheme="minorHAnsi"/>
        </w:rPr>
      </w:pPr>
      <w:r w:rsidRPr="006B0B81">
        <w:rPr>
          <w:rFonts w:cstheme="minorHAnsi"/>
        </w:rPr>
        <w:t xml:space="preserve">Requisiti di accreditamento </w:t>
      </w:r>
    </w:p>
    <w:p w:rsidR="00EE4846" w:rsidRDefault="006543BA" w:rsidP="006543BA">
      <w:pPr>
        <w:spacing w:after="0" w:line="20" w:lineRule="atLeast"/>
        <w:jc w:val="both"/>
        <w:rPr>
          <w:rFonts w:cstheme="minorHAnsi"/>
        </w:rPr>
      </w:pPr>
      <w:r w:rsidRPr="006B0B81">
        <w:rPr>
          <w:rFonts w:cstheme="minorHAnsi"/>
        </w:rPr>
        <w:t xml:space="preserve">Requisiti generali </w:t>
      </w:r>
    </w:p>
    <w:p w:rsidR="00EE4846" w:rsidRDefault="006543BA" w:rsidP="006543BA">
      <w:pPr>
        <w:spacing w:after="0" w:line="20" w:lineRule="atLeast"/>
        <w:jc w:val="both"/>
        <w:rPr>
          <w:rFonts w:cstheme="minorHAnsi"/>
        </w:rPr>
      </w:pPr>
      <w:r w:rsidRPr="006B0B81">
        <w:rPr>
          <w:rFonts w:cstheme="minorHAnsi"/>
        </w:rPr>
        <w:t xml:space="preserve">Ricettività Modulo di massimo 20 posti letto (di norma da 15 - 20) organizzato in stanze da 1 o 2 letti con almeno una stanza singola in ciascun modulo. Ciascuna struttura può attivare fino a 2 moduli. Le strutture esistenti oggetto di riclassificazione possono mantenere un numero maggiore di moduli e posti di degenza di comunità in funzione dell’assetto riconosciuto. </w:t>
      </w:r>
    </w:p>
    <w:p w:rsidR="00EE4846" w:rsidRDefault="006543BA" w:rsidP="006543BA">
      <w:pPr>
        <w:spacing w:after="0" w:line="20" w:lineRule="atLeast"/>
        <w:jc w:val="both"/>
        <w:rPr>
          <w:rFonts w:cstheme="minorHAnsi"/>
        </w:rPr>
      </w:pPr>
      <w:r w:rsidRPr="006B0B81">
        <w:rPr>
          <w:rFonts w:cstheme="minorHAnsi"/>
        </w:rPr>
        <w:t xml:space="preserve">Normativa di riferimento </w:t>
      </w:r>
    </w:p>
    <w:p w:rsidR="00EE4846" w:rsidRDefault="006543BA" w:rsidP="006543BA">
      <w:pPr>
        <w:spacing w:after="0" w:line="20" w:lineRule="atLeast"/>
        <w:jc w:val="both"/>
        <w:rPr>
          <w:rFonts w:cstheme="minorHAnsi"/>
        </w:rPr>
      </w:pPr>
      <w:r w:rsidRPr="006B0B81">
        <w:rPr>
          <w:rFonts w:cstheme="minorHAnsi"/>
        </w:rPr>
        <w:t xml:space="preserve">Deve essere garantito il rispetto dei requisiti previsti dalle vigenti leggi in materia di protezione antisismica, protezione antincendio, protezione acustica, sicurezza e continuità elettrica, sicurezza anti-infortunistica, igiene dei luoghi di lavoro, protezione dalle radiazioni ionizzanti, barriere architettoniche, smaltimento dei rifiuti, condizioni microclimatiche, impianti di distribuzione dei gas, materiali esplodenti (requisiti minimi strutturali e tecnologici generali di cui al D.P.R. 14 gennaio1997) e delle D.G.R. di riferimento per l’ambito sanitario o sociosanitario in funzione della collocazione delle degenze nell’ambito di presidi ospedalieri o di unità d’offerta sociosanitarie. Per le strutture con piani di adeguamento e con piani programma in corso, sono confermate le tempistiche di adeguamento dei vigenti piani. </w:t>
      </w:r>
    </w:p>
    <w:p w:rsidR="00EE4846" w:rsidRDefault="006543BA" w:rsidP="006543BA">
      <w:pPr>
        <w:spacing w:after="0" w:line="20" w:lineRule="atLeast"/>
        <w:jc w:val="both"/>
        <w:rPr>
          <w:rFonts w:cstheme="minorHAnsi"/>
        </w:rPr>
      </w:pPr>
      <w:r w:rsidRPr="006B0B81">
        <w:rPr>
          <w:rFonts w:cstheme="minorHAnsi"/>
        </w:rPr>
        <w:t xml:space="preserve">Servizi generali </w:t>
      </w:r>
    </w:p>
    <w:p w:rsidR="00EE4846" w:rsidRDefault="006543BA" w:rsidP="006543BA">
      <w:pPr>
        <w:spacing w:after="0" w:line="20" w:lineRule="atLeast"/>
        <w:jc w:val="both"/>
        <w:rPr>
          <w:rFonts w:cstheme="minorHAnsi"/>
        </w:rPr>
      </w:pPr>
      <w:r w:rsidRPr="006B0B81">
        <w:rPr>
          <w:rFonts w:cstheme="minorHAnsi"/>
        </w:rPr>
        <w:t xml:space="preserve">Devono essere garantiti, anche in condivisione con altre strutture e/o unità di offerta, i servizi generali (tra cui almeno direzione e servizi amministrativi, idonei depositi e magazzini, servizi tecnici e manutenzione, servizi di lavanderia, servizi di preparazione dei pasti, spogliatoi per il personale e camera ardente) e opportuni spazi organizzati e articolati in modo tale da garantire lo svolgimento delle attività previste. Accessibilità Il percorso di accesso deve garantire il superamento delle barriere architettoniche. </w:t>
      </w:r>
    </w:p>
    <w:p w:rsidR="00EE4846" w:rsidRDefault="006543BA" w:rsidP="006543BA">
      <w:pPr>
        <w:spacing w:after="0" w:line="20" w:lineRule="atLeast"/>
        <w:jc w:val="both"/>
        <w:rPr>
          <w:rFonts w:cstheme="minorHAnsi"/>
        </w:rPr>
      </w:pPr>
      <w:r w:rsidRPr="006B0B81">
        <w:rPr>
          <w:rFonts w:cstheme="minorHAnsi"/>
        </w:rPr>
        <w:t xml:space="preserve">Se necessario per l’accesso alle degenze, la struttura deve essere dotata di mezzo meccanico (ascensore/elevatore) dedicato e dimensionato per permettere il trasporto almeno del letto/barella e di un accompagnatore. </w:t>
      </w:r>
    </w:p>
    <w:p w:rsidR="00EE4846" w:rsidRDefault="006543BA" w:rsidP="006543BA">
      <w:pPr>
        <w:spacing w:after="0" w:line="20" w:lineRule="atLeast"/>
        <w:jc w:val="both"/>
        <w:rPr>
          <w:rFonts w:cstheme="minorHAnsi"/>
        </w:rPr>
      </w:pPr>
      <w:r w:rsidRPr="006B0B81">
        <w:rPr>
          <w:rFonts w:cstheme="minorHAnsi"/>
        </w:rPr>
        <w:t xml:space="preserve">Protocolli e procedure </w:t>
      </w:r>
    </w:p>
    <w:p w:rsidR="00EE4846" w:rsidRDefault="006543BA" w:rsidP="006543BA">
      <w:pPr>
        <w:spacing w:after="0" w:line="20" w:lineRule="atLeast"/>
        <w:jc w:val="both"/>
        <w:rPr>
          <w:rFonts w:cstheme="minorHAnsi"/>
        </w:rPr>
      </w:pPr>
      <w:r w:rsidRPr="006B0B81">
        <w:rPr>
          <w:rFonts w:cstheme="minorHAnsi"/>
        </w:rPr>
        <w:t xml:space="preserve">Oltre ai protocolli generali già previsti dal D.P.R. 14 gennaio 1997 e dalle D.G.R. di riferimento per l’ambito sanitario o sociosanitario, sono adottati: </w:t>
      </w:r>
    </w:p>
    <w:p w:rsidR="00EE4846" w:rsidRDefault="006543BA" w:rsidP="006543BA">
      <w:pPr>
        <w:spacing w:after="0" w:line="20" w:lineRule="atLeast"/>
        <w:jc w:val="both"/>
        <w:rPr>
          <w:rFonts w:cstheme="minorHAnsi"/>
        </w:rPr>
      </w:pPr>
      <w:r w:rsidRPr="006B0B81">
        <w:rPr>
          <w:rFonts w:cstheme="minorHAnsi"/>
        </w:rPr>
        <w:t xml:space="preserve">- un protocollo specifico per la dimissione protetta; </w:t>
      </w:r>
    </w:p>
    <w:p w:rsidR="00EE4846" w:rsidRDefault="006543BA" w:rsidP="006543BA">
      <w:pPr>
        <w:spacing w:after="0" w:line="20" w:lineRule="atLeast"/>
        <w:jc w:val="both"/>
        <w:rPr>
          <w:rFonts w:cstheme="minorHAnsi"/>
        </w:rPr>
      </w:pPr>
      <w:r w:rsidRPr="006B0B81">
        <w:rPr>
          <w:rFonts w:cstheme="minorHAnsi"/>
        </w:rPr>
        <w:t xml:space="preserve">- un sistema di prevenzione di eventi avversi basati su strumenti validati nell’ambito del risk management </w:t>
      </w:r>
    </w:p>
    <w:p w:rsidR="00EE4846" w:rsidRDefault="006543BA" w:rsidP="006543BA">
      <w:pPr>
        <w:spacing w:after="0" w:line="20" w:lineRule="atLeast"/>
        <w:jc w:val="both"/>
        <w:rPr>
          <w:rFonts w:cstheme="minorHAnsi"/>
        </w:rPr>
      </w:pPr>
      <w:r w:rsidRPr="006B0B81">
        <w:rPr>
          <w:rFonts w:cstheme="minorHAnsi"/>
        </w:rPr>
        <w:t xml:space="preserve">- accordi specifici con le ASST e con i gestori di Assistenza Domiciliare Integrata finalizzati a garantire la continuità assistenziale nelle fasi di ammissione e dimissione. </w:t>
      </w:r>
    </w:p>
    <w:p w:rsidR="00EE4846" w:rsidRDefault="006543BA" w:rsidP="006543BA">
      <w:pPr>
        <w:spacing w:after="0" w:line="20" w:lineRule="atLeast"/>
        <w:jc w:val="both"/>
        <w:rPr>
          <w:rFonts w:cstheme="minorHAnsi"/>
        </w:rPr>
      </w:pPr>
      <w:r w:rsidRPr="006B0B81">
        <w:rPr>
          <w:rFonts w:cstheme="minorHAnsi"/>
        </w:rPr>
        <w:t xml:space="preserve">È adottata una specifica documentazione sanitaria per la gestione clinica ed assistenziale dei pazienti ricoverati. </w:t>
      </w:r>
    </w:p>
    <w:p w:rsidR="00EE4846" w:rsidRDefault="006543BA" w:rsidP="006543BA">
      <w:pPr>
        <w:spacing w:after="0" w:line="20" w:lineRule="atLeast"/>
        <w:jc w:val="both"/>
        <w:rPr>
          <w:rFonts w:cstheme="minorHAnsi"/>
        </w:rPr>
      </w:pPr>
      <w:r w:rsidRPr="006B0B81">
        <w:rPr>
          <w:rFonts w:cstheme="minorHAnsi"/>
        </w:rPr>
        <w:t xml:space="preserve">Poiché la DdC opera in forte integrazione con gli altri servizi sanitari, come i servizi di assistenza specialistica ambulatoriale e compresi i Servizi di Emergenza Urgenza territoriali, sono presenti specifiche procedure operative volte a garantire la continuità assistenziale e la tempestività degli interventi necessari. Sono, inoltre, definiti appositi collegamenti funzionali con i servizi di supporto diagnostico specialistico e servizio sociale. Requisiti strutturali specifici </w:t>
      </w:r>
    </w:p>
    <w:p w:rsidR="004923F6" w:rsidRDefault="006543BA" w:rsidP="006543BA">
      <w:pPr>
        <w:spacing w:after="0" w:line="20" w:lineRule="atLeast"/>
        <w:jc w:val="both"/>
        <w:rPr>
          <w:rFonts w:cstheme="minorHAnsi"/>
        </w:rPr>
      </w:pPr>
      <w:r w:rsidRPr="006B0B81">
        <w:rPr>
          <w:rFonts w:cstheme="minorHAnsi"/>
        </w:rPr>
        <w:t xml:space="preserve">Gli spazi da garantire, indipendentemente dalla capacità ricettiva del modulo, sono: a. area per l’accoglienza; b. camere di degenza da 1 o 2 p.l. con servizio igienico; c. area a servizio della residenzialità e della mobilizzazione del paziente; d. area per le attività sanitarie; e. area destinata ai servizi di supporto. Area per l’accoglienza Deve essere previsto uno spazio attesa, anche nell’ambito dello spazio adibito a soggiorno, pranzo e attività ludiche. Devono essere presenti due bagni per il pubblico, di cui uno attrezzato per persone disabili. Camere di degenza con servizio igienico Camere singole o doppie dotate di una poltrona comfort per ogni posto letto. Per le strutture esistenti sono ammessi fino a 4 posti letto per camera se già parte dell’assetto riconosciuto. La superficie minima delle camere è di 9 mq per posto letto (nel computo sono considerati locali accessori: servizio igienico, antibagno, disimpegno). La metratura minima delle stanze a due letti è di 16 mq per le degenze di comunità derivanti da RSA esistenti oggetto di riclassificazione che non siano in piano programma di adeguamento e che abbiano già tale tipologia di stanza a 2 letti. </w:t>
      </w:r>
    </w:p>
    <w:p w:rsidR="004923F6" w:rsidRDefault="006543BA" w:rsidP="006543BA">
      <w:pPr>
        <w:spacing w:after="0" w:line="20" w:lineRule="atLeast"/>
        <w:jc w:val="both"/>
        <w:rPr>
          <w:rFonts w:cstheme="minorHAnsi"/>
        </w:rPr>
      </w:pPr>
      <w:r w:rsidRPr="006B0B81">
        <w:rPr>
          <w:rFonts w:cstheme="minorHAnsi"/>
        </w:rPr>
        <w:lastRenderedPageBreak/>
        <w:t xml:space="preserve">Deve essere presente in ogni modulo almeno una stanza singola dotata di letto per il paziente e letto o poltrona-letto per la presenza del caregiver. </w:t>
      </w:r>
    </w:p>
    <w:p w:rsidR="004923F6" w:rsidRDefault="006543BA" w:rsidP="006543BA">
      <w:pPr>
        <w:spacing w:after="0" w:line="20" w:lineRule="atLeast"/>
        <w:jc w:val="both"/>
        <w:rPr>
          <w:rFonts w:cstheme="minorHAnsi"/>
        </w:rPr>
      </w:pPr>
      <w:r w:rsidRPr="006B0B81">
        <w:rPr>
          <w:rFonts w:cstheme="minorHAnsi"/>
        </w:rPr>
        <w:t>Le attività di movimentazione, riattivazione e mobilizzazione dell’ospite, in presenza delle superfici minime di cui sopra, sono supportate da opportuni accorgimenti tecnologici (es. sollevatori, letti attrezzati), tenendo conto della tutela e della sicurezza del personale addetto all’assistenza, in particolare per l’attività di movimentazione dell’ospite. Servizio igienico: • è previsto un servizio igienico per ogni camera; • il dimensionamento del servizio igienico deve essere idoneo per l’ospite con difficoltà motorie (carrozzella o stampelle) assistito da operatore; • è ammesso anche un servizio igienico ogni 4 posti letto, con accesso esclusivo dalle due camere, di dimensioni tali da consentire l’attività di supporto all’igiene da parte del personale di assistenza. Se i servizi igienici delle stanze non garantiscono, per forma e dimensione, l’igiene della persona con il supporto dell’operatore, deve essere previsto almeno un bagno assistito esterno alle stanze per modulo. Area a servizio della residenzialità Cucinotto/tisaneria: locale per la preparazione di bevande calde e alimenti, alimentato esclusivamente da rete elettrica</w:t>
      </w:r>
      <w:r w:rsidR="004923F6">
        <w:rPr>
          <w:rFonts w:cstheme="minorHAnsi"/>
        </w:rPr>
        <w:t xml:space="preserve"> </w:t>
      </w:r>
      <w:r w:rsidRPr="006B0B81">
        <w:rPr>
          <w:rFonts w:cstheme="minorHAnsi"/>
        </w:rPr>
        <w:t xml:space="preserve">Spazio adibito a soggiorno, pranzo e attività ludiche: superficie minima di 1,5 mq/posto letto idoneo ad ospitare le varie attività previste (ristorazione, conversazione, lettura, mobilizzazione, riattivazione…). La metratura minima dello spazio soggiorno, pranzo e attività ludiche non si applica alle degenze di comunità oggetto di riclassificazione da degenze sub acute, post acute o cure intermedie. Area per le attività sanitarie L’area è articolata in locale per visite e medicazioni, spazio o locale per il coordinatore infermieristico, locale di lavoro per il personale di assistenza, spazio o locale per i medici e deposito o archivio sanitario. Sono presenti: • locale per visite e medicazioni con superficie non inferiore a 9 mq; • locale di lavoro per il personale di assistenza con superficie in inferiore a 9 mq, presente in ogni piano di degenza, dotato di armadio farmaci e frigorifero a temperatura controllata per i prelievi; • locale per il coordinatore infermieristico con superficie non inferiore a 9 mq o spazio all’interno del locale di lavoro per il personale di assistenza; • locale per il personale medico con superficie non inferiore a 9 mq o spazio all’interno del locale di lavoro per il personale di assistenza; • almeno un deposito o archivio sanitario nella struttura. Area destinata ai servizi di supporto Devono essere assicurati gli spogliatoi del personale suddivisi per sesso. Devono essere, inoltre, assicurati: • locale o spazio per il materiale pulito; • locale per il materiale sporco e dotato di vuotatoio e lavapadelle; • locale per il deposito attrezzature/ausili di uso quotidiano. Le aree destinate all’accoglienza, ai servizi di residenzialità, alle attività sanitarie e ai servizi di supporto possono essere condivise tra due moduli (anche di altre degenze ospedaliere, RSA, cure intermedie o riabilitazione) purché contigui e allo stesso piano. Gli spogliatoi del personale possono essere condivisi con altre unità d’offerta presenti nello stesso presidio purché adeguatamente dimensionati. Requisiti tecnologici specifici I letti di degenza devono essere articolati, ad altezza variabile e accessibili da ogni lato. Per garantire le attività assistenziali e di monitoraggio, ciascun modulo deve disporre di almeno: • elettrocardiografo portatile, garantendo il collegamento funzionale con lo specialista di riferimento, anche attraverso un sistema di teleconsulto e tele refertazione; • apparecchio per saturimetria trans-cutanea; • aspiratore per bronco aspirazione; • carrello e/o attrezzatura equivalente per la gestione dell’emergenza completo di cardiomonitor con defibrillatore ed unità di ventilazione manuale; • carrello per la gestione della terapia; • carrello per la gestione delle medicazioni con eventuale strumentario chirurgico; Per le degenze di comunità di livello avanzato, deve inoltre essere presente nel modulo un eco FAST o ecografo portatile per la diagnostica di primo livello. La struttura, specie se è lontana da centri diagnostici di riferimento, può essere dotata di strumenti diagnostici di primo livello sotto la responsabilità di uno SMEL. </w:t>
      </w:r>
    </w:p>
    <w:p w:rsidR="004923F6" w:rsidRDefault="006543BA" w:rsidP="006543BA">
      <w:pPr>
        <w:spacing w:after="0" w:line="20" w:lineRule="atLeast"/>
        <w:jc w:val="both"/>
        <w:rPr>
          <w:rFonts w:cstheme="minorHAnsi"/>
        </w:rPr>
      </w:pPr>
      <w:r w:rsidRPr="006B0B81">
        <w:rPr>
          <w:rFonts w:cstheme="minorHAnsi"/>
        </w:rPr>
        <w:t xml:space="preserve">Standard clinico – assistenziali </w:t>
      </w:r>
    </w:p>
    <w:p w:rsidR="004923F6" w:rsidRDefault="006543BA" w:rsidP="006543BA">
      <w:pPr>
        <w:spacing w:after="0" w:line="20" w:lineRule="atLeast"/>
        <w:jc w:val="both"/>
        <w:rPr>
          <w:rFonts w:cstheme="minorHAnsi"/>
        </w:rPr>
      </w:pPr>
      <w:r w:rsidRPr="006B0B81">
        <w:rPr>
          <w:rFonts w:cstheme="minorHAnsi"/>
        </w:rPr>
        <w:t xml:space="preserve">È prevista una valutazione multidimensionale del paziente all’ingresso ed alla dimissione con redazione di piano di assistenza individuale. </w:t>
      </w:r>
    </w:p>
    <w:p w:rsidR="004923F6" w:rsidRDefault="006543BA" w:rsidP="006543BA">
      <w:pPr>
        <w:spacing w:after="0" w:line="20" w:lineRule="atLeast"/>
        <w:jc w:val="both"/>
        <w:rPr>
          <w:rFonts w:cstheme="minorHAnsi"/>
        </w:rPr>
      </w:pPr>
      <w:r w:rsidRPr="006B0B81">
        <w:rPr>
          <w:rFonts w:cstheme="minorHAnsi"/>
        </w:rPr>
        <w:t>Per entrambi i livelli di assistenza sono assicurate, individuandone formalmente i responsabili, le funzioni di: • clinical manager, in capo al personale medico di struttura o al medico di medicina generale per le degenze di comunità organizzate in moduli a gestione infermieristica (pediatra di libera scelta se paziente pediatrico); • case manager, in capo a personale infermieristico in possesso di esperienza e competenze avanzate nella gestione dei servizi territoriali e, preferibilmente, della laurea magistrale, che: o sovraintende alla continuità della presa in carico del paziente dopo la dimissione; o concorda con il MMG/PLS/medico della struttura ed il coordinatore infermieristico tempi e modalità di accesso e dimissione dalla DdC.</w:t>
      </w:r>
    </w:p>
    <w:p w:rsidR="004923F6" w:rsidRDefault="006543BA" w:rsidP="006543BA">
      <w:pPr>
        <w:spacing w:after="0" w:line="20" w:lineRule="atLeast"/>
        <w:jc w:val="both"/>
        <w:rPr>
          <w:rFonts w:cstheme="minorHAnsi"/>
        </w:rPr>
      </w:pPr>
      <w:r w:rsidRPr="006B0B81">
        <w:rPr>
          <w:rFonts w:cstheme="minorHAnsi"/>
        </w:rPr>
        <w:t xml:space="preserve"> Lo standard assistenziale minimo è il seguente: </w:t>
      </w:r>
    </w:p>
    <w:p w:rsidR="004923F6" w:rsidRDefault="006543BA" w:rsidP="006543BA">
      <w:pPr>
        <w:spacing w:after="0" w:line="20" w:lineRule="atLeast"/>
        <w:jc w:val="both"/>
        <w:rPr>
          <w:rFonts w:cstheme="minorHAnsi"/>
        </w:rPr>
      </w:pPr>
      <w:r w:rsidRPr="006B0B81">
        <w:rPr>
          <w:rFonts w:cstheme="minorHAnsi"/>
        </w:rPr>
        <w:lastRenderedPageBreak/>
        <w:t xml:space="preserve">• degenze di comunità di livello base: o assistenza medica erogata da personale medico di struttura o da MMG/PLS, anche all’interno di una forma organizzata della medicina generale secondo l’Accordo Collettivo Nazionale: 60 minuti settimanali a paziente distribuiti in 5 giorni su 7 (esclusi festivi e prefestivi); o nei giorni e negli orari in cui non è presente il personale medico dedicato, l’assistenza è garantita dal servizio di continuità assistenziale o da un medico reperibile della struttura; o assistenza infermieristica e tutelare: 1260 minuti settimanali a paziente con almeno il 50% del minutaggio di assistenza infermieristica garantito da infermieri; o la presenza infermieristica deve essere continuativa nelle 24 ore giornaliere (condivisibile con altre unità d’offerta presenti nella struttura nel limite di 40 posti letto e con l’avvertenza che la presenza infermieristica condivisa può essere computata nel minutaggio per i pazienti della degenza di comunità rapportando ai posti letto complessivamente in carico all’infermiere); o disponibilità, con attivazione in funzione del PAI, almeno di psicologo, fisioterapista e assistente sociale che partecipano allo standard assistenziale; • degenze di comunità di livello avanzato: o assistenza medica (solo da personale medico di struttura): 90 minuti settimanali a paziente distribuiti in 6 giorni su 7 (escluso domenica e festivi); o presenza continuativa del medico nelle 24 ore giornaliere (il medico che garantisce l’assistenza continuativa nelle 24 ore deve essere presente in struttura, anche se può non essere esclusivamente dedicato alla degenza di comunità e, in tal caso, non viene computato nel minutaggio settimanale dovuto per l’assistenza medica); o assistenza infermieristica e tutelare: 1120 minuti settimanali a paziente con almeno il 50% del minutaggio garantito da infermieri; o presenza infermieristica continuativa nelle 24 ore giornaliere (condivisibile con altre unità d’offerta presenti nella struttura nel limite di 30 posti letto e con l’avvertenza che la presenza infermieristica condivisa può essere computata nel minutaggio per i pazienti della degenza di comunità rapportando ai posti letto complessivamente in carico all’infermiere); o professionista sanitario della riabilitazione: 150 minuti settimanali a paziente; o disponibilità, con attivazione in funzione del PAI, almeno di psicologo e assistente sociale che partecipano allo standard assistenziale. Per ciascun modulo è garantita la presenza nelle 24 ore giornaliere di una figura infermieristica e una adeguata presenza di figure di supporto diurne e notturne commisurata al case mix dei pazienti. In particolare, per ogni modulo devono essere presenti nelle ore diurne almeno 1 infermiere e 2 OSS e nelle ore notturne almeno 1 infermiere e 1 OSS. Considerate le possibili significative oscillazioni della complessità assistenziale degli assistiti ricoverati, la dotazione organica, su documentata segnalazione del coordinatore infermieristico potrà essere gestita dalla struttura con la necessaria flessibilità, fermo restando il rispetto degli standard minimi previsti. In relazione alla adesione dei MMG/PLS, è possibile che l’assistenza clinica sia attribuita a MMG/PLS per una parte dei letti, fatta salva la possibilità di condividere nell’ambito del modulo il personale di assistenza purché venga garantito il mantenimento dei requisiti previsti. I tempi di lavoro del coordinatore infermieristico e dell’infermiere case manager sono aggiuntivi rispetto agli standard previsti. Modalità di remunerazione Le degenze di comunità sono remunerate in base alle giornate di ricovero erogate e al relativo livello assistenziale. La durata delle degenze è determinata dalle condizioni dell’assistito, accertate tramite la valutazione multidimensionale. Il ricovero presso la DdC di livello base è, di norma, di durata compresa tra i 7 e i 20 giorni. Su indicazione del medico e del nucleo di valutazione multidimensionale, la permanenza può essere protratta fino a 40 giorni, a condizione che siano esplicitate le motivazioni nel diario clinico. Le giornate di degenza sono remunerate a tariffa intera entro la soglia di 40 giorni per le degenze di livello base e di 20 giorni per le degenze di livello avanzato. Le giornate oltre soglia sono remunerate con abbattimento del 40% della tariffa fino ad un massimo di 5 giornate per le degenze di livello base e 10 per il livello avanzato. Le degenze con posti letto accreditati per l’erogazione del livello avanzato sono tenute a garantire, nell’ambito del budget assegnato, la continuità del servizio per tutto l’anno e il pieno rispetto dei requisiti di accreditamento previsti per il livello più elevato, con il vincolo di mantenere giornalmente gli standard assistenziali allineati alla casistica presente. Riclassificazione delle attività esistenti Ai fini della pianificazione del processo di riclassificazione, i ricoveri delle attuali degenze post-acute e di riabilitazione di mantenimento/stabilizzazione (afferenti alle degenze di cure intermedie) e le attuali degenze di comunità (compreso il progetto STAR) sono ricondotti nell’ambito delle degenze di comunità di livello base. I ricoveri delle attuali degenze sub-acute e del progetto PRINGE sono, invece, ricondotti alle degenze di comunità di livello avanzato. Una parte dei ricoveri della riabilitazione generale e geriatrica possono afferire alle degenze di comunità di livello base o avanzato in funzione dell’impegno assistenziale richiesto dalla casistica trattata e delle modalità organizzative messe in atto dalla struttura. In attesa delle disposizioni nazionali in materia, non sono oggetto di riclassificazione i posti letto di riabilitazione ospedaliera, i posti letto di riabilitazione </w:t>
      </w:r>
      <w:r w:rsidRPr="006B0B81">
        <w:rPr>
          <w:rFonts w:cstheme="minorHAnsi"/>
        </w:rPr>
        <w:lastRenderedPageBreak/>
        <w:t xml:space="preserve">extra ospedaliera specialistica e i posti letto di riabilitazione extra ospedaliera generale e geriatrica utilizzati per ricoveri con prevalente componente riabilitativa. </w:t>
      </w:r>
    </w:p>
    <w:p w:rsidR="004923F6" w:rsidRDefault="006543BA" w:rsidP="006543BA">
      <w:pPr>
        <w:spacing w:after="0" w:line="20" w:lineRule="atLeast"/>
        <w:jc w:val="both"/>
        <w:rPr>
          <w:rFonts w:cstheme="minorHAnsi"/>
        </w:rPr>
      </w:pPr>
      <w:r w:rsidRPr="006B0B81">
        <w:rPr>
          <w:rFonts w:cstheme="minorHAnsi"/>
        </w:rPr>
        <w:t xml:space="preserve">Pertanto, le strutture che saranno interessate dal riordino sono: </w:t>
      </w:r>
    </w:p>
    <w:p w:rsidR="004923F6" w:rsidRDefault="006543BA" w:rsidP="006543BA">
      <w:pPr>
        <w:spacing w:after="0" w:line="20" w:lineRule="atLeast"/>
        <w:jc w:val="both"/>
        <w:rPr>
          <w:rFonts w:cstheme="minorHAnsi"/>
        </w:rPr>
      </w:pPr>
      <w:r w:rsidRPr="006B0B81">
        <w:rPr>
          <w:rFonts w:cstheme="minorHAnsi"/>
        </w:rPr>
        <w:t xml:space="preserve">• le strutture sanitarie con degenze sub-acute; </w:t>
      </w:r>
    </w:p>
    <w:p w:rsidR="004923F6" w:rsidRDefault="006543BA" w:rsidP="006543BA">
      <w:pPr>
        <w:spacing w:after="0" w:line="20" w:lineRule="atLeast"/>
        <w:jc w:val="both"/>
        <w:rPr>
          <w:rFonts w:cstheme="minorHAnsi"/>
        </w:rPr>
      </w:pPr>
      <w:r w:rsidRPr="006B0B81">
        <w:rPr>
          <w:rFonts w:cstheme="minorHAnsi"/>
        </w:rPr>
        <w:t xml:space="preserve">• le strutture che hanno avviato degenze sperimentali post-acute; </w:t>
      </w:r>
    </w:p>
    <w:p w:rsidR="004923F6" w:rsidRDefault="006543BA" w:rsidP="006543BA">
      <w:pPr>
        <w:spacing w:after="0" w:line="20" w:lineRule="atLeast"/>
        <w:jc w:val="both"/>
        <w:rPr>
          <w:rFonts w:cstheme="minorHAnsi"/>
        </w:rPr>
      </w:pPr>
      <w:r w:rsidRPr="006B0B81">
        <w:rPr>
          <w:rFonts w:cstheme="minorHAnsi"/>
        </w:rPr>
        <w:t xml:space="preserve">• gli istituti di riabilitazione ex art. 26, oggi afferenti alle cure intermedie con posti accreditati di mantenimento/stabilizzazione e/o con posti di riabilitazione generale e geriatrica che eroghino profili di cura riconducibili all’assistenza residenziale extraospedaliera; </w:t>
      </w:r>
    </w:p>
    <w:p w:rsidR="007E24FC" w:rsidRDefault="006543BA" w:rsidP="004923F6">
      <w:pPr>
        <w:spacing w:after="0" w:line="20" w:lineRule="atLeast"/>
        <w:jc w:val="both"/>
        <w:rPr>
          <w:rFonts w:cstheme="minorHAnsi"/>
        </w:rPr>
      </w:pPr>
      <w:r w:rsidRPr="006B0B81">
        <w:rPr>
          <w:rFonts w:cstheme="minorHAnsi"/>
        </w:rPr>
        <w:t>• le degenze dei progetti PRINGE e STAR. Se, a seguito della ridefinizione del fabbisogno territoriale, dovessero residuare eventuali quote di budget non riassegnate su posti letto di degenze di comunità, le stesse dovranno essere utilizzate per il potenziamento dell’offerta territoriale della stessa ATS</w:t>
      </w:r>
      <w:r w:rsidR="004923F6">
        <w:rPr>
          <w:rFonts w:cstheme="minorHAnsi"/>
        </w:rPr>
        <w:t>.</w:t>
      </w:r>
    </w:p>
    <w:p w:rsidR="007E24FC" w:rsidRPr="000574E8" w:rsidRDefault="007E24FC" w:rsidP="007E24FC">
      <w:pPr>
        <w:pStyle w:val="Pa11"/>
        <w:spacing w:line="20" w:lineRule="atLeast"/>
        <w:jc w:val="both"/>
        <w:rPr>
          <w:rFonts w:asciiTheme="minorHAnsi" w:hAnsiTheme="minorHAnsi" w:cstheme="minorHAnsi"/>
          <w:bCs/>
          <w:sz w:val="22"/>
          <w:szCs w:val="22"/>
        </w:rPr>
      </w:pPr>
    </w:p>
    <w:p w:rsidR="007E24FC" w:rsidRPr="000574E8" w:rsidRDefault="007E24FC" w:rsidP="007E24FC">
      <w:pPr>
        <w:pStyle w:val="Pa11"/>
        <w:pBdr>
          <w:top w:val="single" w:sz="4" w:space="1" w:color="auto"/>
          <w:left w:val="single" w:sz="4" w:space="4" w:color="auto"/>
          <w:bottom w:val="single" w:sz="4" w:space="1" w:color="auto"/>
          <w:right w:val="single" w:sz="4" w:space="4" w:color="auto"/>
          <w:between w:val="single" w:sz="4" w:space="1" w:color="auto"/>
          <w:bar w:val="single" w:sz="4" w:color="auto"/>
        </w:pBdr>
        <w:spacing w:line="20" w:lineRule="atLeast"/>
        <w:jc w:val="center"/>
        <w:rPr>
          <w:rFonts w:asciiTheme="minorHAnsi" w:hAnsiTheme="minorHAnsi" w:cstheme="minorHAnsi"/>
          <w:b/>
          <w:bCs/>
          <w:sz w:val="22"/>
          <w:szCs w:val="22"/>
        </w:rPr>
      </w:pPr>
      <w:r w:rsidRPr="000574E8">
        <w:rPr>
          <w:rFonts w:asciiTheme="minorHAnsi" w:hAnsiTheme="minorHAnsi" w:cstheme="minorHAnsi"/>
          <w:b/>
          <w:bCs/>
          <w:sz w:val="22"/>
          <w:szCs w:val="22"/>
        </w:rPr>
        <w:t>TUTELA DEI DIRITTI</w:t>
      </w:r>
    </w:p>
    <w:p w:rsidR="007E24FC" w:rsidRPr="000574E8" w:rsidRDefault="007E24FC" w:rsidP="007E24FC">
      <w:pPr>
        <w:pStyle w:val="Default"/>
      </w:pPr>
    </w:p>
    <w:p w:rsidR="007E24FC" w:rsidRPr="000574E8" w:rsidRDefault="007E24FC" w:rsidP="007E24FC">
      <w:pPr>
        <w:pStyle w:val="Pa11"/>
        <w:spacing w:line="20" w:lineRule="atLeast"/>
        <w:jc w:val="both"/>
        <w:rPr>
          <w:rFonts w:asciiTheme="minorHAnsi" w:hAnsiTheme="minorHAnsi" w:cstheme="minorHAnsi"/>
          <w:bCs/>
          <w:sz w:val="22"/>
          <w:szCs w:val="22"/>
        </w:rPr>
      </w:pPr>
      <w:r w:rsidRPr="000574E8">
        <w:rPr>
          <w:rFonts w:asciiTheme="minorHAnsi" w:hAnsiTheme="minorHAnsi" w:cstheme="minorHAnsi"/>
          <w:b/>
          <w:bCs/>
          <w:sz w:val="22"/>
          <w:szCs w:val="22"/>
        </w:rPr>
        <w:t>D.d.u.o. 31 luglio 2019 - n. 11316 I</w:t>
      </w:r>
      <w:r w:rsidRPr="000574E8">
        <w:rPr>
          <w:rFonts w:asciiTheme="minorHAnsi" w:hAnsiTheme="minorHAnsi" w:cstheme="minorHAnsi"/>
          <w:bCs/>
          <w:sz w:val="22"/>
          <w:szCs w:val="22"/>
        </w:rPr>
        <w:t>scrizione all’albo regionale dei centri antiviolenza, delle case rifugio e delle case di accoglienza – Sezione B «Case rifugio» – «La Tua Isola societ</w:t>
      </w:r>
      <w:r>
        <w:rPr>
          <w:rFonts w:asciiTheme="minorHAnsi" w:hAnsiTheme="minorHAnsi" w:cstheme="minorHAnsi"/>
          <w:bCs/>
          <w:sz w:val="22"/>
          <w:szCs w:val="22"/>
        </w:rPr>
        <w:t>à</w:t>
      </w:r>
      <w:r w:rsidRPr="000574E8">
        <w:rPr>
          <w:rFonts w:asciiTheme="minorHAnsi" w:hAnsiTheme="minorHAnsi" w:cstheme="minorHAnsi"/>
          <w:bCs/>
          <w:sz w:val="22"/>
          <w:szCs w:val="22"/>
        </w:rPr>
        <w:t xml:space="preserve"> cooperativa sociale a r.l.»</w:t>
      </w:r>
      <w:r w:rsidRPr="000574E8">
        <w:rPr>
          <w:rFonts w:asciiTheme="minorHAnsi" w:hAnsiTheme="minorHAnsi" w:cstheme="minorHAnsi"/>
          <w:b/>
          <w:bCs/>
          <w:sz w:val="22"/>
          <w:szCs w:val="22"/>
        </w:rPr>
        <w:t xml:space="preserve"> </w:t>
      </w:r>
      <w:r w:rsidRPr="000574E8">
        <w:rPr>
          <w:rFonts w:asciiTheme="minorHAnsi" w:hAnsiTheme="minorHAnsi" w:cstheme="minorHAnsi"/>
          <w:bCs/>
          <w:sz w:val="22"/>
          <w:szCs w:val="22"/>
        </w:rPr>
        <w:t>(BUR n. 33 del 13.8.19</w:t>
      </w:r>
      <w:r>
        <w:rPr>
          <w:rFonts w:asciiTheme="minorHAnsi" w:hAnsiTheme="minorHAnsi" w:cstheme="minorHAnsi"/>
          <w:bCs/>
          <w:sz w:val="22"/>
          <w:szCs w:val="22"/>
        </w:rPr>
        <w:t>)</w:t>
      </w:r>
    </w:p>
    <w:p w:rsidR="007E24FC" w:rsidRDefault="007E24FC" w:rsidP="007E24FC">
      <w:pPr>
        <w:pStyle w:val="Pa11"/>
        <w:spacing w:line="20" w:lineRule="atLeast"/>
        <w:jc w:val="both"/>
        <w:rPr>
          <w:rFonts w:asciiTheme="minorHAnsi" w:hAnsiTheme="minorHAnsi" w:cstheme="minorHAnsi"/>
          <w:b/>
          <w:bCs/>
          <w:sz w:val="22"/>
          <w:szCs w:val="22"/>
        </w:rPr>
      </w:pPr>
      <w:r>
        <w:rPr>
          <w:rFonts w:asciiTheme="minorHAnsi" w:hAnsiTheme="minorHAnsi" w:cstheme="minorHAnsi"/>
          <w:b/>
          <w:bCs/>
          <w:sz w:val="22"/>
          <w:szCs w:val="22"/>
        </w:rPr>
        <w:t>Note</w:t>
      </w:r>
    </w:p>
    <w:p w:rsidR="007E24FC" w:rsidRPr="000574E8" w:rsidRDefault="007E24FC" w:rsidP="007E24FC">
      <w:pPr>
        <w:pStyle w:val="Pa18"/>
        <w:spacing w:line="20" w:lineRule="atLeast"/>
        <w:jc w:val="both"/>
        <w:rPr>
          <w:rFonts w:asciiTheme="minorHAnsi" w:hAnsiTheme="minorHAnsi" w:cstheme="minorHAnsi"/>
          <w:sz w:val="22"/>
          <w:szCs w:val="22"/>
        </w:rPr>
      </w:pPr>
      <w:proofErr w:type="gramStart"/>
      <w:r>
        <w:rPr>
          <w:rFonts w:asciiTheme="minorHAnsi" w:hAnsiTheme="minorHAnsi" w:cstheme="minorHAnsi"/>
          <w:sz w:val="22"/>
          <w:szCs w:val="22"/>
        </w:rPr>
        <w:t xml:space="preserve">Viene </w:t>
      </w:r>
      <w:r w:rsidRPr="000574E8">
        <w:rPr>
          <w:rFonts w:asciiTheme="minorHAnsi" w:hAnsiTheme="minorHAnsi" w:cstheme="minorHAnsi"/>
          <w:sz w:val="22"/>
          <w:szCs w:val="22"/>
        </w:rPr>
        <w:t xml:space="preserve"> iscri</w:t>
      </w:r>
      <w:r>
        <w:rPr>
          <w:rFonts w:asciiTheme="minorHAnsi" w:hAnsiTheme="minorHAnsi" w:cstheme="minorHAnsi"/>
          <w:sz w:val="22"/>
          <w:szCs w:val="22"/>
        </w:rPr>
        <w:t>tta</w:t>
      </w:r>
      <w:proofErr w:type="gramEnd"/>
      <w:r>
        <w:rPr>
          <w:rFonts w:asciiTheme="minorHAnsi" w:hAnsiTheme="minorHAnsi" w:cstheme="minorHAnsi"/>
          <w:sz w:val="22"/>
          <w:szCs w:val="22"/>
        </w:rPr>
        <w:t xml:space="preserve"> </w:t>
      </w:r>
      <w:r w:rsidRPr="000574E8">
        <w:rPr>
          <w:rFonts w:asciiTheme="minorHAnsi" w:hAnsiTheme="minorHAnsi" w:cstheme="minorHAnsi"/>
          <w:sz w:val="22"/>
          <w:szCs w:val="22"/>
        </w:rPr>
        <w:t xml:space="preserve"> «LA TUA ISOLA società cooperativa sociale a.r.l.» – cod. fiscale 07469290964 – Via Roma 20 – 20082 Binasco (MI) al n. 27 nella sezione B «Case Rifugio», dell’Albo regionale dei centri antiviolenza, delle case rifugio e delle case di acco</w:t>
      </w:r>
      <w:r w:rsidRPr="000574E8">
        <w:rPr>
          <w:rFonts w:asciiTheme="minorHAnsi" w:hAnsiTheme="minorHAnsi" w:cstheme="minorHAnsi"/>
          <w:sz w:val="22"/>
          <w:szCs w:val="22"/>
        </w:rPr>
        <w:softHyphen/>
        <w:t>glienza con efficacia dalla data di approvazione del presente provvedimento</w:t>
      </w:r>
      <w:r>
        <w:rPr>
          <w:rFonts w:asciiTheme="minorHAnsi" w:hAnsiTheme="minorHAnsi" w:cstheme="minorHAnsi"/>
          <w:sz w:val="22"/>
          <w:szCs w:val="22"/>
        </w:rPr>
        <w:t>.</w:t>
      </w:r>
      <w:r w:rsidRPr="000574E8">
        <w:rPr>
          <w:rFonts w:asciiTheme="minorHAnsi" w:hAnsiTheme="minorHAnsi" w:cstheme="minorHAnsi"/>
          <w:sz w:val="22"/>
          <w:szCs w:val="22"/>
        </w:rPr>
        <w:t xml:space="preserve"> </w:t>
      </w:r>
    </w:p>
    <w:p w:rsidR="007E24FC" w:rsidRDefault="007E24FC" w:rsidP="007E24FC">
      <w:pPr>
        <w:pStyle w:val="Pa18"/>
        <w:spacing w:line="20" w:lineRule="atLeast"/>
        <w:jc w:val="both"/>
        <w:rPr>
          <w:rFonts w:asciiTheme="minorHAnsi" w:hAnsiTheme="minorHAnsi" w:cstheme="minorHAnsi"/>
          <w:sz w:val="22"/>
          <w:szCs w:val="22"/>
        </w:rPr>
      </w:pPr>
      <w:r>
        <w:rPr>
          <w:rFonts w:asciiTheme="minorHAnsi" w:hAnsiTheme="minorHAnsi" w:cstheme="minorHAnsi"/>
          <w:sz w:val="22"/>
          <w:szCs w:val="22"/>
        </w:rPr>
        <w:t>S</w:t>
      </w:r>
      <w:r w:rsidRPr="000574E8">
        <w:rPr>
          <w:rFonts w:asciiTheme="minorHAnsi" w:hAnsiTheme="minorHAnsi" w:cstheme="minorHAnsi"/>
          <w:sz w:val="22"/>
          <w:szCs w:val="22"/>
        </w:rPr>
        <w:t>i procede all’aggiornamento e approvazione della sezione B «Case di Accoglienza» dell’Albo regionale dei cen</w:t>
      </w:r>
      <w:r w:rsidRPr="000574E8">
        <w:rPr>
          <w:rFonts w:asciiTheme="minorHAnsi" w:hAnsiTheme="minorHAnsi" w:cstheme="minorHAnsi"/>
          <w:sz w:val="22"/>
          <w:szCs w:val="22"/>
        </w:rPr>
        <w:softHyphen/>
        <w:t>tri antiviolenza, delle case rifugio e delle case di accoglienza</w:t>
      </w:r>
      <w:r>
        <w:rPr>
          <w:rFonts w:asciiTheme="minorHAnsi" w:hAnsiTheme="minorHAnsi" w:cstheme="minorHAnsi"/>
          <w:sz w:val="22"/>
          <w:szCs w:val="22"/>
        </w:rPr>
        <w:t>.</w:t>
      </w:r>
    </w:p>
    <w:p w:rsidR="00C66142" w:rsidRDefault="00C66142" w:rsidP="00C66142">
      <w:pPr>
        <w:pStyle w:val="Default"/>
      </w:pPr>
    </w:p>
    <w:p w:rsidR="006A1534" w:rsidRPr="000574E8" w:rsidRDefault="00C66142" w:rsidP="006A1534">
      <w:pPr>
        <w:pStyle w:val="Pa11"/>
        <w:spacing w:line="20" w:lineRule="atLeast"/>
        <w:jc w:val="both"/>
        <w:rPr>
          <w:rFonts w:asciiTheme="minorHAnsi" w:hAnsiTheme="minorHAnsi" w:cstheme="minorHAnsi"/>
          <w:bCs/>
          <w:sz w:val="22"/>
          <w:szCs w:val="22"/>
        </w:rPr>
      </w:pPr>
      <w:r w:rsidRPr="00B73FD1">
        <w:rPr>
          <w:rFonts w:asciiTheme="minorHAnsi" w:hAnsiTheme="minorHAnsi" w:cstheme="minorHAnsi"/>
          <w:b/>
          <w:bCs/>
          <w:color w:val="000000"/>
          <w:sz w:val="22"/>
          <w:szCs w:val="22"/>
        </w:rPr>
        <w:t xml:space="preserve">D.d.u.o. 1 agosto 2019 - n. </w:t>
      </w:r>
      <w:proofErr w:type="gramStart"/>
      <w:r w:rsidRPr="00B73FD1">
        <w:rPr>
          <w:rFonts w:asciiTheme="minorHAnsi" w:hAnsiTheme="minorHAnsi" w:cstheme="minorHAnsi"/>
          <w:b/>
          <w:bCs/>
          <w:color w:val="000000"/>
          <w:sz w:val="22"/>
          <w:szCs w:val="22"/>
        </w:rPr>
        <w:t>11481</w:t>
      </w:r>
      <w:r>
        <w:rPr>
          <w:rFonts w:asciiTheme="minorHAnsi" w:hAnsiTheme="minorHAnsi" w:cstheme="minorHAnsi"/>
          <w:b/>
          <w:bCs/>
          <w:color w:val="000000"/>
          <w:sz w:val="22"/>
          <w:szCs w:val="22"/>
        </w:rPr>
        <w:t xml:space="preserve">,  </w:t>
      </w:r>
      <w:r w:rsidRPr="000574E8">
        <w:rPr>
          <w:rFonts w:asciiTheme="minorHAnsi" w:hAnsiTheme="minorHAnsi" w:cstheme="minorHAnsi"/>
          <w:bCs/>
          <w:sz w:val="22"/>
          <w:szCs w:val="22"/>
        </w:rPr>
        <w:t>Iscrizione</w:t>
      </w:r>
      <w:proofErr w:type="gramEnd"/>
      <w:r w:rsidRPr="000574E8">
        <w:rPr>
          <w:rFonts w:asciiTheme="minorHAnsi" w:hAnsiTheme="minorHAnsi" w:cstheme="minorHAnsi"/>
          <w:bCs/>
          <w:sz w:val="22"/>
          <w:szCs w:val="22"/>
        </w:rPr>
        <w:t xml:space="preserve"> all’Albo regionale dei Centri Antiviolenza, delle Case Rifugio e delle Case di Accoglienza – sezione C «Case di Accoglienza» – «Fondazione Madre Rosa Gozzoli ONLUS» </w:t>
      </w:r>
      <w:r w:rsidRPr="00B73FD1">
        <w:rPr>
          <w:rFonts w:asciiTheme="minorHAnsi" w:hAnsiTheme="minorHAnsi" w:cstheme="minorHAnsi"/>
          <w:sz w:val="22"/>
          <w:szCs w:val="22"/>
        </w:rPr>
        <w:t xml:space="preserve"> </w:t>
      </w:r>
      <w:r w:rsidR="00D14FB5">
        <w:rPr>
          <w:rFonts w:asciiTheme="minorHAnsi" w:hAnsiTheme="minorHAnsi" w:cstheme="minorHAnsi"/>
          <w:sz w:val="22"/>
          <w:szCs w:val="22"/>
        </w:rPr>
        <w:t>(</w:t>
      </w:r>
      <w:r w:rsidR="006A1534" w:rsidRPr="000574E8">
        <w:rPr>
          <w:rFonts w:asciiTheme="minorHAnsi" w:hAnsiTheme="minorHAnsi" w:cstheme="minorHAnsi"/>
          <w:bCs/>
          <w:sz w:val="22"/>
          <w:szCs w:val="22"/>
        </w:rPr>
        <w:t>BUR n. 33 del 13.8.19</w:t>
      </w:r>
      <w:r w:rsidR="006A1534">
        <w:rPr>
          <w:rFonts w:asciiTheme="minorHAnsi" w:hAnsiTheme="minorHAnsi" w:cstheme="minorHAnsi"/>
          <w:bCs/>
          <w:sz w:val="22"/>
          <w:szCs w:val="22"/>
        </w:rPr>
        <w:t>)</w:t>
      </w:r>
    </w:p>
    <w:p w:rsidR="00C66142" w:rsidRPr="000574E8" w:rsidRDefault="00C66142" w:rsidP="00C66142">
      <w:pPr>
        <w:pStyle w:val="Pa18"/>
        <w:spacing w:line="20" w:lineRule="atLeast"/>
        <w:jc w:val="both"/>
        <w:rPr>
          <w:rFonts w:asciiTheme="minorHAnsi" w:hAnsiTheme="minorHAnsi" w:cstheme="minorHAnsi"/>
          <w:b/>
          <w:sz w:val="22"/>
          <w:szCs w:val="22"/>
        </w:rPr>
      </w:pPr>
      <w:r w:rsidRPr="000574E8">
        <w:rPr>
          <w:rFonts w:asciiTheme="minorHAnsi" w:hAnsiTheme="minorHAnsi" w:cstheme="minorHAnsi"/>
          <w:b/>
          <w:sz w:val="22"/>
          <w:szCs w:val="22"/>
        </w:rPr>
        <w:t>Note</w:t>
      </w:r>
    </w:p>
    <w:p w:rsidR="00C66142" w:rsidRDefault="00C66142" w:rsidP="00C66142">
      <w:pPr>
        <w:pStyle w:val="Pa18"/>
        <w:spacing w:line="20" w:lineRule="atLeast"/>
        <w:jc w:val="both"/>
        <w:rPr>
          <w:rFonts w:asciiTheme="minorHAnsi" w:hAnsiTheme="minorHAnsi" w:cstheme="minorHAnsi"/>
          <w:sz w:val="22"/>
          <w:szCs w:val="22"/>
        </w:rPr>
      </w:pPr>
      <w:r>
        <w:rPr>
          <w:rFonts w:asciiTheme="minorHAnsi" w:hAnsiTheme="minorHAnsi" w:cstheme="minorHAnsi"/>
          <w:sz w:val="22"/>
          <w:szCs w:val="22"/>
        </w:rPr>
        <w:t xml:space="preserve">Viene </w:t>
      </w:r>
      <w:r w:rsidRPr="00B73FD1">
        <w:rPr>
          <w:rFonts w:asciiTheme="minorHAnsi" w:hAnsiTheme="minorHAnsi" w:cstheme="minorHAnsi"/>
          <w:sz w:val="22"/>
          <w:szCs w:val="22"/>
        </w:rPr>
        <w:t>iscri</w:t>
      </w:r>
      <w:r>
        <w:rPr>
          <w:rFonts w:asciiTheme="minorHAnsi" w:hAnsiTheme="minorHAnsi" w:cstheme="minorHAnsi"/>
          <w:sz w:val="22"/>
          <w:szCs w:val="22"/>
        </w:rPr>
        <w:t xml:space="preserve">tta </w:t>
      </w:r>
      <w:r w:rsidRPr="00B73FD1">
        <w:rPr>
          <w:rFonts w:asciiTheme="minorHAnsi" w:hAnsiTheme="minorHAnsi" w:cstheme="minorHAnsi"/>
          <w:sz w:val="22"/>
          <w:szCs w:val="22"/>
        </w:rPr>
        <w:t>la «Fondazione Madre Rosa Gozzoli ONLUS» – cod. fiscale 93042380191 – Via Geremia Bonomelli 60 – 26100 Cremona (CR) al n. 19 nella sezione C «Case di Accoglienza», dell'Albo regionale dei centri antiviolenza, delle case rifugio e delle case di accoglienza con efficacia dalla data di approva</w:t>
      </w:r>
      <w:r w:rsidRPr="00B73FD1">
        <w:rPr>
          <w:rFonts w:asciiTheme="minorHAnsi" w:hAnsiTheme="minorHAnsi" w:cstheme="minorHAnsi"/>
          <w:sz w:val="22"/>
          <w:szCs w:val="22"/>
        </w:rPr>
        <w:softHyphen/>
        <w:t>zione del presente provvedimento</w:t>
      </w:r>
      <w:r>
        <w:rPr>
          <w:rFonts w:asciiTheme="minorHAnsi" w:hAnsiTheme="minorHAnsi" w:cstheme="minorHAnsi"/>
          <w:sz w:val="22"/>
          <w:szCs w:val="22"/>
        </w:rPr>
        <w:t>.</w:t>
      </w:r>
    </w:p>
    <w:p w:rsidR="00C66142" w:rsidRDefault="00C66142" w:rsidP="00C66142">
      <w:pPr>
        <w:pStyle w:val="Pa18"/>
        <w:spacing w:line="20" w:lineRule="atLeast"/>
        <w:jc w:val="both"/>
        <w:rPr>
          <w:rFonts w:asciiTheme="minorHAnsi" w:hAnsiTheme="minorHAnsi" w:cstheme="minorHAnsi"/>
          <w:sz w:val="22"/>
          <w:szCs w:val="22"/>
        </w:rPr>
      </w:pPr>
      <w:proofErr w:type="gramStart"/>
      <w:r>
        <w:rPr>
          <w:rFonts w:asciiTheme="minorHAnsi" w:hAnsiTheme="minorHAnsi" w:cstheme="minorHAnsi"/>
          <w:sz w:val="22"/>
          <w:szCs w:val="22"/>
        </w:rPr>
        <w:t xml:space="preserve">Si </w:t>
      </w:r>
      <w:r w:rsidRPr="00B73FD1">
        <w:rPr>
          <w:rFonts w:asciiTheme="minorHAnsi" w:hAnsiTheme="minorHAnsi" w:cstheme="minorHAnsi"/>
          <w:sz w:val="22"/>
          <w:szCs w:val="22"/>
        </w:rPr>
        <w:t xml:space="preserve"> procede</w:t>
      </w:r>
      <w:proofErr w:type="gramEnd"/>
      <w:r w:rsidRPr="00B73FD1">
        <w:rPr>
          <w:rFonts w:asciiTheme="minorHAnsi" w:hAnsiTheme="minorHAnsi" w:cstheme="minorHAnsi"/>
          <w:sz w:val="22"/>
          <w:szCs w:val="22"/>
        </w:rPr>
        <w:t xml:space="preserve"> all’aggiornamento e approvazione della se</w:t>
      </w:r>
      <w:r w:rsidRPr="00B73FD1">
        <w:rPr>
          <w:rFonts w:asciiTheme="minorHAnsi" w:hAnsiTheme="minorHAnsi" w:cstheme="minorHAnsi"/>
          <w:sz w:val="22"/>
          <w:szCs w:val="22"/>
        </w:rPr>
        <w:softHyphen/>
        <w:t>zione C «Case di Accoglienza» dell’Albo regionale dei centri antiviolenza, delle case rifugio e delle case di accoglienza</w:t>
      </w:r>
      <w:r>
        <w:rPr>
          <w:rFonts w:asciiTheme="minorHAnsi" w:hAnsiTheme="minorHAnsi" w:cstheme="minorHAnsi"/>
          <w:sz w:val="22"/>
          <w:szCs w:val="22"/>
        </w:rPr>
        <w:t>.</w:t>
      </w:r>
      <w:r w:rsidRPr="00B73FD1">
        <w:rPr>
          <w:rFonts w:asciiTheme="minorHAnsi" w:hAnsiTheme="minorHAnsi" w:cstheme="minorHAnsi"/>
          <w:sz w:val="22"/>
          <w:szCs w:val="22"/>
        </w:rPr>
        <w:t xml:space="preserve"> </w:t>
      </w:r>
    </w:p>
    <w:p w:rsidR="000B6E79" w:rsidRDefault="000B6E79" w:rsidP="000B6E79">
      <w:pPr>
        <w:pStyle w:val="Default"/>
      </w:pPr>
    </w:p>
    <w:p w:rsidR="00EA7782" w:rsidRDefault="000B6E79" w:rsidP="00EA7782">
      <w:pPr>
        <w:pStyle w:val="Default"/>
        <w:jc w:val="both"/>
        <w:rPr>
          <w:rFonts w:asciiTheme="minorHAnsi" w:hAnsiTheme="minorHAnsi" w:cstheme="minorHAnsi"/>
          <w:sz w:val="22"/>
          <w:szCs w:val="22"/>
        </w:rPr>
      </w:pPr>
      <w:r w:rsidRPr="00EA7782">
        <w:rPr>
          <w:rFonts w:asciiTheme="minorHAnsi" w:hAnsiTheme="minorHAnsi" w:cstheme="minorHAnsi"/>
          <w:b/>
          <w:sz w:val="22"/>
          <w:szCs w:val="22"/>
        </w:rPr>
        <w:t xml:space="preserve">D.d.u.o. 21 agosto </w:t>
      </w:r>
      <w:proofErr w:type="gramStart"/>
      <w:r w:rsidRPr="00EA7782">
        <w:rPr>
          <w:rFonts w:asciiTheme="minorHAnsi" w:hAnsiTheme="minorHAnsi" w:cstheme="minorHAnsi"/>
          <w:b/>
          <w:sz w:val="22"/>
          <w:szCs w:val="22"/>
        </w:rPr>
        <w:t>2019</w:t>
      </w:r>
      <w:r w:rsidR="00EA7782" w:rsidRPr="00EA7782">
        <w:rPr>
          <w:rFonts w:asciiTheme="minorHAnsi" w:hAnsiTheme="minorHAnsi" w:cstheme="minorHAnsi"/>
          <w:b/>
          <w:sz w:val="22"/>
          <w:szCs w:val="22"/>
        </w:rPr>
        <w:t xml:space="preserve">, </w:t>
      </w:r>
      <w:r w:rsidRPr="00EA7782">
        <w:rPr>
          <w:rFonts w:asciiTheme="minorHAnsi" w:hAnsiTheme="minorHAnsi" w:cstheme="minorHAnsi"/>
          <w:b/>
          <w:sz w:val="22"/>
          <w:szCs w:val="22"/>
        </w:rPr>
        <w:t xml:space="preserve"> n.</w:t>
      </w:r>
      <w:proofErr w:type="gramEnd"/>
      <w:r w:rsidRPr="00EA7782">
        <w:rPr>
          <w:rFonts w:asciiTheme="minorHAnsi" w:hAnsiTheme="minorHAnsi" w:cstheme="minorHAnsi"/>
          <w:b/>
          <w:sz w:val="22"/>
          <w:szCs w:val="22"/>
        </w:rPr>
        <w:t xml:space="preserve"> 12163</w:t>
      </w:r>
      <w:r w:rsidR="00EA7782">
        <w:rPr>
          <w:rFonts w:asciiTheme="minorHAnsi" w:hAnsiTheme="minorHAnsi" w:cstheme="minorHAnsi"/>
          <w:sz w:val="22"/>
          <w:szCs w:val="22"/>
        </w:rPr>
        <w:t xml:space="preserve">, </w:t>
      </w:r>
      <w:r w:rsidRPr="00EA7782">
        <w:rPr>
          <w:rFonts w:asciiTheme="minorHAnsi" w:hAnsiTheme="minorHAnsi" w:cstheme="minorHAnsi"/>
          <w:sz w:val="22"/>
          <w:szCs w:val="22"/>
        </w:rPr>
        <w:t xml:space="preserve"> Iscrizione all’albo regionale dei centri antiviolenza, delle case rifugio e delle case di accoglienza – Sezione B «Case rifugio» – «Cooperativa sociale </w:t>
      </w:r>
      <w:r w:rsidR="0063370C" w:rsidRPr="00EA7782">
        <w:rPr>
          <w:rFonts w:asciiTheme="minorHAnsi" w:hAnsiTheme="minorHAnsi" w:cstheme="minorHAnsi"/>
          <w:sz w:val="22"/>
          <w:szCs w:val="22"/>
        </w:rPr>
        <w:t>Rinnovamento</w:t>
      </w:r>
      <w:r w:rsidR="000E0F29" w:rsidRPr="00EA7782">
        <w:rPr>
          <w:rFonts w:asciiTheme="minorHAnsi" w:hAnsiTheme="minorHAnsi" w:cstheme="minorHAnsi"/>
          <w:sz w:val="22"/>
          <w:szCs w:val="22"/>
        </w:rPr>
        <w:t xml:space="preserve"> </w:t>
      </w:r>
      <w:r w:rsidRPr="00EA7782">
        <w:rPr>
          <w:rFonts w:asciiTheme="minorHAnsi" w:hAnsiTheme="minorHAnsi" w:cstheme="minorHAnsi"/>
          <w:sz w:val="22"/>
          <w:szCs w:val="22"/>
        </w:rPr>
        <w:t>onlus»</w:t>
      </w:r>
      <w:r w:rsidR="00EA7782">
        <w:rPr>
          <w:rFonts w:asciiTheme="minorHAnsi" w:hAnsiTheme="minorHAnsi" w:cstheme="minorHAnsi"/>
          <w:sz w:val="22"/>
          <w:szCs w:val="22"/>
        </w:rPr>
        <w:t xml:space="preserve"> (BUR n. 35 del 29.8.19)</w:t>
      </w:r>
    </w:p>
    <w:p w:rsidR="00EA7782" w:rsidRPr="00EA7782" w:rsidRDefault="00EA7782" w:rsidP="00EA7782">
      <w:pPr>
        <w:pStyle w:val="Default"/>
        <w:jc w:val="both"/>
        <w:rPr>
          <w:rFonts w:asciiTheme="minorHAnsi" w:hAnsiTheme="minorHAnsi" w:cstheme="minorHAnsi"/>
          <w:b/>
          <w:sz w:val="22"/>
          <w:szCs w:val="22"/>
        </w:rPr>
      </w:pPr>
      <w:r w:rsidRPr="00EA7782">
        <w:rPr>
          <w:rFonts w:asciiTheme="minorHAnsi" w:hAnsiTheme="minorHAnsi" w:cstheme="minorHAnsi"/>
          <w:b/>
          <w:sz w:val="22"/>
          <w:szCs w:val="22"/>
        </w:rPr>
        <w:t>Note</w:t>
      </w:r>
      <w:r w:rsidR="000B6E79" w:rsidRPr="00EA7782">
        <w:rPr>
          <w:rFonts w:asciiTheme="minorHAnsi" w:hAnsiTheme="minorHAnsi" w:cstheme="minorHAnsi"/>
          <w:b/>
          <w:sz w:val="22"/>
          <w:szCs w:val="22"/>
        </w:rPr>
        <w:t xml:space="preserve"> </w:t>
      </w:r>
    </w:p>
    <w:p w:rsidR="000E0F29" w:rsidRDefault="00EA7782" w:rsidP="00EA7782">
      <w:pPr>
        <w:pStyle w:val="Default"/>
        <w:jc w:val="both"/>
        <w:rPr>
          <w:rFonts w:asciiTheme="minorHAnsi" w:hAnsiTheme="minorHAnsi" w:cstheme="minorHAnsi"/>
          <w:sz w:val="22"/>
          <w:szCs w:val="22"/>
        </w:rPr>
      </w:pPr>
      <w:r>
        <w:rPr>
          <w:rFonts w:asciiTheme="minorHAnsi" w:hAnsiTheme="minorHAnsi" w:cstheme="minorHAnsi"/>
          <w:sz w:val="22"/>
          <w:szCs w:val="22"/>
        </w:rPr>
        <w:t xml:space="preserve">Viene </w:t>
      </w:r>
      <w:r w:rsidR="000B6E79" w:rsidRPr="00EA7782">
        <w:rPr>
          <w:rFonts w:asciiTheme="minorHAnsi" w:hAnsiTheme="minorHAnsi" w:cstheme="minorHAnsi"/>
          <w:sz w:val="22"/>
          <w:szCs w:val="22"/>
        </w:rPr>
        <w:t>iscri</w:t>
      </w:r>
      <w:r>
        <w:rPr>
          <w:rFonts w:asciiTheme="minorHAnsi" w:hAnsiTheme="minorHAnsi" w:cstheme="minorHAnsi"/>
          <w:sz w:val="22"/>
          <w:szCs w:val="22"/>
        </w:rPr>
        <w:t>tta</w:t>
      </w:r>
      <w:r w:rsidR="000B6E79" w:rsidRPr="00EA7782">
        <w:rPr>
          <w:rFonts w:asciiTheme="minorHAnsi" w:hAnsiTheme="minorHAnsi" w:cstheme="minorHAnsi"/>
          <w:sz w:val="22"/>
          <w:szCs w:val="22"/>
        </w:rPr>
        <w:t xml:space="preserve"> la «Cooperativa Sociale RINNOVAMENTO </w:t>
      </w:r>
      <w:proofErr w:type="gramStart"/>
      <w:r w:rsidR="000B6E79" w:rsidRPr="00EA7782">
        <w:rPr>
          <w:rFonts w:asciiTheme="minorHAnsi" w:hAnsiTheme="minorHAnsi" w:cstheme="minorHAnsi"/>
          <w:sz w:val="22"/>
          <w:szCs w:val="22"/>
        </w:rPr>
        <w:t>Onlus»  nella</w:t>
      </w:r>
      <w:proofErr w:type="gramEnd"/>
      <w:r w:rsidR="000B6E79" w:rsidRPr="00EA7782">
        <w:rPr>
          <w:rFonts w:asciiTheme="minorHAnsi" w:hAnsiTheme="minorHAnsi" w:cstheme="minorHAnsi"/>
          <w:sz w:val="22"/>
          <w:szCs w:val="22"/>
        </w:rPr>
        <w:t xml:space="preserve"> sezione B «Case Rifugio», dell’Albo regionale dei centri antiviolenza, delle case rifugio e delle case di accoglienza con efficacia dalla data di approvazione del presente provvedimento</w:t>
      </w:r>
      <w:r w:rsidR="0063370C">
        <w:rPr>
          <w:rFonts w:asciiTheme="minorHAnsi" w:hAnsiTheme="minorHAnsi" w:cstheme="minorHAnsi"/>
          <w:sz w:val="22"/>
          <w:szCs w:val="22"/>
        </w:rPr>
        <w:t>.</w:t>
      </w:r>
    </w:p>
    <w:p w:rsidR="000B6E79" w:rsidRPr="00EA7782" w:rsidRDefault="000E0F29" w:rsidP="00EA7782">
      <w:pPr>
        <w:pStyle w:val="Default"/>
        <w:jc w:val="both"/>
        <w:rPr>
          <w:rFonts w:asciiTheme="minorHAnsi" w:hAnsiTheme="minorHAnsi" w:cstheme="minorHAnsi"/>
          <w:sz w:val="22"/>
          <w:szCs w:val="22"/>
        </w:rPr>
      </w:pPr>
      <w:proofErr w:type="gramStart"/>
      <w:r>
        <w:rPr>
          <w:rFonts w:asciiTheme="minorHAnsi" w:hAnsiTheme="minorHAnsi" w:cstheme="minorHAnsi"/>
          <w:sz w:val="22"/>
          <w:szCs w:val="22"/>
        </w:rPr>
        <w:t xml:space="preserve">Si </w:t>
      </w:r>
      <w:r w:rsidR="000B6E79" w:rsidRPr="00EA7782">
        <w:rPr>
          <w:rFonts w:asciiTheme="minorHAnsi" w:hAnsiTheme="minorHAnsi" w:cstheme="minorHAnsi"/>
          <w:sz w:val="22"/>
          <w:szCs w:val="22"/>
        </w:rPr>
        <w:t xml:space="preserve"> procede</w:t>
      </w:r>
      <w:proofErr w:type="gramEnd"/>
      <w:r w:rsidR="000B6E79" w:rsidRPr="00EA7782">
        <w:rPr>
          <w:rFonts w:asciiTheme="minorHAnsi" w:hAnsiTheme="minorHAnsi" w:cstheme="minorHAnsi"/>
          <w:sz w:val="22"/>
          <w:szCs w:val="22"/>
        </w:rPr>
        <w:t xml:space="preserve"> all’aggiornamento e approvazione della sezione B «Case Rifugio» dell’Albo regionale dei centri antiviolenza, delle case rifugio e delle case di accoglienza</w:t>
      </w:r>
      <w:r>
        <w:rPr>
          <w:rFonts w:asciiTheme="minorHAnsi" w:hAnsiTheme="minorHAnsi" w:cstheme="minorHAnsi"/>
          <w:sz w:val="22"/>
          <w:szCs w:val="22"/>
        </w:rPr>
        <w:t>.</w:t>
      </w:r>
      <w:r w:rsidR="000B6E79" w:rsidRPr="00EA7782">
        <w:rPr>
          <w:rFonts w:asciiTheme="minorHAnsi" w:hAnsiTheme="minorHAnsi" w:cstheme="minorHAnsi"/>
          <w:sz w:val="22"/>
          <w:szCs w:val="22"/>
        </w:rPr>
        <w:t xml:space="preserve"> </w:t>
      </w:r>
    </w:p>
    <w:p w:rsidR="000B6E79" w:rsidRPr="00EA7782" w:rsidRDefault="000B6E79" w:rsidP="00EA7782">
      <w:pPr>
        <w:pStyle w:val="Default"/>
        <w:jc w:val="both"/>
        <w:rPr>
          <w:rFonts w:asciiTheme="minorHAnsi" w:hAnsiTheme="minorHAnsi" w:cstheme="minorHAnsi"/>
          <w:sz w:val="22"/>
          <w:szCs w:val="22"/>
        </w:rPr>
      </w:pPr>
    </w:p>
    <w:p w:rsidR="000E0F29" w:rsidRDefault="000B6E79" w:rsidP="000E0F29">
      <w:pPr>
        <w:pStyle w:val="Default"/>
        <w:jc w:val="both"/>
        <w:rPr>
          <w:rFonts w:asciiTheme="minorHAnsi" w:hAnsiTheme="minorHAnsi" w:cstheme="minorHAnsi"/>
          <w:sz w:val="22"/>
          <w:szCs w:val="22"/>
        </w:rPr>
      </w:pPr>
      <w:r w:rsidRPr="000E0F29">
        <w:rPr>
          <w:rFonts w:asciiTheme="minorHAnsi" w:hAnsiTheme="minorHAnsi" w:cstheme="minorHAnsi"/>
          <w:b/>
          <w:sz w:val="22"/>
          <w:szCs w:val="22"/>
        </w:rPr>
        <w:t>D.d.u.o. 21 agosto 2019 - n. 12164</w:t>
      </w:r>
      <w:r w:rsidRPr="00EA7782">
        <w:rPr>
          <w:rFonts w:asciiTheme="minorHAnsi" w:hAnsiTheme="minorHAnsi" w:cstheme="minorHAnsi"/>
          <w:sz w:val="22"/>
          <w:szCs w:val="22"/>
        </w:rPr>
        <w:t xml:space="preserve"> Iscrizione all’albo regionale dei centri antiviolenza, delle case rifugio e delle case di accoglienza – Sezioni B «Case rifugio» e C «Case di accoglienza» – «La Sorgente - Società cooperativa sociale - onlus»</w:t>
      </w:r>
      <w:r w:rsidR="000E0F29">
        <w:rPr>
          <w:rFonts w:asciiTheme="minorHAnsi" w:hAnsiTheme="minorHAnsi" w:cstheme="minorHAnsi"/>
          <w:sz w:val="22"/>
          <w:szCs w:val="22"/>
        </w:rPr>
        <w:t xml:space="preserve"> (BUR n. 35 del 29.8.19)</w:t>
      </w:r>
    </w:p>
    <w:p w:rsidR="000E0F29" w:rsidRPr="00EA7782" w:rsidRDefault="000E0F29" w:rsidP="000E0F29">
      <w:pPr>
        <w:pStyle w:val="Default"/>
        <w:jc w:val="both"/>
        <w:rPr>
          <w:rFonts w:asciiTheme="minorHAnsi" w:hAnsiTheme="minorHAnsi" w:cstheme="minorHAnsi"/>
          <w:b/>
          <w:sz w:val="22"/>
          <w:szCs w:val="22"/>
        </w:rPr>
      </w:pPr>
      <w:r w:rsidRPr="00EA7782">
        <w:rPr>
          <w:rFonts w:asciiTheme="minorHAnsi" w:hAnsiTheme="minorHAnsi" w:cstheme="minorHAnsi"/>
          <w:b/>
          <w:sz w:val="22"/>
          <w:szCs w:val="22"/>
        </w:rPr>
        <w:t xml:space="preserve">Note </w:t>
      </w:r>
    </w:p>
    <w:p w:rsidR="000A54D9" w:rsidRDefault="000E0F29" w:rsidP="000E0F29">
      <w:pPr>
        <w:pStyle w:val="Default"/>
        <w:jc w:val="both"/>
        <w:rPr>
          <w:rFonts w:asciiTheme="minorHAnsi" w:hAnsiTheme="minorHAnsi" w:cstheme="minorHAnsi"/>
          <w:sz w:val="22"/>
          <w:szCs w:val="22"/>
        </w:rPr>
      </w:pPr>
      <w:r>
        <w:rPr>
          <w:rFonts w:asciiTheme="minorHAnsi" w:hAnsiTheme="minorHAnsi" w:cstheme="minorHAnsi"/>
          <w:sz w:val="22"/>
          <w:szCs w:val="22"/>
        </w:rPr>
        <w:t xml:space="preserve">Viene </w:t>
      </w:r>
      <w:r w:rsidRPr="00EA7782">
        <w:rPr>
          <w:rFonts w:asciiTheme="minorHAnsi" w:hAnsiTheme="minorHAnsi" w:cstheme="minorHAnsi"/>
          <w:sz w:val="22"/>
          <w:szCs w:val="22"/>
        </w:rPr>
        <w:t>iscri</w:t>
      </w:r>
      <w:r>
        <w:rPr>
          <w:rFonts w:asciiTheme="minorHAnsi" w:hAnsiTheme="minorHAnsi" w:cstheme="minorHAnsi"/>
          <w:sz w:val="22"/>
          <w:szCs w:val="22"/>
        </w:rPr>
        <w:t>tta</w:t>
      </w:r>
      <w:r w:rsidRPr="00EA7782">
        <w:rPr>
          <w:rFonts w:asciiTheme="minorHAnsi" w:hAnsiTheme="minorHAnsi" w:cstheme="minorHAnsi"/>
          <w:sz w:val="22"/>
          <w:szCs w:val="22"/>
        </w:rPr>
        <w:t xml:space="preserve"> la «Cooperativa Sociale </w:t>
      </w:r>
      <w:r w:rsidR="000A54D9" w:rsidRPr="00EA7782">
        <w:rPr>
          <w:rFonts w:asciiTheme="minorHAnsi" w:hAnsiTheme="minorHAnsi" w:cstheme="minorHAnsi"/>
          <w:sz w:val="22"/>
          <w:szCs w:val="22"/>
        </w:rPr>
        <w:t xml:space="preserve">«La Sorgente </w:t>
      </w:r>
      <w:proofErr w:type="gramStart"/>
      <w:r w:rsidRPr="00EA7782">
        <w:rPr>
          <w:rFonts w:asciiTheme="minorHAnsi" w:hAnsiTheme="minorHAnsi" w:cstheme="minorHAnsi"/>
          <w:sz w:val="22"/>
          <w:szCs w:val="22"/>
        </w:rPr>
        <w:t>Onlus»  nella</w:t>
      </w:r>
      <w:proofErr w:type="gramEnd"/>
      <w:r w:rsidRPr="00EA7782">
        <w:rPr>
          <w:rFonts w:asciiTheme="minorHAnsi" w:hAnsiTheme="minorHAnsi" w:cstheme="minorHAnsi"/>
          <w:sz w:val="22"/>
          <w:szCs w:val="22"/>
        </w:rPr>
        <w:t xml:space="preserve"> sezione B «Case Rifugio», </w:t>
      </w:r>
      <w:r w:rsidR="000A54D9">
        <w:rPr>
          <w:rFonts w:asciiTheme="minorHAnsi" w:hAnsiTheme="minorHAnsi" w:cstheme="minorHAnsi"/>
          <w:sz w:val="22"/>
          <w:szCs w:val="22"/>
        </w:rPr>
        <w:t xml:space="preserve"> e nella sezione C </w:t>
      </w:r>
    </w:p>
    <w:p w:rsidR="000E0F29" w:rsidRDefault="000A54D9" w:rsidP="000E0F29">
      <w:pPr>
        <w:pStyle w:val="Default"/>
        <w:jc w:val="both"/>
        <w:rPr>
          <w:rFonts w:asciiTheme="minorHAnsi" w:hAnsiTheme="minorHAnsi" w:cstheme="minorHAnsi"/>
          <w:sz w:val="22"/>
          <w:szCs w:val="22"/>
        </w:rPr>
      </w:pPr>
      <w:r w:rsidRPr="00EA7782">
        <w:rPr>
          <w:rFonts w:asciiTheme="minorHAnsi" w:hAnsiTheme="minorHAnsi" w:cstheme="minorHAnsi"/>
          <w:sz w:val="22"/>
          <w:szCs w:val="22"/>
        </w:rPr>
        <w:t xml:space="preserve">«Case di Accoglienza» </w:t>
      </w:r>
      <w:r w:rsidR="000E0F29" w:rsidRPr="00EA7782">
        <w:rPr>
          <w:rFonts w:asciiTheme="minorHAnsi" w:hAnsiTheme="minorHAnsi" w:cstheme="minorHAnsi"/>
          <w:sz w:val="22"/>
          <w:szCs w:val="22"/>
        </w:rPr>
        <w:t>dell’Albo regionale dei centri antiviolenza, delle case rifugio e delle case di accoglienza con efficacia dalla data di approvazione del presente provvedimento</w:t>
      </w:r>
    </w:p>
    <w:p w:rsidR="000E0F29" w:rsidRPr="00EA7782" w:rsidRDefault="000E0F29" w:rsidP="000E0F29">
      <w:pPr>
        <w:pStyle w:val="Default"/>
        <w:jc w:val="both"/>
        <w:rPr>
          <w:rFonts w:asciiTheme="minorHAnsi" w:hAnsiTheme="minorHAnsi" w:cstheme="minorHAnsi"/>
          <w:sz w:val="22"/>
          <w:szCs w:val="22"/>
        </w:rPr>
      </w:pPr>
      <w:proofErr w:type="gramStart"/>
      <w:r>
        <w:rPr>
          <w:rFonts w:asciiTheme="minorHAnsi" w:hAnsiTheme="minorHAnsi" w:cstheme="minorHAnsi"/>
          <w:sz w:val="22"/>
          <w:szCs w:val="22"/>
        </w:rPr>
        <w:lastRenderedPageBreak/>
        <w:t xml:space="preserve">Si </w:t>
      </w:r>
      <w:r w:rsidRPr="00EA7782">
        <w:rPr>
          <w:rFonts w:asciiTheme="minorHAnsi" w:hAnsiTheme="minorHAnsi" w:cstheme="minorHAnsi"/>
          <w:sz w:val="22"/>
          <w:szCs w:val="22"/>
        </w:rPr>
        <w:t xml:space="preserve"> procede</w:t>
      </w:r>
      <w:proofErr w:type="gramEnd"/>
      <w:r w:rsidRPr="00EA7782">
        <w:rPr>
          <w:rFonts w:asciiTheme="minorHAnsi" w:hAnsiTheme="minorHAnsi" w:cstheme="minorHAnsi"/>
          <w:sz w:val="22"/>
          <w:szCs w:val="22"/>
        </w:rPr>
        <w:t xml:space="preserve"> all’aggiornamento e approvazione dell</w:t>
      </w:r>
      <w:r w:rsidR="000A54D9">
        <w:rPr>
          <w:rFonts w:asciiTheme="minorHAnsi" w:hAnsiTheme="minorHAnsi" w:cstheme="minorHAnsi"/>
          <w:sz w:val="22"/>
          <w:szCs w:val="22"/>
        </w:rPr>
        <w:t xml:space="preserve">e </w:t>
      </w:r>
      <w:r w:rsidR="000A54D9" w:rsidRPr="00EA7782">
        <w:rPr>
          <w:rFonts w:asciiTheme="minorHAnsi" w:hAnsiTheme="minorHAnsi" w:cstheme="minorHAnsi"/>
          <w:sz w:val="22"/>
          <w:szCs w:val="22"/>
        </w:rPr>
        <w:t xml:space="preserve">sezioni B «Case Rifugio» e C «Case di Accoglienza» dell’Albo regionale dei centri antiviolenza, delle case rifugio e delle case di accoglienza </w:t>
      </w:r>
      <w:r w:rsidRPr="00EA7782">
        <w:rPr>
          <w:rFonts w:asciiTheme="minorHAnsi" w:hAnsiTheme="minorHAnsi" w:cstheme="minorHAnsi"/>
          <w:sz w:val="22"/>
          <w:szCs w:val="22"/>
        </w:rPr>
        <w:t>a sezione B «Case Rifugio» dell’Albo regionale dei centri antiviolenza, delle case rifugio e delle case di accoglienza</w:t>
      </w:r>
      <w:r>
        <w:rPr>
          <w:rFonts w:asciiTheme="minorHAnsi" w:hAnsiTheme="minorHAnsi" w:cstheme="minorHAnsi"/>
          <w:sz w:val="22"/>
          <w:szCs w:val="22"/>
        </w:rPr>
        <w:t>.</w:t>
      </w:r>
      <w:r w:rsidRPr="00EA7782">
        <w:rPr>
          <w:rFonts w:asciiTheme="minorHAnsi" w:hAnsiTheme="minorHAnsi" w:cstheme="minorHAnsi"/>
          <w:sz w:val="22"/>
          <w:szCs w:val="22"/>
        </w:rPr>
        <w:t xml:space="preserve"> </w:t>
      </w:r>
    </w:p>
    <w:p w:rsidR="00B81D31" w:rsidRDefault="00B81D31" w:rsidP="00B81D31">
      <w:pPr>
        <w:pStyle w:val="Default"/>
      </w:pPr>
    </w:p>
    <w:p w:rsidR="00B81D31" w:rsidRDefault="00B81D31" w:rsidP="00B81D31">
      <w:pPr>
        <w:spacing w:after="0" w:line="20" w:lineRule="atLeast"/>
        <w:jc w:val="center"/>
        <w:rPr>
          <w:rFonts w:ascii="Broadway" w:hAnsi="Broadway" w:cstheme="majorHAnsi"/>
          <w:b/>
          <w:sz w:val="40"/>
          <w:szCs w:val="40"/>
        </w:rPr>
      </w:pPr>
      <w:r>
        <w:rPr>
          <w:rFonts w:ascii="Broadway" w:hAnsi="Broadway" w:cstheme="majorHAnsi"/>
          <w:b/>
          <w:sz w:val="40"/>
          <w:szCs w:val="40"/>
        </w:rPr>
        <w:t xml:space="preserve">MARCHE </w:t>
      </w:r>
    </w:p>
    <w:p w:rsidR="00B81D31" w:rsidRPr="00B81D31" w:rsidRDefault="00B81D31" w:rsidP="00B81D31">
      <w:pPr>
        <w:pStyle w:val="Default"/>
      </w:pPr>
    </w:p>
    <w:p w:rsidR="00B81D31" w:rsidRPr="00B81D31" w:rsidRDefault="00B81D31" w:rsidP="00B81D31">
      <w:pPr>
        <w:pStyle w:val="Default"/>
        <w:pBdr>
          <w:top w:val="single" w:sz="4" w:space="1" w:color="auto"/>
          <w:left w:val="single" w:sz="4" w:space="4" w:color="auto"/>
          <w:bottom w:val="single" w:sz="4" w:space="1" w:color="auto"/>
          <w:right w:val="single" w:sz="4" w:space="4" w:color="auto"/>
          <w:between w:val="single" w:sz="4" w:space="1" w:color="auto"/>
          <w:bar w:val="single" w:sz="4" w:color="auto"/>
        </w:pBdr>
        <w:jc w:val="center"/>
        <w:rPr>
          <w:rFonts w:asciiTheme="minorHAnsi" w:hAnsiTheme="minorHAnsi" w:cstheme="minorHAnsi"/>
          <w:b/>
          <w:sz w:val="22"/>
          <w:szCs w:val="22"/>
        </w:rPr>
      </w:pPr>
      <w:r w:rsidRPr="00B81D31">
        <w:rPr>
          <w:rFonts w:asciiTheme="minorHAnsi" w:hAnsiTheme="minorHAnsi" w:cstheme="minorHAnsi"/>
          <w:b/>
          <w:sz w:val="22"/>
          <w:szCs w:val="22"/>
        </w:rPr>
        <w:t>FAMIGLIA</w:t>
      </w:r>
    </w:p>
    <w:p w:rsidR="00B1066E" w:rsidRDefault="00B1066E" w:rsidP="00B1066E">
      <w:pPr>
        <w:pStyle w:val="Default"/>
      </w:pPr>
    </w:p>
    <w:p w:rsidR="00B1066E" w:rsidRPr="00B1066E" w:rsidRDefault="00B1066E" w:rsidP="00B1066E">
      <w:pPr>
        <w:autoSpaceDE w:val="0"/>
        <w:autoSpaceDN w:val="0"/>
        <w:adjustRightInd w:val="0"/>
        <w:spacing w:after="0" w:line="20" w:lineRule="atLeast"/>
        <w:jc w:val="both"/>
        <w:rPr>
          <w:rFonts w:cstheme="minorHAnsi"/>
          <w:iCs/>
        </w:rPr>
      </w:pPr>
      <w:r w:rsidRPr="00B1066E">
        <w:rPr>
          <w:rFonts w:cstheme="minorHAnsi"/>
          <w:b/>
          <w:bCs/>
          <w:color w:val="191919"/>
        </w:rPr>
        <w:t xml:space="preserve">DGR  29 luglio 2019, n. 921, </w:t>
      </w:r>
      <w:r w:rsidRPr="00B1066E">
        <w:rPr>
          <w:rFonts w:cstheme="minorHAnsi"/>
          <w:iCs/>
          <w:color w:val="191919"/>
        </w:rPr>
        <w:t>Approvazione di criteri e modalità di utilizzo del Fondo statale per le politiche della famiglia 2019, di cui all’Intesa n. 30 approvata in sede di Conferenza Unificata il 17/04/2019.</w:t>
      </w:r>
      <w:r w:rsidRPr="00B1066E">
        <w:rPr>
          <w:rFonts w:cstheme="minorHAnsi"/>
          <w:iCs/>
        </w:rPr>
        <w:t xml:space="preserve"> (BUR n. 66 del 9.8.19)</w:t>
      </w:r>
    </w:p>
    <w:p w:rsidR="00B1066E" w:rsidRPr="00B81D31" w:rsidRDefault="00B1066E" w:rsidP="00B1066E">
      <w:pPr>
        <w:autoSpaceDE w:val="0"/>
        <w:autoSpaceDN w:val="0"/>
        <w:adjustRightInd w:val="0"/>
        <w:spacing w:after="0" w:line="20" w:lineRule="atLeast"/>
        <w:jc w:val="both"/>
        <w:rPr>
          <w:rFonts w:cstheme="minorHAnsi"/>
          <w:b/>
          <w:color w:val="191919"/>
        </w:rPr>
      </w:pPr>
      <w:r w:rsidRPr="00B81D31">
        <w:rPr>
          <w:rFonts w:cstheme="minorHAnsi"/>
          <w:b/>
          <w:color w:val="191919"/>
        </w:rPr>
        <w:t xml:space="preserve">Note </w:t>
      </w:r>
    </w:p>
    <w:p w:rsidR="00B1066E" w:rsidRPr="001155EA" w:rsidRDefault="00B1066E" w:rsidP="00B1066E">
      <w:pPr>
        <w:autoSpaceDE w:val="0"/>
        <w:autoSpaceDN w:val="0"/>
        <w:adjustRightInd w:val="0"/>
        <w:spacing w:after="0" w:line="20" w:lineRule="atLeast"/>
        <w:jc w:val="both"/>
        <w:rPr>
          <w:rFonts w:cstheme="minorHAnsi"/>
          <w:color w:val="191919"/>
        </w:rPr>
      </w:pPr>
      <w:proofErr w:type="gramStart"/>
      <w:r w:rsidRPr="001155EA">
        <w:rPr>
          <w:rFonts w:cstheme="minorHAnsi"/>
          <w:color w:val="191919"/>
        </w:rPr>
        <w:t>Vengono  approvati</w:t>
      </w:r>
      <w:proofErr w:type="gramEnd"/>
      <w:r w:rsidRPr="001155EA">
        <w:rPr>
          <w:rFonts w:cstheme="minorHAnsi"/>
          <w:color w:val="191919"/>
        </w:rPr>
        <w:t xml:space="preserve">  i criteri e le modalità di utilizzo del Fondo statale per le politiche della famiglia – anno 2019, di cui all’Intesa n. 30 approvata in sede di</w:t>
      </w:r>
    </w:p>
    <w:p w:rsidR="00B1066E" w:rsidRPr="001155EA" w:rsidRDefault="00B1066E" w:rsidP="00B1066E">
      <w:pPr>
        <w:autoSpaceDE w:val="0"/>
        <w:autoSpaceDN w:val="0"/>
        <w:adjustRightInd w:val="0"/>
        <w:spacing w:after="0" w:line="20" w:lineRule="atLeast"/>
        <w:jc w:val="both"/>
        <w:rPr>
          <w:rFonts w:cstheme="minorHAnsi"/>
          <w:color w:val="191919"/>
        </w:rPr>
      </w:pPr>
      <w:r w:rsidRPr="001155EA">
        <w:rPr>
          <w:rFonts w:cstheme="minorHAnsi"/>
          <w:color w:val="191919"/>
        </w:rPr>
        <w:t>Conferenza Unificata il 17/04/2019, così come riportato nell’Allegato 1, parte integrante della presente deliberazione.</w:t>
      </w:r>
    </w:p>
    <w:p w:rsidR="00B1066E" w:rsidRPr="001155EA" w:rsidRDefault="00B1066E" w:rsidP="00B1066E">
      <w:pPr>
        <w:autoSpaceDE w:val="0"/>
        <w:autoSpaceDN w:val="0"/>
        <w:adjustRightInd w:val="0"/>
        <w:spacing w:after="0" w:line="20" w:lineRule="atLeast"/>
        <w:jc w:val="both"/>
        <w:rPr>
          <w:rFonts w:cstheme="minorHAnsi"/>
          <w:color w:val="191919"/>
        </w:rPr>
      </w:pPr>
      <w:r w:rsidRPr="001155EA">
        <w:rPr>
          <w:rFonts w:cstheme="minorHAnsi"/>
          <w:color w:val="191919"/>
        </w:rPr>
        <w:t>A fronte della quota assegnata dal decreto ministeriale di riparto del Fondo in oggetto pari a € 397.500,00, la compartecipazione regionale è fissata in € 79.500,00, di cui € 50.000,00 quanto a quota finanziaria ed € 29.500,00 quanto a valorizzazione delle risorse umane, che complessivamente corrisponde al 20,00% del contributo assegnato;</w:t>
      </w:r>
    </w:p>
    <w:p w:rsidR="00B1066E" w:rsidRPr="001155EA" w:rsidRDefault="00B1066E" w:rsidP="00B1066E">
      <w:pPr>
        <w:autoSpaceDE w:val="0"/>
        <w:autoSpaceDN w:val="0"/>
        <w:adjustRightInd w:val="0"/>
        <w:spacing w:after="0" w:line="20" w:lineRule="atLeast"/>
        <w:jc w:val="both"/>
        <w:rPr>
          <w:rFonts w:cstheme="minorHAnsi"/>
          <w:color w:val="191919"/>
        </w:rPr>
      </w:pPr>
      <w:r w:rsidRPr="001155EA">
        <w:rPr>
          <w:rFonts w:cstheme="minorHAnsi"/>
          <w:color w:val="191919"/>
        </w:rPr>
        <w:t>L’ erogazione del suddetto fondo complessivo di € 447.000,00 a favore degli Ambiti</w:t>
      </w:r>
      <w:r w:rsidR="00B81D31">
        <w:rPr>
          <w:rFonts w:cstheme="minorHAnsi"/>
          <w:color w:val="191919"/>
        </w:rPr>
        <w:t xml:space="preserve"> </w:t>
      </w:r>
      <w:r w:rsidRPr="001155EA">
        <w:rPr>
          <w:rFonts w:cstheme="minorHAnsi"/>
          <w:color w:val="191919"/>
        </w:rPr>
        <w:t xml:space="preserve">Territoriali </w:t>
      </w:r>
      <w:proofErr w:type="gramStart"/>
      <w:r w:rsidRPr="001155EA">
        <w:rPr>
          <w:rFonts w:cstheme="minorHAnsi"/>
          <w:color w:val="191919"/>
        </w:rPr>
        <w:t>Sociali  è</w:t>
      </w:r>
      <w:proofErr w:type="gramEnd"/>
      <w:r w:rsidRPr="001155EA">
        <w:rPr>
          <w:rFonts w:cstheme="minorHAnsi"/>
          <w:color w:val="191919"/>
        </w:rPr>
        <w:t xml:space="preserve"> subordinata all’avvenuto trasferimento da parte del Dipartimento per le politiche della famiglia - Presidenza del Consiglio dei Ministri.</w:t>
      </w:r>
    </w:p>
    <w:p w:rsidR="00B1066E" w:rsidRDefault="00B1066E" w:rsidP="00B1066E">
      <w:pPr>
        <w:pStyle w:val="Default"/>
      </w:pPr>
    </w:p>
    <w:p w:rsidR="00B81D31" w:rsidRPr="00B81D31" w:rsidRDefault="00B81D31" w:rsidP="00B81D31">
      <w:pPr>
        <w:pStyle w:val="Default"/>
        <w:pBdr>
          <w:top w:val="single" w:sz="4" w:space="1" w:color="auto"/>
          <w:left w:val="single" w:sz="4" w:space="4" w:color="auto"/>
          <w:bottom w:val="single" w:sz="4" w:space="1" w:color="auto"/>
          <w:right w:val="single" w:sz="4" w:space="4" w:color="auto"/>
          <w:between w:val="single" w:sz="4" w:space="1" w:color="auto"/>
          <w:bar w:val="single" w:sz="4" w:color="auto"/>
        </w:pBdr>
        <w:jc w:val="center"/>
        <w:rPr>
          <w:rFonts w:asciiTheme="minorHAnsi" w:hAnsiTheme="minorHAnsi" w:cstheme="minorHAnsi"/>
          <w:b/>
          <w:sz w:val="22"/>
          <w:szCs w:val="22"/>
        </w:rPr>
      </w:pPr>
      <w:r w:rsidRPr="00B81D31">
        <w:rPr>
          <w:rFonts w:asciiTheme="minorHAnsi" w:hAnsiTheme="minorHAnsi" w:cstheme="minorHAnsi"/>
          <w:b/>
          <w:sz w:val="22"/>
          <w:szCs w:val="22"/>
        </w:rPr>
        <w:t>PERSONE CON DISABILITÀ</w:t>
      </w:r>
    </w:p>
    <w:p w:rsidR="003C0209" w:rsidRDefault="003C0209" w:rsidP="003C0209">
      <w:pPr>
        <w:pStyle w:val="Default"/>
      </w:pPr>
    </w:p>
    <w:p w:rsidR="003C0209" w:rsidRPr="00B81D31" w:rsidRDefault="003C0209" w:rsidP="003C0209">
      <w:pPr>
        <w:autoSpaceDE w:val="0"/>
        <w:autoSpaceDN w:val="0"/>
        <w:adjustRightInd w:val="0"/>
        <w:spacing w:after="0" w:line="20" w:lineRule="atLeast"/>
        <w:jc w:val="both"/>
        <w:rPr>
          <w:rFonts w:cstheme="minorHAnsi"/>
          <w:iCs/>
        </w:rPr>
      </w:pPr>
      <w:r w:rsidRPr="00D00562">
        <w:rPr>
          <w:rFonts w:cstheme="minorHAnsi"/>
          <w:b/>
          <w:bCs/>
          <w:color w:val="191919"/>
        </w:rPr>
        <w:t xml:space="preserve">DGR   29 luglio 2019, n. 910, </w:t>
      </w:r>
      <w:r w:rsidRPr="00B81D31">
        <w:rPr>
          <w:rFonts w:cstheme="minorHAnsi"/>
          <w:iCs/>
          <w:color w:val="191919"/>
        </w:rPr>
        <w:t>“L.R. 24/1985 Interventi per favorire il funzionamento degli organi e delle strutture delle associazioni che perseguono la tutela e la promozione sociale dei cittadini invalidi, mutilati e disabili - Criteri per il censimento delle associazioni di cui all’art. 2”.</w:t>
      </w:r>
      <w:r w:rsidRPr="00B81D31">
        <w:rPr>
          <w:rFonts w:cstheme="minorHAnsi"/>
          <w:iCs/>
        </w:rPr>
        <w:t xml:space="preserve"> (BUR n. 66 del 9.8.19)</w:t>
      </w:r>
    </w:p>
    <w:p w:rsidR="003C0209" w:rsidRPr="00B81D31" w:rsidRDefault="003C0209" w:rsidP="003C0209">
      <w:pPr>
        <w:autoSpaceDE w:val="0"/>
        <w:autoSpaceDN w:val="0"/>
        <w:adjustRightInd w:val="0"/>
        <w:spacing w:after="0" w:line="20" w:lineRule="atLeast"/>
        <w:jc w:val="both"/>
        <w:rPr>
          <w:rFonts w:cstheme="minorHAnsi"/>
          <w:b/>
          <w:iCs/>
          <w:color w:val="191919"/>
        </w:rPr>
      </w:pPr>
      <w:r w:rsidRPr="00B81D31">
        <w:rPr>
          <w:rFonts w:cstheme="minorHAnsi"/>
          <w:b/>
          <w:iCs/>
          <w:color w:val="191919"/>
        </w:rPr>
        <w:t xml:space="preserve">Note </w:t>
      </w:r>
    </w:p>
    <w:p w:rsidR="003C0209" w:rsidRPr="00B81D31" w:rsidRDefault="003C0209" w:rsidP="003C0209">
      <w:pPr>
        <w:autoSpaceDE w:val="0"/>
        <w:autoSpaceDN w:val="0"/>
        <w:adjustRightInd w:val="0"/>
        <w:spacing w:after="0" w:line="20" w:lineRule="atLeast"/>
        <w:jc w:val="both"/>
        <w:rPr>
          <w:rFonts w:cstheme="minorHAnsi"/>
          <w:color w:val="191919"/>
        </w:rPr>
      </w:pPr>
      <w:proofErr w:type="gramStart"/>
      <w:r w:rsidRPr="00B81D31">
        <w:rPr>
          <w:rFonts w:cstheme="minorHAnsi"/>
          <w:color w:val="191919"/>
        </w:rPr>
        <w:t>Vengono  approvati</w:t>
      </w:r>
      <w:proofErr w:type="gramEnd"/>
      <w:r w:rsidRPr="00B81D31">
        <w:rPr>
          <w:rFonts w:cstheme="minorHAnsi"/>
          <w:color w:val="191919"/>
        </w:rPr>
        <w:t xml:space="preserve">  i criteri di seguito indicati per il censimento delle associazioni che, ai sensi dell’art. 2 della L.R. 24/1985, perseguono la tutela e la promozione sociale delle persone invalide, mutilate e disabili:</w:t>
      </w:r>
    </w:p>
    <w:p w:rsidR="003C0209" w:rsidRPr="00B81D31" w:rsidRDefault="003C0209" w:rsidP="003C0209">
      <w:pPr>
        <w:autoSpaceDE w:val="0"/>
        <w:autoSpaceDN w:val="0"/>
        <w:adjustRightInd w:val="0"/>
        <w:spacing w:after="0" w:line="20" w:lineRule="atLeast"/>
        <w:jc w:val="both"/>
        <w:rPr>
          <w:rFonts w:cstheme="minorHAnsi"/>
          <w:color w:val="191919"/>
        </w:rPr>
      </w:pPr>
      <w:r w:rsidRPr="00B81D31">
        <w:rPr>
          <w:rFonts w:cstheme="minorHAnsi"/>
          <w:color w:val="191919"/>
        </w:rPr>
        <w:t xml:space="preserve">a) avere sedi presenti ed operanti in almeno tre province delle Marche da più di tre anni, con soci residenti nelle tre province, ovvero avere una sola sede regionale operante in ambito </w:t>
      </w:r>
      <w:proofErr w:type="gramStart"/>
      <w:r w:rsidRPr="00B81D31">
        <w:rPr>
          <w:rFonts w:cstheme="minorHAnsi"/>
          <w:color w:val="191919"/>
        </w:rPr>
        <w:t>regionale  da</w:t>
      </w:r>
      <w:proofErr w:type="gramEnd"/>
      <w:r w:rsidRPr="00B81D31">
        <w:rPr>
          <w:rFonts w:cstheme="minorHAnsi"/>
          <w:color w:val="191919"/>
        </w:rPr>
        <w:t xml:space="preserve"> più di tre anni con soci residenti in tutte le province delle Marche;</w:t>
      </w:r>
    </w:p>
    <w:p w:rsidR="003C0209" w:rsidRPr="00D00562" w:rsidRDefault="003C0209" w:rsidP="003C0209">
      <w:pPr>
        <w:autoSpaceDE w:val="0"/>
        <w:autoSpaceDN w:val="0"/>
        <w:adjustRightInd w:val="0"/>
        <w:spacing w:after="0" w:line="20" w:lineRule="atLeast"/>
        <w:jc w:val="both"/>
        <w:rPr>
          <w:rFonts w:cstheme="minorHAnsi"/>
          <w:color w:val="191919"/>
        </w:rPr>
      </w:pPr>
      <w:r w:rsidRPr="00D00562">
        <w:rPr>
          <w:rFonts w:cstheme="minorHAnsi"/>
          <w:color w:val="191919"/>
        </w:rPr>
        <w:t>b) avere sedi non allocate presso abitazioni private;</w:t>
      </w:r>
    </w:p>
    <w:p w:rsidR="003C0209" w:rsidRPr="00D00562" w:rsidRDefault="003C0209" w:rsidP="003C0209">
      <w:pPr>
        <w:autoSpaceDE w:val="0"/>
        <w:autoSpaceDN w:val="0"/>
        <w:adjustRightInd w:val="0"/>
        <w:spacing w:after="0" w:line="20" w:lineRule="atLeast"/>
        <w:jc w:val="both"/>
        <w:rPr>
          <w:rFonts w:cstheme="minorHAnsi"/>
          <w:color w:val="191919"/>
        </w:rPr>
      </w:pPr>
      <w:r w:rsidRPr="00D00562">
        <w:rPr>
          <w:rFonts w:cstheme="minorHAnsi"/>
          <w:color w:val="191919"/>
        </w:rPr>
        <w:t>c) avere un orario di apertura al pubblico che sia di almeno due giorni la settimana e di almeno sei ore settimanali;</w:t>
      </w:r>
    </w:p>
    <w:p w:rsidR="003C0209" w:rsidRDefault="003C0209" w:rsidP="003C0209">
      <w:pPr>
        <w:autoSpaceDE w:val="0"/>
        <w:autoSpaceDN w:val="0"/>
        <w:adjustRightInd w:val="0"/>
        <w:spacing w:after="0" w:line="20" w:lineRule="atLeast"/>
        <w:jc w:val="both"/>
        <w:rPr>
          <w:rFonts w:cstheme="minorHAnsi"/>
          <w:color w:val="191919"/>
        </w:rPr>
      </w:pPr>
      <w:r w:rsidRPr="00D00562">
        <w:rPr>
          <w:rFonts w:cstheme="minorHAnsi"/>
          <w:color w:val="191919"/>
        </w:rPr>
        <w:t>d) avere soci disabili che rappresentino almeno il 30 per cento di tutti i soci.</w:t>
      </w:r>
    </w:p>
    <w:p w:rsidR="003C0209" w:rsidRDefault="003C0209" w:rsidP="003C0209">
      <w:pPr>
        <w:autoSpaceDE w:val="0"/>
        <w:autoSpaceDN w:val="0"/>
        <w:adjustRightInd w:val="0"/>
        <w:spacing w:after="0" w:line="20" w:lineRule="atLeast"/>
        <w:jc w:val="both"/>
        <w:rPr>
          <w:rFonts w:cstheme="minorHAnsi"/>
          <w:color w:val="191919"/>
        </w:rPr>
      </w:pPr>
    </w:p>
    <w:p w:rsidR="003C0209" w:rsidRPr="00B81D31" w:rsidRDefault="003C0209" w:rsidP="003C0209">
      <w:pPr>
        <w:autoSpaceDE w:val="0"/>
        <w:autoSpaceDN w:val="0"/>
        <w:adjustRightInd w:val="0"/>
        <w:spacing w:after="0" w:line="20" w:lineRule="atLeast"/>
        <w:jc w:val="both"/>
        <w:rPr>
          <w:rFonts w:cstheme="minorHAnsi"/>
          <w:iCs/>
        </w:rPr>
      </w:pPr>
      <w:r w:rsidRPr="00B81D31">
        <w:rPr>
          <w:rFonts w:cstheme="minorHAnsi"/>
          <w:b/>
          <w:bCs/>
          <w:color w:val="191919"/>
        </w:rPr>
        <w:t xml:space="preserve">DGR  29 luglio 2019, n. 911, </w:t>
      </w:r>
      <w:r w:rsidRPr="00B81D31">
        <w:rPr>
          <w:rFonts w:cstheme="minorHAnsi"/>
          <w:iCs/>
          <w:color w:val="191919"/>
        </w:rPr>
        <w:t xml:space="preserve">“L. 112/2016 - Disposizioni in materia di </w:t>
      </w:r>
      <w:proofErr w:type="gramStart"/>
      <w:r w:rsidRPr="00B81D31">
        <w:rPr>
          <w:rFonts w:cstheme="minorHAnsi"/>
          <w:iCs/>
          <w:color w:val="191919"/>
        </w:rPr>
        <w:t>assistenza  in</w:t>
      </w:r>
      <w:proofErr w:type="gramEnd"/>
      <w:r w:rsidRPr="00B81D31">
        <w:rPr>
          <w:rFonts w:cstheme="minorHAnsi"/>
          <w:iCs/>
          <w:color w:val="191919"/>
        </w:rPr>
        <w:t xml:space="preserve"> favore delle persone con disabilità grave prive di sostegno familiare - Dopo di Noi. Indirizzi di programmazione regionale per l’attuazione degli interventi e dei servizi di cui all’art.3 del D.M. del 23.11.2016 e criteri di riparto delle risorse tra gli Ambiti Territoriali Sociali Fondo nazionale 2018”.</w:t>
      </w:r>
      <w:r w:rsidRPr="00B81D31">
        <w:rPr>
          <w:rFonts w:cstheme="minorHAnsi"/>
          <w:iCs/>
        </w:rPr>
        <w:t xml:space="preserve"> (BUR n. 66 del 9.8.19)</w:t>
      </w:r>
    </w:p>
    <w:p w:rsidR="003C0209" w:rsidRPr="00B81D31" w:rsidRDefault="003C0209" w:rsidP="003C0209">
      <w:pPr>
        <w:autoSpaceDE w:val="0"/>
        <w:autoSpaceDN w:val="0"/>
        <w:adjustRightInd w:val="0"/>
        <w:spacing w:after="0" w:line="20" w:lineRule="atLeast"/>
        <w:jc w:val="both"/>
        <w:rPr>
          <w:rFonts w:cstheme="minorHAnsi"/>
          <w:b/>
          <w:color w:val="191919"/>
        </w:rPr>
      </w:pPr>
      <w:r w:rsidRPr="00B81D31">
        <w:rPr>
          <w:rFonts w:cstheme="minorHAnsi"/>
          <w:b/>
          <w:color w:val="191919"/>
        </w:rPr>
        <w:t xml:space="preserve">Note </w:t>
      </w:r>
    </w:p>
    <w:p w:rsidR="003C0209" w:rsidRPr="00D00562" w:rsidRDefault="003C0209" w:rsidP="003C0209">
      <w:pPr>
        <w:autoSpaceDE w:val="0"/>
        <w:autoSpaceDN w:val="0"/>
        <w:adjustRightInd w:val="0"/>
        <w:spacing w:after="0" w:line="20" w:lineRule="atLeast"/>
        <w:jc w:val="both"/>
        <w:rPr>
          <w:rFonts w:cstheme="minorHAnsi"/>
          <w:color w:val="191919"/>
        </w:rPr>
      </w:pPr>
      <w:proofErr w:type="gramStart"/>
      <w:r w:rsidRPr="00D00562">
        <w:rPr>
          <w:rFonts w:cstheme="minorHAnsi"/>
          <w:color w:val="191919"/>
        </w:rPr>
        <w:t>Vengono  approvati</w:t>
      </w:r>
      <w:proofErr w:type="gramEnd"/>
      <w:r w:rsidRPr="00D00562">
        <w:rPr>
          <w:rFonts w:cstheme="minorHAnsi"/>
          <w:color w:val="191919"/>
        </w:rPr>
        <w:t>,  ai sensi dell’art. 3, comma 3 della Legge n.112/2016, gli indirizzi di programmazione regionale per l’attuazione degli interventi e dei servizi di cui all’art.3 del D.M. del 23.11.2016 per l’assistenza alle persone con disabilità grave</w:t>
      </w:r>
    </w:p>
    <w:p w:rsidR="003C0209" w:rsidRPr="00D00562" w:rsidRDefault="003C0209" w:rsidP="003C0209">
      <w:pPr>
        <w:autoSpaceDE w:val="0"/>
        <w:autoSpaceDN w:val="0"/>
        <w:adjustRightInd w:val="0"/>
        <w:spacing w:after="0" w:line="20" w:lineRule="atLeast"/>
        <w:jc w:val="both"/>
        <w:rPr>
          <w:rFonts w:cstheme="minorHAnsi"/>
          <w:color w:val="191919"/>
        </w:rPr>
      </w:pPr>
      <w:proofErr w:type="gramStart"/>
      <w:r w:rsidRPr="00D00562">
        <w:rPr>
          <w:rFonts w:cstheme="minorHAnsi"/>
          <w:color w:val="191919"/>
        </w:rPr>
        <w:t>prive</w:t>
      </w:r>
      <w:proofErr w:type="gramEnd"/>
      <w:r w:rsidRPr="00D00562">
        <w:rPr>
          <w:rFonts w:cstheme="minorHAnsi"/>
          <w:color w:val="191919"/>
        </w:rPr>
        <w:t xml:space="preserve"> di sostegno familiare “Dopo di Noi” nonché i criteri di riparto del Fondo nazionale 2018 tra gli Ambiti Territoriali Sociali, riportati nell’allegato “A” </w:t>
      </w:r>
    </w:p>
    <w:p w:rsidR="003C0209" w:rsidRPr="00D00562" w:rsidRDefault="003C0209" w:rsidP="003C0209">
      <w:pPr>
        <w:autoSpaceDE w:val="0"/>
        <w:autoSpaceDN w:val="0"/>
        <w:adjustRightInd w:val="0"/>
        <w:spacing w:after="0" w:line="20" w:lineRule="atLeast"/>
        <w:jc w:val="both"/>
        <w:rPr>
          <w:rFonts w:cstheme="minorHAnsi"/>
          <w:color w:val="191919"/>
        </w:rPr>
      </w:pPr>
      <w:proofErr w:type="gramStart"/>
      <w:r w:rsidRPr="00D00562">
        <w:rPr>
          <w:rFonts w:cstheme="minorHAnsi"/>
          <w:color w:val="191919"/>
        </w:rPr>
        <w:t>l’onere</w:t>
      </w:r>
      <w:proofErr w:type="gramEnd"/>
      <w:r w:rsidRPr="00D00562">
        <w:rPr>
          <w:rFonts w:cstheme="minorHAnsi"/>
          <w:color w:val="191919"/>
        </w:rPr>
        <w:t xml:space="preserve"> derivante dal presente provvedimento pari complessivamente ad €</w:t>
      </w:r>
      <w:r w:rsidR="00B81D31">
        <w:rPr>
          <w:rFonts w:cstheme="minorHAnsi"/>
          <w:color w:val="191919"/>
        </w:rPr>
        <w:t xml:space="preserve"> </w:t>
      </w:r>
      <w:r w:rsidRPr="00D00562">
        <w:rPr>
          <w:rFonts w:cstheme="minorHAnsi"/>
          <w:color w:val="191919"/>
        </w:rPr>
        <w:t xml:space="preserve">1.277.500,00 </w:t>
      </w:r>
    </w:p>
    <w:p w:rsidR="003C0209" w:rsidRDefault="003C0209" w:rsidP="003C0209">
      <w:pPr>
        <w:autoSpaceDE w:val="0"/>
        <w:autoSpaceDN w:val="0"/>
        <w:adjustRightInd w:val="0"/>
        <w:spacing w:after="0" w:line="20" w:lineRule="atLeast"/>
        <w:jc w:val="both"/>
        <w:rPr>
          <w:rFonts w:cstheme="minorHAnsi"/>
          <w:color w:val="191919"/>
        </w:rPr>
      </w:pPr>
    </w:p>
    <w:p w:rsidR="003C0209" w:rsidRPr="00D00562" w:rsidRDefault="003C0209" w:rsidP="003C0209">
      <w:pPr>
        <w:autoSpaceDE w:val="0"/>
        <w:autoSpaceDN w:val="0"/>
        <w:adjustRightInd w:val="0"/>
        <w:spacing w:after="0" w:line="20" w:lineRule="atLeast"/>
        <w:jc w:val="both"/>
        <w:rPr>
          <w:rFonts w:cstheme="minorHAnsi"/>
          <w:iCs/>
        </w:rPr>
      </w:pPr>
      <w:r w:rsidRPr="00B1066E">
        <w:rPr>
          <w:rFonts w:cstheme="minorHAnsi"/>
          <w:b/>
          <w:bCs/>
          <w:color w:val="191919"/>
        </w:rPr>
        <w:t xml:space="preserve">DGR   </w:t>
      </w:r>
      <w:proofErr w:type="gramStart"/>
      <w:r w:rsidRPr="00B1066E">
        <w:rPr>
          <w:rFonts w:cstheme="minorHAnsi"/>
          <w:b/>
          <w:bCs/>
          <w:color w:val="191919"/>
        </w:rPr>
        <w:t>29  luglio</w:t>
      </w:r>
      <w:proofErr w:type="gramEnd"/>
      <w:r w:rsidRPr="00B1066E">
        <w:rPr>
          <w:rFonts w:cstheme="minorHAnsi"/>
          <w:b/>
          <w:bCs/>
          <w:color w:val="191919"/>
        </w:rPr>
        <w:t xml:space="preserve"> 2019, n. 912, </w:t>
      </w:r>
      <w:r w:rsidRPr="00B1066E">
        <w:rPr>
          <w:rFonts w:cstheme="minorHAnsi"/>
          <w:iCs/>
          <w:color w:val="191919"/>
        </w:rPr>
        <w:t>Interventi socio assistenziali a favore degli</w:t>
      </w:r>
      <w:r w:rsidR="00B81D31">
        <w:rPr>
          <w:rFonts w:cstheme="minorHAnsi"/>
          <w:iCs/>
          <w:color w:val="191919"/>
        </w:rPr>
        <w:t xml:space="preserve"> </w:t>
      </w:r>
      <w:r w:rsidRPr="00B1066E">
        <w:rPr>
          <w:rFonts w:cstheme="minorHAnsi"/>
          <w:iCs/>
          <w:color w:val="191919"/>
        </w:rPr>
        <w:t>alunni con disabilità fisiche o sensoriali. Criteri per l’attuazione degli interventi e per il riparto delle risorse da trasferire agli Ambiti Territoriali Sociali - a.s. 2019/2020</w:t>
      </w:r>
      <w:r w:rsidRPr="00D00562">
        <w:rPr>
          <w:rFonts w:cstheme="minorHAnsi"/>
          <w:i/>
          <w:iCs/>
          <w:color w:val="191919"/>
        </w:rPr>
        <w:t>.</w:t>
      </w:r>
      <w:r w:rsidRPr="00D00562">
        <w:rPr>
          <w:rFonts w:cstheme="minorHAnsi"/>
          <w:iCs/>
        </w:rPr>
        <w:t xml:space="preserve"> </w:t>
      </w:r>
      <w:r w:rsidR="00B1066E">
        <w:rPr>
          <w:rFonts w:cstheme="minorHAnsi"/>
          <w:iCs/>
        </w:rPr>
        <w:t>(</w:t>
      </w:r>
      <w:r w:rsidRPr="00D00562">
        <w:rPr>
          <w:rFonts w:cstheme="minorHAnsi"/>
          <w:iCs/>
        </w:rPr>
        <w:t>BUR n. 66 del 9.8.19)</w:t>
      </w:r>
    </w:p>
    <w:p w:rsidR="003C0209" w:rsidRPr="00B81D31" w:rsidRDefault="003C0209" w:rsidP="003C0209">
      <w:pPr>
        <w:autoSpaceDE w:val="0"/>
        <w:autoSpaceDN w:val="0"/>
        <w:adjustRightInd w:val="0"/>
        <w:spacing w:after="0" w:line="20" w:lineRule="atLeast"/>
        <w:jc w:val="both"/>
        <w:rPr>
          <w:rFonts w:cstheme="minorHAnsi"/>
          <w:b/>
          <w:color w:val="191919"/>
        </w:rPr>
      </w:pPr>
      <w:r w:rsidRPr="00B81D31">
        <w:rPr>
          <w:rFonts w:cstheme="minorHAnsi"/>
          <w:b/>
          <w:color w:val="191919"/>
        </w:rPr>
        <w:t xml:space="preserve">Note </w:t>
      </w:r>
    </w:p>
    <w:p w:rsidR="003C0209" w:rsidRPr="00D00562" w:rsidRDefault="003C0209" w:rsidP="003C0209">
      <w:pPr>
        <w:autoSpaceDE w:val="0"/>
        <w:autoSpaceDN w:val="0"/>
        <w:adjustRightInd w:val="0"/>
        <w:spacing w:after="0" w:line="20" w:lineRule="atLeast"/>
        <w:jc w:val="both"/>
        <w:rPr>
          <w:rFonts w:cstheme="minorHAnsi"/>
          <w:color w:val="191919"/>
        </w:rPr>
      </w:pPr>
      <w:proofErr w:type="gramStart"/>
      <w:r w:rsidRPr="00D00562">
        <w:rPr>
          <w:rFonts w:cstheme="minorHAnsi"/>
          <w:color w:val="191919"/>
        </w:rPr>
        <w:t>Vengono  approvati</w:t>
      </w:r>
      <w:proofErr w:type="gramEnd"/>
      <w:r w:rsidRPr="00D00562">
        <w:rPr>
          <w:rFonts w:cstheme="minorHAnsi"/>
          <w:color w:val="191919"/>
        </w:rPr>
        <w:t xml:space="preserve">  i criteri per l’attuazione degli interventi socio assistenziali a favore degli alunni con disabilità fisiche o sensoriali nonché i criteri di riparto delle risorse da trasferire agli Ambiti Territoriali Sociali per l’a.s. 2019/2020. </w:t>
      </w:r>
    </w:p>
    <w:p w:rsidR="003C0209" w:rsidRPr="00D00562" w:rsidRDefault="003C0209" w:rsidP="003C0209">
      <w:pPr>
        <w:autoSpaceDE w:val="0"/>
        <w:autoSpaceDN w:val="0"/>
        <w:adjustRightInd w:val="0"/>
        <w:spacing w:after="0" w:line="20" w:lineRule="atLeast"/>
        <w:jc w:val="both"/>
        <w:rPr>
          <w:rFonts w:cstheme="minorHAnsi"/>
          <w:color w:val="191919"/>
        </w:rPr>
      </w:pPr>
      <w:r w:rsidRPr="00D00562">
        <w:rPr>
          <w:rFonts w:cstheme="minorHAnsi"/>
          <w:color w:val="191919"/>
        </w:rPr>
        <w:t>Gli Ambiti Territoriali Sociali al termine dell’a.s. 2019/2020, dopo aver assicurato</w:t>
      </w:r>
      <w:r w:rsidR="00B81D31">
        <w:rPr>
          <w:rFonts w:cstheme="minorHAnsi"/>
          <w:color w:val="191919"/>
        </w:rPr>
        <w:t xml:space="preserve"> </w:t>
      </w:r>
      <w:r w:rsidRPr="00D00562">
        <w:rPr>
          <w:rFonts w:cstheme="minorHAnsi"/>
          <w:color w:val="191919"/>
        </w:rPr>
        <w:t>gli interventi di cui alla presente delibera, possono utilizzare le eventuali economie per integrare le risorse che verranno tra sferite dal Servizio Politiche Sociali e Sport quale budget per l’anno 2020 per l’intervento denominato “Integrazione scolastica”</w:t>
      </w:r>
      <w:r w:rsidR="00B81D31">
        <w:rPr>
          <w:rFonts w:cstheme="minorHAnsi"/>
          <w:color w:val="191919"/>
        </w:rPr>
        <w:t xml:space="preserve"> </w:t>
      </w:r>
      <w:r w:rsidRPr="00D00562">
        <w:rPr>
          <w:rFonts w:cstheme="minorHAnsi"/>
          <w:color w:val="191919"/>
        </w:rPr>
        <w:t>di cui alla L.R. 18/96.</w:t>
      </w:r>
    </w:p>
    <w:p w:rsidR="003C0209" w:rsidRPr="00D00562" w:rsidRDefault="003C0209" w:rsidP="003C0209">
      <w:pPr>
        <w:autoSpaceDE w:val="0"/>
        <w:autoSpaceDN w:val="0"/>
        <w:adjustRightInd w:val="0"/>
        <w:spacing w:after="0" w:line="20" w:lineRule="atLeast"/>
        <w:jc w:val="both"/>
        <w:rPr>
          <w:rFonts w:cstheme="minorHAnsi"/>
          <w:color w:val="191919"/>
        </w:rPr>
      </w:pPr>
    </w:p>
    <w:p w:rsidR="00B81D31" w:rsidRPr="00D00562" w:rsidRDefault="00345B6F" w:rsidP="00B81D31">
      <w:pPr>
        <w:autoSpaceDE w:val="0"/>
        <w:autoSpaceDN w:val="0"/>
        <w:adjustRightInd w:val="0"/>
        <w:spacing w:after="0" w:line="20" w:lineRule="atLeast"/>
        <w:jc w:val="both"/>
        <w:rPr>
          <w:rFonts w:cstheme="minorHAnsi"/>
          <w:iCs/>
        </w:rPr>
      </w:pPr>
      <w:r w:rsidRPr="00D00562">
        <w:rPr>
          <w:rFonts w:cstheme="minorHAnsi"/>
          <w:b/>
          <w:bCs/>
          <w:color w:val="191919"/>
        </w:rPr>
        <w:t xml:space="preserve">DGR del 29 luglio 2019, n. 913, </w:t>
      </w:r>
      <w:r w:rsidRPr="00D00562">
        <w:rPr>
          <w:rFonts w:cstheme="minorHAnsi"/>
          <w:iCs/>
          <w:color w:val="191919"/>
        </w:rPr>
        <w:t>L.R. 24/1985 Interventi per favorire il funzionamento degli organi e delle strutture delle associazioni che perseguono la tutela e la promozione sociale dei cittadini invalidi, mutilati e disabili - Criteri e modalità di concessione dei contributi per l’anno 2019.</w:t>
      </w:r>
      <w:r w:rsidR="00B81D31">
        <w:rPr>
          <w:rFonts w:cstheme="minorHAnsi"/>
          <w:iCs/>
          <w:color w:val="191919"/>
        </w:rPr>
        <w:t xml:space="preserve"> </w:t>
      </w:r>
      <w:r w:rsidR="00B81D31">
        <w:rPr>
          <w:rFonts w:cstheme="minorHAnsi"/>
          <w:iCs/>
        </w:rPr>
        <w:t>(</w:t>
      </w:r>
      <w:r w:rsidR="00B81D31" w:rsidRPr="00D00562">
        <w:rPr>
          <w:rFonts w:cstheme="minorHAnsi"/>
          <w:iCs/>
        </w:rPr>
        <w:t>BUR n. 66 del 9.8.19)</w:t>
      </w:r>
    </w:p>
    <w:p w:rsidR="00345B6F" w:rsidRPr="00B81D31" w:rsidRDefault="00345B6F" w:rsidP="00345B6F">
      <w:pPr>
        <w:autoSpaceDE w:val="0"/>
        <w:autoSpaceDN w:val="0"/>
        <w:adjustRightInd w:val="0"/>
        <w:spacing w:after="0" w:line="20" w:lineRule="atLeast"/>
        <w:jc w:val="both"/>
        <w:rPr>
          <w:rFonts w:cstheme="minorHAnsi"/>
          <w:b/>
          <w:color w:val="191919"/>
        </w:rPr>
      </w:pPr>
      <w:r w:rsidRPr="00B81D31">
        <w:rPr>
          <w:rFonts w:cstheme="minorHAnsi"/>
          <w:b/>
          <w:color w:val="191919"/>
        </w:rPr>
        <w:t>Note</w:t>
      </w:r>
    </w:p>
    <w:p w:rsidR="00345B6F" w:rsidRPr="00D00562" w:rsidRDefault="00345B6F" w:rsidP="00345B6F">
      <w:pPr>
        <w:autoSpaceDE w:val="0"/>
        <w:autoSpaceDN w:val="0"/>
        <w:adjustRightInd w:val="0"/>
        <w:spacing w:after="0" w:line="20" w:lineRule="atLeast"/>
        <w:jc w:val="both"/>
        <w:rPr>
          <w:rFonts w:cstheme="minorHAnsi"/>
          <w:color w:val="191919"/>
        </w:rPr>
      </w:pPr>
      <w:proofErr w:type="gramStart"/>
      <w:r w:rsidRPr="00D00562">
        <w:rPr>
          <w:rFonts w:cstheme="minorHAnsi"/>
          <w:color w:val="191919"/>
        </w:rPr>
        <w:t>Vengono  approvati</w:t>
      </w:r>
      <w:proofErr w:type="gramEnd"/>
      <w:r w:rsidRPr="00D00562">
        <w:rPr>
          <w:rFonts w:cstheme="minorHAnsi"/>
          <w:color w:val="191919"/>
        </w:rPr>
        <w:t xml:space="preserve">  i criteri e le modalità di concessione di contributi alle associazioni di cui all’art. 1 e 2 della L.R. 24/1985 che perseguono la tutela e la promozione sociale dei cittadini invalidi, mutilati e disabili per l’anno 2019, riportati nell’allegato “A.</w:t>
      </w:r>
    </w:p>
    <w:p w:rsidR="003C0209" w:rsidRDefault="003C0209" w:rsidP="003C0209">
      <w:pPr>
        <w:pStyle w:val="Default"/>
      </w:pPr>
    </w:p>
    <w:p w:rsidR="003C0209" w:rsidRPr="003C0209" w:rsidRDefault="003C0209" w:rsidP="003C0209">
      <w:pPr>
        <w:pStyle w:val="Default"/>
        <w:pBdr>
          <w:top w:val="single" w:sz="4" w:space="1" w:color="auto"/>
          <w:left w:val="single" w:sz="4" w:space="4" w:color="auto"/>
          <w:bottom w:val="single" w:sz="4" w:space="1" w:color="auto"/>
          <w:right w:val="single" w:sz="4" w:space="4" w:color="auto"/>
          <w:between w:val="single" w:sz="4" w:space="1" w:color="auto"/>
          <w:bar w:val="single" w:sz="4" w:color="auto"/>
        </w:pBdr>
        <w:jc w:val="center"/>
        <w:rPr>
          <w:rFonts w:asciiTheme="minorHAnsi" w:hAnsiTheme="minorHAnsi" w:cstheme="minorHAnsi"/>
          <w:b/>
          <w:sz w:val="22"/>
          <w:szCs w:val="22"/>
        </w:rPr>
      </w:pPr>
      <w:r w:rsidRPr="003C0209">
        <w:rPr>
          <w:rFonts w:asciiTheme="minorHAnsi" w:hAnsiTheme="minorHAnsi" w:cstheme="minorHAnsi"/>
          <w:b/>
          <w:sz w:val="22"/>
          <w:szCs w:val="22"/>
        </w:rPr>
        <w:t>SANITÀ</w:t>
      </w:r>
    </w:p>
    <w:p w:rsidR="00F57AB1" w:rsidRDefault="00F57AB1" w:rsidP="00F57AB1">
      <w:pPr>
        <w:pStyle w:val="Default"/>
      </w:pPr>
    </w:p>
    <w:p w:rsidR="00F57AB1" w:rsidRPr="00297C22" w:rsidRDefault="00F57AB1" w:rsidP="00F57AB1">
      <w:pPr>
        <w:autoSpaceDE w:val="0"/>
        <w:autoSpaceDN w:val="0"/>
        <w:adjustRightInd w:val="0"/>
        <w:spacing w:after="0" w:line="20" w:lineRule="atLeast"/>
        <w:jc w:val="both"/>
        <w:rPr>
          <w:rFonts w:cstheme="minorHAnsi"/>
          <w:iCs/>
        </w:rPr>
      </w:pPr>
      <w:r w:rsidRPr="00297C22">
        <w:rPr>
          <w:rFonts w:cstheme="minorHAnsi"/>
          <w:b/>
          <w:bCs/>
        </w:rPr>
        <w:t xml:space="preserve">DGR   del 29 luglio 2019, n. 909, </w:t>
      </w:r>
      <w:r w:rsidRPr="00297C22">
        <w:rPr>
          <w:rFonts w:cstheme="minorHAnsi"/>
          <w:iCs/>
        </w:rPr>
        <w:t>Legge nazionale 662/96, art.1 comma 34 e</w:t>
      </w:r>
      <w:r w:rsidR="003C0209">
        <w:rPr>
          <w:rFonts w:cstheme="minorHAnsi"/>
          <w:iCs/>
        </w:rPr>
        <w:t xml:space="preserve"> </w:t>
      </w:r>
      <w:r w:rsidRPr="00297C22">
        <w:rPr>
          <w:rFonts w:cstheme="minorHAnsi"/>
          <w:iCs/>
        </w:rPr>
        <w:t>34bis - Approvazione dei progetti della Regione Marche per il perseguimento degli Obiettivi di carattere prioritario e di rilievo nazionale per l’anno 2019, individuati nell’Accordo del 6 giugno 2019 tra il Governo, le Regioni e le Province autonome di Trento e Bolzano (Rep. Atti n.91/CSR). (BUR n. 66 del 9.8.19)</w:t>
      </w:r>
    </w:p>
    <w:p w:rsidR="00F57AB1" w:rsidRPr="00B81D31" w:rsidRDefault="00F57AB1" w:rsidP="00F57AB1">
      <w:pPr>
        <w:autoSpaceDE w:val="0"/>
        <w:autoSpaceDN w:val="0"/>
        <w:adjustRightInd w:val="0"/>
        <w:spacing w:after="0" w:line="20" w:lineRule="atLeast"/>
        <w:jc w:val="both"/>
        <w:rPr>
          <w:rFonts w:cstheme="minorHAnsi"/>
          <w:b/>
        </w:rPr>
      </w:pPr>
      <w:r w:rsidRPr="00B81D31">
        <w:rPr>
          <w:rFonts w:cstheme="minorHAnsi"/>
          <w:b/>
        </w:rPr>
        <w:t>Note</w:t>
      </w:r>
    </w:p>
    <w:p w:rsidR="00F57AB1" w:rsidRPr="00297C22" w:rsidRDefault="00F57AB1" w:rsidP="00F57AB1">
      <w:pPr>
        <w:autoSpaceDE w:val="0"/>
        <w:autoSpaceDN w:val="0"/>
        <w:adjustRightInd w:val="0"/>
        <w:spacing w:after="0" w:line="20" w:lineRule="atLeast"/>
        <w:jc w:val="both"/>
        <w:rPr>
          <w:rFonts w:cstheme="minorHAnsi"/>
        </w:rPr>
      </w:pPr>
      <w:proofErr w:type="gramStart"/>
      <w:r w:rsidRPr="00297C22">
        <w:rPr>
          <w:rFonts w:cstheme="minorHAnsi"/>
        </w:rPr>
        <w:t>Vengono  approvati</w:t>
      </w:r>
      <w:proofErr w:type="gramEnd"/>
      <w:r w:rsidRPr="00297C22">
        <w:rPr>
          <w:rFonts w:cstheme="minorHAnsi"/>
        </w:rPr>
        <w:t xml:space="preserve">  i progetti regionali, per il perseguimento degli Obiettivi di carattere prioritario e di rilievo nazionale per l’anno 2019, dettagliati nell’Allegato</w:t>
      </w:r>
    </w:p>
    <w:p w:rsidR="00F57AB1" w:rsidRPr="00297C22" w:rsidRDefault="00F57AB1" w:rsidP="00F57AB1">
      <w:pPr>
        <w:autoSpaceDE w:val="0"/>
        <w:autoSpaceDN w:val="0"/>
        <w:adjustRightInd w:val="0"/>
        <w:spacing w:after="0" w:line="20" w:lineRule="atLeast"/>
        <w:jc w:val="both"/>
        <w:rPr>
          <w:rFonts w:cstheme="minorHAnsi"/>
        </w:rPr>
      </w:pPr>
      <w:r w:rsidRPr="00297C22">
        <w:rPr>
          <w:rFonts w:cstheme="minorHAnsi"/>
        </w:rPr>
        <w:t>A, di cui alle Linee progettuali individuate nell’Accordo del 6 giugno 2019 tra il Governo, le Regioni e le Province autonome di Trento e Bolzano</w:t>
      </w:r>
    </w:p>
    <w:p w:rsidR="00F57AB1" w:rsidRDefault="00F57AB1" w:rsidP="00F57AB1">
      <w:pPr>
        <w:pStyle w:val="Default"/>
        <w:rPr>
          <w:rFonts w:asciiTheme="minorHAnsi" w:hAnsiTheme="minorHAnsi" w:cstheme="minorHAnsi"/>
          <w:sz w:val="22"/>
          <w:szCs w:val="22"/>
        </w:rPr>
      </w:pPr>
      <w:r w:rsidRPr="00297C22">
        <w:rPr>
          <w:rFonts w:asciiTheme="minorHAnsi" w:hAnsiTheme="minorHAnsi" w:cstheme="minorHAnsi"/>
          <w:sz w:val="22"/>
          <w:szCs w:val="22"/>
        </w:rPr>
        <w:t>L ’Allegato A costituisce direttiva vincolante per gli Enti del SSR</w:t>
      </w:r>
      <w:r w:rsidR="00B81D31">
        <w:rPr>
          <w:rFonts w:asciiTheme="minorHAnsi" w:hAnsiTheme="minorHAnsi" w:cstheme="minorHAnsi"/>
          <w:sz w:val="22"/>
          <w:szCs w:val="22"/>
        </w:rPr>
        <w:t xml:space="preserve">. </w:t>
      </w:r>
      <w:r w:rsidR="001D3A04">
        <w:rPr>
          <w:rFonts w:asciiTheme="minorHAnsi" w:hAnsiTheme="minorHAnsi" w:cstheme="minorHAnsi"/>
          <w:sz w:val="22"/>
          <w:szCs w:val="22"/>
        </w:rPr>
        <w:t>,,,,,,,,,,,,,,,,,,</w:t>
      </w:r>
    </w:p>
    <w:p w:rsidR="00D37CE7" w:rsidRDefault="00D37CE7" w:rsidP="00F57AB1">
      <w:pPr>
        <w:pStyle w:val="Default"/>
        <w:rPr>
          <w:rFonts w:asciiTheme="minorHAnsi" w:hAnsiTheme="minorHAnsi" w:cstheme="minorHAnsi"/>
          <w:sz w:val="22"/>
          <w:szCs w:val="22"/>
        </w:rPr>
      </w:pPr>
    </w:p>
    <w:p w:rsidR="00D37CE7" w:rsidRDefault="00861D44" w:rsidP="00D37CE7">
      <w:pPr>
        <w:spacing w:after="0" w:line="20" w:lineRule="atLeast"/>
        <w:jc w:val="center"/>
        <w:rPr>
          <w:rFonts w:ascii="Broadway" w:hAnsi="Broadway" w:cstheme="majorHAnsi"/>
          <w:b/>
          <w:sz w:val="40"/>
          <w:szCs w:val="40"/>
        </w:rPr>
      </w:pPr>
      <w:r>
        <w:rPr>
          <w:rFonts w:ascii="Broadway" w:hAnsi="Broadway" w:cstheme="majorHAnsi"/>
          <w:b/>
          <w:sz w:val="40"/>
          <w:szCs w:val="40"/>
        </w:rPr>
        <w:t>PIEMONT</w:t>
      </w:r>
      <w:r w:rsidR="00D37CE7">
        <w:rPr>
          <w:rFonts w:ascii="Broadway" w:hAnsi="Broadway" w:cstheme="majorHAnsi"/>
          <w:b/>
          <w:sz w:val="40"/>
          <w:szCs w:val="40"/>
        </w:rPr>
        <w:t xml:space="preserve">E </w:t>
      </w:r>
    </w:p>
    <w:p w:rsidR="00462B00" w:rsidRDefault="00462B00" w:rsidP="00D37CE7">
      <w:pPr>
        <w:autoSpaceDE w:val="0"/>
        <w:autoSpaceDN w:val="0"/>
        <w:adjustRightInd w:val="0"/>
        <w:spacing w:after="0" w:line="240" w:lineRule="auto"/>
        <w:rPr>
          <w:rFonts w:ascii="Times New Roman" w:hAnsi="Times New Roman" w:cs="Times New Roman"/>
          <w:b/>
          <w:color w:val="000000"/>
          <w:sz w:val="24"/>
          <w:szCs w:val="24"/>
        </w:rPr>
      </w:pPr>
    </w:p>
    <w:p w:rsidR="00D37CE7" w:rsidRPr="00C02130" w:rsidRDefault="00D37CE7" w:rsidP="00D37CE7">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40" w:lineRule="auto"/>
        <w:jc w:val="center"/>
        <w:rPr>
          <w:rFonts w:cstheme="minorHAnsi"/>
          <w:b/>
          <w:color w:val="000000"/>
        </w:rPr>
      </w:pPr>
      <w:r w:rsidRPr="00C02130">
        <w:rPr>
          <w:rFonts w:cstheme="minorHAnsi"/>
          <w:b/>
          <w:color w:val="000000"/>
        </w:rPr>
        <w:t>FAMIGLIA</w:t>
      </w:r>
    </w:p>
    <w:p w:rsidR="00D37CE7" w:rsidRDefault="00D37CE7" w:rsidP="00D37CE7">
      <w:pPr>
        <w:autoSpaceDE w:val="0"/>
        <w:autoSpaceDN w:val="0"/>
        <w:adjustRightInd w:val="0"/>
        <w:spacing w:after="0" w:line="240" w:lineRule="auto"/>
        <w:rPr>
          <w:rFonts w:ascii="Times New Roman" w:hAnsi="Times New Roman" w:cs="Times New Roman"/>
          <w:b/>
          <w:color w:val="000000"/>
          <w:sz w:val="24"/>
          <w:szCs w:val="24"/>
        </w:rPr>
      </w:pPr>
    </w:p>
    <w:p w:rsidR="00D37CE7" w:rsidRPr="00C02130" w:rsidRDefault="00D37CE7" w:rsidP="00D37CE7">
      <w:pPr>
        <w:autoSpaceDE w:val="0"/>
        <w:autoSpaceDN w:val="0"/>
        <w:adjustRightInd w:val="0"/>
        <w:spacing w:after="0" w:line="20" w:lineRule="atLeast"/>
        <w:jc w:val="both"/>
        <w:rPr>
          <w:rFonts w:cstheme="minorHAnsi"/>
          <w:bCs/>
          <w:color w:val="000000"/>
        </w:rPr>
      </w:pPr>
      <w:r w:rsidRPr="00C02130">
        <w:rPr>
          <w:rFonts w:cstheme="minorHAnsi"/>
          <w:b/>
          <w:color w:val="000000"/>
        </w:rPr>
        <w:t>DGR 26 luglio 2019, n. 6-116</w:t>
      </w:r>
      <w:r w:rsidRPr="00C02130">
        <w:rPr>
          <w:rFonts w:cstheme="minorHAnsi"/>
          <w:color w:val="000000"/>
        </w:rPr>
        <w:t xml:space="preserve">, </w:t>
      </w:r>
      <w:r w:rsidRPr="00C02130">
        <w:rPr>
          <w:rFonts w:cstheme="minorHAnsi"/>
          <w:bCs/>
          <w:color w:val="000000"/>
        </w:rPr>
        <w:t xml:space="preserve">Art. 1, comma 1251 della L. 296/2006. Approvazione scheda attuativa in materia di politiche per la Famiglia - Anno 2019. Spesa totale di </w:t>
      </w:r>
      <w:proofErr w:type="gramStart"/>
      <w:r w:rsidRPr="00C02130">
        <w:rPr>
          <w:rFonts w:cstheme="minorHAnsi"/>
          <w:bCs/>
          <w:color w:val="000000"/>
        </w:rPr>
        <w:t>Euro  .</w:t>
      </w:r>
      <w:proofErr w:type="gramEnd"/>
      <w:r w:rsidRPr="00C02130">
        <w:rPr>
          <w:rFonts w:cstheme="minorHAnsi"/>
          <w:bCs/>
          <w:color w:val="000000"/>
        </w:rPr>
        <w:t>292.400,00 di cui finanziamento statale Euro 1.077.000,00 e finanziamento regionale Euro 215.400,00 (cap. vari del bilancio 2019 e 2020). (</w:t>
      </w:r>
      <w:proofErr w:type="gramStart"/>
      <w:r w:rsidRPr="00C02130">
        <w:rPr>
          <w:rFonts w:cstheme="minorHAnsi"/>
          <w:bCs/>
          <w:color w:val="000000"/>
        </w:rPr>
        <w:t xml:space="preserve">BUR </w:t>
      </w:r>
      <w:r>
        <w:rPr>
          <w:rFonts w:cstheme="minorHAnsi"/>
          <w:bCs/>
          <w:color w:val="000000"/>
        </w:rPr>
        <w:t xml:space="preserve"> n.</w:t>
      </w:r>
      <w:proofErr w:type="gramEnd"/>
      <w:r>
        <w:rPr>
          <w:rFonts w:cstheme="minorHAnsi"/>
          <w:bCs/>
          <w:color w:val="000000"/>
        </w:rPr>
        <w:t xml:space="preserve"> </w:t>
      </w:r>
      <w:r w:rsidRPr="00C02130">
        <w:rPr>
          <w:rFonts w:cstheme="minorHAnsi"/>
          <w:bCs/>
          <w:color w:val="000000"/>
        </w:rPr>
        <w:t>33 del 14.8.19)</w:t>
      </w:r>
    </w:p>
    <w:p w:rsidR="00D37CE7" w:rsidRPr="00A97A19" w:rsidRDefault="00D37CE7" w:rsidP="00D37CE7">
      <w:pPr>
        <w:autoSpaceDE w:val="0"/>
        <w:autoSpaceDN w:val="0"/>
        <w:adjustRightInd w:val="0"/>
        <w:spacing w:after="0" w:line="20" w:lineRule="atLeast"/>
        <w:jc w:val="both"/>
        <w:rPr>
          <w:rFonts w:cstheme="minorHAnsi"/>
          <w:b/>
          <w:bCs/>
          <w:color w:val="000000"/>
        </w:rPr>
      </w:pPr>
      <w:r w:rsidRPr="00A97A19">
        <w:rPr>
          <w:rFonts w:cstheme="minorHAnsi"/>
          <w:b/>
          <w:color w:val="000000"/>
        </w:rPr>
        <w:t>PREMESSA</w:t>
      </w:r>
    </w:p>
    <w:p w:rsidR="00D37CE7" w:rsidRPr="00C02130" w:rsidRDefault="00D37CE7" w:rsidP="00D37CE7">
      <w:pPr>
        <w:autoSpaceDE w:val="0"/>
        <w:autoSpaceDN w:val="0"/>
        <w:adjustRightInd w:val="0"/>
        <w:spacing w:after="0" w:line="20" w:lineRule="atLeast"/>
        <w:jc w:val="both"/>
        <w:rPr>
          <w:rFonts w:cstheme="minorHAnsi"/>
          <w:color w:val="000000"/>
        </w:rPr>
      </w:pPr>
      <w:r>
        <w:rPr>
          <w:rFonts w:cstheme="minorHAnsi"/>
          <w:color w:val="000000"/>
        </w:rPr>
        <w:t>L</w:t>
      </w:r>
      <w:r w:rsidRPr="00C02130">
        <w:rPr>
          <w:rFonts w:cstheme="minorHAnsi"/>
          <w:color w:val="000000"/>
        </w:rPr>
        <w:t>’art. 1, comma 1251, della legge 27/12/2006, n. 296, disciplina il Fondo per le politiche della famiglia</w:t>
      </w:r>
      <w:r>
        <w:rPr>
          <w:rFonts w:cstheme="minorHAnsi"/>
          <w:color w:val="000000"/>
        </w:rPr>
        <w:t>.</w:t>
      </w:r>
    </w:p>
    <w:p w:rsidR="00D37CE7" w:rsidRPr="00C02130" w:rsidRDefault="00D37CE7" w:rsidP="00D37CE7">
      <w:pPr>
        <w:autoSpaceDE w:val="0"/>
        <w:autoSpaceDN w:val="0"/>
        <w:adjustRightInd w:val="0"/>
        <w:spacing w:after="0" w:line="20" w:lineRule="atLeast"/>
        <w:jc w:val="both"/>
        <w:rPr>
          <w:rFonts w:cstheme="minorHAnsi"/>
          <w:color w:val="000000"/>
        </w:rPr>
      </w:pPr>
      <w:proofErr w:type="gramStart"/>
      <w:r w:rsidRPr="00C02130">
        <w:rPr>
          <w:rFonts w:cstheme="minorHAnsi"/>
          <w:color w:val="000000"/>
        </w:rPr>
        <w:t>la</w:t>
      </w:r>
      <w:proofErr w:type="gramEnd"/>
      <w:r w:rsidRPr="00C02130">
        <w:rPr>
          <w:rFonts w:cstheme="minorHAnsi"/>
          <w:color w:val="000000"/>
        </w:rPr>
        <w:t xml:space="preserve"> Legge regionale 8 gennaio 2004, n. 1 “Norme per la realizzazione del sistema regionale integrato</w:t>
      </w:r>
      <w:r>
        <w:rPr>
          <w:rFonts w:cstheme="minorHAnsi"/>
          <w:color w:val="000000"/>
        </w:rPr>
        <w:t xml:space="preserve"> </w:t>
      </w:r>
      <w:r w:rsidRPr="00C02130">
        <w:rPr>
          <w:rFonts w:cstheme="minorHAnsi"/>
          <w:color w:val="000000"/>
        </w:rPr>
        <w:t>di interventi e servizi sociali e riordino della legislazione di riferimento” all’art. 41 sostiene la</w:t>
      </w:r>
      <w:r>
        <w:rPr>
          <w:rFonts w:cstheme="minorHAnsi"/>
          <w:color w:val="000000"/>
        </w:rPr>
        <w:t xml:space="preserve"> </w:t>
      </w:r>
      <w:r w:rsidRPr="00C02130">
        <w:rPr>
          <w:rFonts w:cstheme="minorHAnsi"/>
          <w:color w:val="000000"/>
        </w:rPr>
        <w:t>famiglia, quale soggetto fondamentale per la formazione e la cura delle persone e quale ambito di</w:t>
      </w:r>
      <w:r>
        <w:rPr>
          <w:rFonts w:cstheme="minorHAnsi"/>
          <w:color w:val="000000"/>
        </w:rPr>
        <w:t xml:space="preserve"> </w:t>
      </w:r>
      <w:r w:rsidRPr="00C02130">
        <w:rPr>
          <w:rFonts w:cstheme="minorHAnsi"/>
          <w:color w:val="000000"/>
        </w:rPr>
        <w:t>riferimento per ogni intervento riguardante l’educazione e lo sviluppo culturale</w:t>
      </w:r>
      <w:r>
        <w:rPr>
          <w:rFonts w:cstheme="minorHAnsi"/>
          <w:color w:val="000000"/>
        </w:rPr>
        <w:t>.</w:t>
      </w:r>
    </w:p>
    <w:p w:rsidR="00D37CE7" w:rsidRPr="00C02130" w:rsidRDefault="00D37CE7" w:rsidP="00D37CE7">
      <w:pPr>
        <w:autoSpaceDE w:val="0"/>
        <w:autoSpaceDN w:val="0"/>
        <w:adjustRightInd w:val="0"/>
        <w:spacing w:after="0" w:line="20" w:lineRule="atLeast"/>
        <w:jc w:val="both"/>
        <w:rPr>
          <w:rFonts w:cstheme="minorHAnsi"/>
          <w:color w:val="000000"/>
        </w:rPr>
      </w:pPr>
      <w:r>
        <w:rPr>
          <w:rFonts w:cstheme="minorHAnsi"/>
          <w:color w:val="000000"/>
        </w:rPr>
        <w:t>L</w:t>
      </w:r>
      <w:r w:rsidRPr="00C02130">
        <w:rPr>
          <w:rFonts w:cstheme="minorHAnsi"/>
          <w:color w:val="000000"/>
        </w:rPr>
        <w:t>’Intesa in sede di Conferenza Unificata acquisita nella seduta del 17 aprile 2019 (Intesa n. 30/CU</w:t>
      </w:r>
      <w:r>
        <w:rPr>
          <w:rFonts w:cstheme="minorHAnsi"/>
          <w:color w:val="000000"/>
        </w:rPr>
        <w:t xml:space="preserve"> </w:t>
      </w:r>
      <w:r w:rsidRPr="00C02130">
        <w:rPr>
          <w:rFonts w:cstheme="minorHAnsi"/>
          <w:color w:val="000000"/>
        </w:rPr>
        <w:t>del 17 aprile 2019) ha ad oggetto lo schema di decreto di riparto concernente l’utilizzo delle risorse</w:t>
      </w:r>
      <w:r>
        <w:rPr>
          <w:rFonts w:cstheme="minorHAnsi"/>
          <w:color w:val="000000"/>
        </w:rPr>
        <w:t xml:space="preserve"> </w:t>
      </w:r>
      <w:r w:rsidRPr="00C02130">
        <w:rPr>
          <w:rFonts w:cstheme="minorHAnsi"/>
          <w:color w:val="000000"/>
        </w:rPr>
        <w:t>stanziate sul Fondo per le politiche della Famiglia, per l’anno 2019.</w:t>
      </w:r>
    </w:p>
    <w:p w:rsidR="00D37CE7" w:rsidRPr="00C02130" w:rsidRDefault="00D37CE7" w:rsidP="00D37CE7">
      <w:pPr>
        <w:autoSpaceDE w:val="0"/>
        <w:autoSpaceDN w:val="0"/>
        <w:adjustRightInd w:val="0"/>
        <w:spacing w:after="0" w:line="20" w:lineRule="atLeast"/>
        <w:jc w:val="both"/>
        <w:rPr>
          <w:rFonts w:cstheme="minorHAnsi"/>
          <w:color w:val="000000"/>
        </w:rPr>
      </w:pPr>
      <w:r>
        <w:rPr>
          <w:rFonts w:cstheme="minorHAnsi"/>
          <w:color w:val="000000"/>
        </w:rPr>
        <w:lastRenderedPageBreak/>
        <w:t>I</w:t>
      </w:r>
      <w:r w:rsidRPr="00C02130">
        <w:rPr>
          <w:rFonts w:cstheme="minorHAnsi"/>
          <w:color w:val="000000"/>
        </w:rPr>
        <w:t>n attuazione della suddetta Intesa, il Dipartimento per le Politiche della Famiglia, con il DPCM</w:t>
      </w:r>
      <w:r>
        <w:rPr>
          <w:rFonts w:cstheme="minorHAnsi"/>
          <w:color w:val="000000"/>
        </w:rPr>
        <w:t xml:space="preserve"> </w:t>
      </w:r>
      <w:r w:rsidRPr="00C02130">
        <w:rPr>
          <w:rFonts w:cstheme="minorHAnsi"/>
          <w:color w:val="000000"/>
        </w:rPr>
        <w:t>del 30 aprile 2019 ha destinato € 15.000.000,00 per finanziare le attività di competenza regionale</w:t>
      </w:r>
      <w:r>
        <w:rPr>
          <w:rFonts w:cstheme="minorHAnsi"/>
          <w:color w:val="000000"/>
        </w:rPr>
        <w:t xml:space="preserve"> </w:t>
      </w:r>
      <w:r w:rsidRPr="00C02130">
        <w:rPr>
          <w:rFonts w:cstheme="minorHAnsi"/>
          <w:color w:val="000000"/>
        </w:rPr>
        <w:t>e degli enti locali volti a favorire la natalità, anche con carattere di innovativitàcon particolare</w:t>
      </w:r>
      <w:r>
        <w:rPr>
          <w:rFonts w:cstheme="minorHAnsi"/>
          <w:color w:val="000000"/>
        </w:rPr>
        <w:t xml:space="preserve"> </w:t>
      </w:r>
      <w:r w:rsidRPr="00C02130">
        <w:rPr>
          <w:rFonts w:cstheme="minorHAnsi"/>
          <w:color w:val="000000"/>
        </w:rPr>
        <w:t>riferimento al supporto delle attività svolte dai Centri per le famiglie e nell’ambito delle</w:t>
      </w:r>
      <w:r>
        <w:rPr>
          <w:rFonts w:cstheme="minorHAnsi"/>
          <w:color w:val="000000"/>
        </w:rPr>
        <w:t xml:space="preserve"> </w:t>
      </w:r>
      <w:r w:rsidRPr="00C02130">
        <w:rPr>
          <w:rFonts w:cstheme="minorHAnsi"/>
          <w:color w:val="000000"/>
        </w:rPr>
        <w:t>competenze sociali dei consultori familiari, a sostegno della natalità, nonché a supporto della</w:t>
      </w:r>
      <w:r>
        <w:rPr>
          <w:rFonts w:cstheme="minorHAnsi"/>
          <w:color w:val="000000"/>
        </w:rPr>
        <w:t xml:space="preserve"> </w:t>
      </w:r>
      <w:r w:rsidRPr="00C02130">
        <w:rPr>
          <w:rFonts w:cstheme="minorHAnsi"/>
          <w:color w:val="000000"/>
        </w:rPr>
        <w:t>genitorialità</w:t>
      </w:r>
      <w:r>
        <w:rPr>
          <w:rFonts w:cstheme="minorHAnsi"/>
          <w:color w:val="000000"/>
        </w:rPr>
        <w:t>.</w:t>
      </w:r>
    </w:p>
    <w:p w:rsidR="00D37CE7" w:rsidRPr="00C02130" w:rsidRDefault="00D37CE7" w:rsidP="00D37CE7">
      <w:pPr>
        <w:autoSpaceDE w:val="0"/>
        <w:autoSpaceDN w:val="0"/>
        <w:adjustRightInd w:val="0"/>
        <w:spacing w:after="0" w:line="20" w:lineRule="atLeast"/>
        <w:jc w:val="both"/>
        <w:rPr>
          <w:rFonts w:cstheme="minorHAnsi"/>
          <w:color w:val="000000"/>
        </w:rPr>
      </w:pPr>
      <w:r>
        <w:rPr>
          <w:rFonts w:cstheme="minorHAnsi"/>
          <w:color w:val="000000"/>
        </w:rPr>
        <w:t>P</w:t>
      </w:r>
      <w:r w:rsidRPr="00C02130">
        <w:rPr>
          <w:rFonts w:cstheme="minorHAnsi"/>
          <w:color w:val="000000"/>
        </w:rPr>
        <w:t>er la realizzazione delle suddette finalità, il Dipartimento per le Politiche della Famiglia trasferisce</w:t>
      </w:r>
      <w:r>
        <w:rPr>
          <w:rFonts w:cstheme="minorHAnsi"/>
          <w:color w:val="000000"/>
        </w:rPr>
        <w:t xml:space="preserve"> </w:t>
      </w:r>
      <w:r w:rsidRPr="00C02130">
        <w:rPr>
          <w:rFonts w:cstheme="minorHAnsi"/>
          <w:color w:val="000000"/>
        </w:rPr>
        <w:t>alle Regioni le risorse secondo gli importi indicati nella Tabella A Allegato 1 del relativo Decreto</w:t>
      </w:r>
      <w:r>
        <w:rPr>
          <w:rFonts w:cstheme="minorHAnsi"/>
          <w:color w:val="000000"/>
        </w:rPr>
        <w:t xml:space="preserve"> </w:t>
      </w:r>
      <w:r w:rsidRPr="00C02130">
        <w:rPr>
          <w:rFonts w:cstheme="minorHAnsi"/>
          <w:color w:val="000000"/>
        </w:rPr>
        <w:t>(DPCM 30 aprile 2019) e che per la Regione Piemonte tali risorse sono pari ad € 1.077.000,00</w:t>
      </w:r>
      <w:r>
        <w:rPr>
          <w:rFonts w:cstheme="minorHAnsi"/>
          <w:color w:val="000000"/>
        </w:rPr>
        <w:t>-</w:t>
      </w:r>
    </w:p>
    <w:p w:rsidR="00D37CE7" w:rsidRDefault="00D37CE7" w:rsidP="00D37CE7">
      <w:pPr>
        <w:autoSpaceDE w:val="0"/>
        <w:autoSpaceDN w:val="0"/>
        <w:adjustRightInd w:val="0"/>
        <w:spacing w:after="0" w:line="20" w:lineRule="atLeast"/>
        <w:jc w:val="both"/>
        <w:rPr>
          <w:rFonts w:cstheme="minorHAnsi"/>
          <w:color w:val="000000"/>
        </w:rPr>
      </w:pPr>
      <w:r>
        <w:rPr>
          <w:rFonts w:cstheme="minorHAnsi"/>
          <w:color w:val="000000"/>
        </w:rPr>
        <w:t>L</w:t>
      </w:r>
      <w:r w:rsidRPr="00C02130">
        <w:rPr>
          <w:rFonts w:cstheme="minorHAnsi"/>
          <w:color w:val="000000"/>
        </w:rPr>
        <w:t>a Regione Piemonte è tenuta a cofinanziare le azioni da</w:t>
      </w:r>
      <w:r>
        <w:rPr>
          <w:rFonts w:cstheme="minorHAnsi"/>
          <w:color w:val="000000"/>
        </w:rPr>
        <w:t xml:space="preserve"> </w:t>
      </w:r>
      <w:r w:rsidRPr="00C02130">
        <w:rPr>
          <w:rFonts w:cstheme="minorHAnsi"/>
          <w:color w:val="000000"/>
        </w:rPr>
        <w:t>realizzare per una quota pari ad almeno il 20% del finanziamento assegnato dal Dipartimento per le</w:t>
      </w:r>
      <w:r>
        <w:rPr>
          <w:rFonts w:cstheme="minorHAnsi"/>
          <w:color w:val="000000"/>
        </w:rPr>
        <w:t xml:space="preserve"> </w:t>
      </w:r>
      <w:r w:rsidRPr="00C02130">
        <w:rPr>
          <w:rFonts w:cstheme="minorHAnsi"/>
          <w:color w:val="000000"/>
        </w:rPr>
        <w:t>Politiche della Famiglia, con risorse proprie, compatibilmente con gli stanziamenti disponibili a</w:t>
      </w:r>
      <w:r>
        <w:rPr>
          <w:rFonts w:cstheme="minorHAnsi"/>
          <w:color w:val="000000"/>
        </w:rPr>
        <w:t xml:space="preserve"> </w:t>
      </w:r>
      <w:r w:rsidRPr="00C02130">
        <w:rPr>
          <w:rFonts w:cstheme="minorHAnsi"/>
          <w:color w:val="000000"/>
        </w:rPr>
        <w:t>bilancio regionale o attraverso la valorizzazione di risorse umane e beni e servizi</w:t>
      </w:r>
      <w:r>
        <w:rPr>
          <w:rFonts w:cstheme="minorHAnsi"/>
          <w:color w:val="000000"/>
        </w:rPr>
        <w:t>.</w:t>
      </w:r>
    </w:p>
    <w:p w:rsidR="00D37CE7" w:rsidRDefault="00D37CE7" w:rsidP="00D37CE7">
      <w:pPr>
        <w:autoSpaceDE w:val="0"/>
        <w:autoSpaceDN w:val="0"/>
        <w:adjustRightInd w:val="0"/>
        <w:spacing w:after="0" w:line="20" w:lineRule="atLeast"/>
        <w:jc w:val="both"/>
        <w:rPr>
          <w:rFonts w:cstheme="minorHAnsi"/>
          <w:color w:val="000000"/>
        </w:rPr>
      </w:pPr>
      <w:r>
        <w:rPr>
          <w:rFonts w:cstheme="minorHAnsi"/>
          <w:color w:val="000000"/>
        </w:rPr>
        <w:t>L</w:t>
      </w:r>
      <w:r w:rsidRPr="00C02130">
        <w:rPr>
          <w:rFonts w:cstheme="minorHAnsi"/>
          <w:color w:val="000000"/>
        </w:rPr>
        <w:t>a Legge 4 Maggio 1983, n. 184, che all’art. 80, comma 4, prevede che le Regioni determinino le</w:t>
      </w:r>
      <w:r>
        <w:rPr>
          <w:rFonts w:cstheme="minorHAnsi"/>
          <w:color w:val="000000"/>
        </w:rPr>
        <w:t xml:space="preserve"> </w:t>
      </w:r>
      <w:r w:rsidRPr="00C02130">
        <w:rPr>
          <w:rFonts w:cstheme="minorHAnsi"/>
          <w:color w:val="000000"/>
        </w:rPr>
        <w:t>condizioni e le modalità di sostegno economico alle famiglie, persone e comunità di tipo familiare</w:t>
      </w:r>
      <w:r>
        <w:rPr>
          <w:rFonts w:cstheme="minorHAnsi"/>
          <w:color w:val="000000"/>
        </w:rPr>
        <w:t xml:space="preserve"> </w:t>
      </w:r>
      <w:r w:rsidRPr="00C02130">
        <w:rPr>
          <w:rFonts w:cstheme="minorHAnsi"/>
          <w:color w:val="000000"/>
        </w:rPr>
        <w:t>che accolgono minori in affidamento, affinché essa possa fondarsi “sulla disponibilità e l’idoneità</w:t>
      </w:r>
      <w:r>
        <w:rPr>
          <w:rFonts w:cstheme="minorHAnsi"/>
          <w:color w:val="000000"/>
        </w:rPr>
        <w:t xml:space="preserve"> </w:t>
      </w:r>
      <w:r w:rsidRPr="00C02130">
        <w:rPr>
          <w:rFonts w:cstheme="minorHAnsi"/>
          <w:color w:val="000000"/>
        </w:rPr>
        <w:t>all’accoglienza, indipendentemente dalle condizioni economiche”; l’art. 6, comma 8, della legge n.</w:t>
      </w:r>
      <w:r>
        <w:rPr>
          <w:rFonts w:cstheme="minorHAnsi"/>
          <w:color w:val="000000"/>
        </w:rPr>
        <w:t xml:space="preserve"> </w:t>
      </w:r>
      <w:r w:rsidRPr="00C02130">
        <w:rPr>
          <w:rFonts w:cstheme="minorHAnsi"/>
          <w:color w:val="000000"/>
        </w:rPr>
        <w:t>184/83, così come sostituito dalla legge n. 149/01, dispone che nel caso di adozione di minori di età</w:t>
      </w:r>
      <w:r>
        <w:rPr>
          <w:rFonts w:cstheme="minorHAnsi"/>
          <w:color w:val="000000"/>
        </w:rPr>
        <w:t xml:space="preserve"> </w:t>
      </w:r>
      <w:r w:rsidRPr="00C02130">
        <w:rPr>
          <w:rFonts w:cstheme="minorHAnsi"/>
          <w:color w:val="000000"/>
        </w:rPr>
        <w:t>superiore ai dodici anni e/o con handicap accertato ai sensi dell’articolo 4 della legge 5 febbraio</w:t>
      </w:r>
      <w:r>
        <w:rPr>
          <w:rFonts w:cstheme="minorHAnsi"/>
          <w:color w:val="000000"/>
        </w:rPr>
        <w:t xml:space="preserve"> </w:t>
      </w:r>
      <w:r w:rsidRPr="00C02130">
        <w:rPr>
          <w:rFonts w:cstheme="minorHAnsi"/>
          <w:color w:val="000000"/>
        </w:rPr>
        <w:t>1992, n. 104, lo Stato, le regioni e gli enti locali possono intervenire, nell’ambito delle proprie</w:t>
      </w:r>
      <w:r>
        <w:rPr>
          <w:rFonts w:cstheme="minorHAnsi"/>
          <w:color w:val="000000"/>
        </w:rPr>
        <w:t xml:space="preserve"> </w:t>
      </w:r>
      <w:r w:rsidRPr="00C02130">
        <w:rPr>
          <w:rFonts w:cstheme="minorHAnsi"/>
          <w:color w:val="000000"/>
        </w:rPr>
        <w:t>competenze e nei limiti delle disponibilità finanziarie dei rispettivi bilanci, con specifiche misure di</w:t>
      </w:r>
      <w:r>
        <w:rPr>
          <w:rFonts w:cstheme="minorHAnsi"/>
          <w:color w:val="000000"/>
        </w:rPr>
        <w:t xml:space="preserve"> </w:t>
      </w:r>
      <w:r w:rsidRPr="00C02130">
        <w:rPr>
          <w:rFonts w:cstheme="minorHAnsi"/>
          <w:color w:val="000000"/>
        </w:rPr>
        <w:t>carattere economico, eventualmente anche mediante misure di sostegno alla formazione e</w:t>
      </w:r>
      <w:r>
        <w:rPr>
          <w:rFonts w:cstheme="minorHAnsi"/>
          <w:color w:val="000000"/>
        </w:rPr>
        <w:t xml:space="preserve"> </w:t>
      </w:r>
      <w:r w:rsidRPr="00C02130">
        <w:rPr>
          <w:rFonts w:cstheme="minorHAnsi"/>
          <w:color w:val="000000"/>
        </w:rPr>
        <w:t>all’inserimento sociale, fino all’età di 18 anni degli adottat</w:t>
      </w:r>
      <w:r>
        <w:rPr>
          <w:rFonts w:cstheme="minorHAnsi"/>
          <w:color w:val="000000"/>
        </w:rPr>
        <w:t>i.</w:t>
      </w:r>
    </w:p>
    <w:p w:rsidR="00D37CE7" w:rsidRPr="00A97A19" w:rsidRDefault="00D37CE7" w:rsidP="00D37CE7">
      <w:pPr>
        <w:autoSpaceDE w:val="0"/>
        <w:autoSpaceDN w:val="0"/>
        <w:adjustRightInd w:val="0"/>
        <w:spacing w:after="0" w:line="20" w:lineRule="atLeast"/>
        <w:jc w:val="both"/>
        <w:rPr>
          <w:rFonts w:cstheme="minorHAnsi"/>
          <w:b/>
          <w:color w:val="000000"/>
        </w:rPr>
      </w:pPr>
      <w:r w:rsidRPr="00A97A19">
        <w:rPr>
          <w:rFonts w:cstheme="minorHAnsi"/>
          <w:b/>
          <w:color w:val="000000"/>
        </w:rPr>
        <w:t>LA RICADUTA SULLA REGIONE E LA LUNGA AZIONE SVOLTA</w:t>
      </w:r>
    </w:p>
    <w:p w:rsidR="00D37CE7" w:rsidRPr="00C02130" w:rsidRDefault="00D37CE7" w:rsidP="00D37CE7">
      <w:pPr>
        <w:autoSpaceDE w:val="0"/>
        <w:autoSpaceDN w:val="0"/>
        <w:adjustRightInd w:val="0"/>
        <w:spacing w:after="0" w:line="20" w:lineRule="atLeast"/>
        <w:jc w:val="both"/>
        <w:rPr>
          <w:rFonts w:cstheme="minorHAnsi"/>
          <w:color w:val="000000"/>
        </w:rPr>
      </w:pPr>
      <w:r>
        <w:rPr>
          <w:rFonts w:cstheme="minorHAnsi"/>
          <w:color w:val="000000"/>
        </w:rPr>
        <w:t>L</w:t>
      </w:r>
      <w:r w:rsidRPr="00C02130">
        <w:rPr>
          <w:rFonts w:cstheme="minorHAnsi"/>
          <w:color w:val="000000"/>
        </w:rPr>
        <w:t>a legge regionale 1/2004 all’art. 42 prevede l’istituzione da parte dei Comuni, in raccordo con i</w:t>
      </w:r>
      <w:r>
        <w:rPr>
          <w:rFonts w:cstheme="minorHAnsi"/>
          <w:color w:val="000000"/>
        </w:rPr>
        <w:t xml:space="preserve"> </w:t>
      </w:r>
      <w:r w:rsidRPr="00C02130">
        <w:rPr>
          <w:rFonts w:cstheme="minorHAnsi"/>
          <w:color w:val="000000"/>
        </w:rPr>
        <w:t>Consultori familiari, di Centri per le famiglie come servizi a titolarità pubblica, che costituiscono</w:t>
      </w:r>
      <w:r>
        <w:rPr>
          <w:rFonts w:cstheme="minorHAnsi"/>
          <w:color w:val="000000"/>
        </w:rPr>
        <w:t xml:space="preserve"> </w:t>
      </w:r>
      <w:r w:rsidRPr="00C02130">
        <w:rPr>
          <w:rFonts w:cstheme="minorHAnsi"/>
          <w:color w:val="000000"/>
        </w:rPr>
        <w:t>uno spazio del territorio dove si costruisce partecipazione e cittadinanza attiva e si promuove la</w:t>
      </w:r>
      <w:r>
        <w:rPr>
          <w:rFonts w:cstheme="minorHAnsi"/>
          <w:color w:val="000000"/>
        </w:rPr>
        <w:t xml:space="preserve"> </w:t>
      </w:r>
      <w:r w:rsidRPr="00C02130">
        <w:rPr>
          <w:rFonts w:cstheme="minorHAnsi"/>
          <w:color w:val="000000"/>
        </w:rPr>
        <w:t>prevenzione del disagio familiare e minorile</w:t>
      </w:r>
      <w:r>
        <w:rPr>
          <w:rFonts w:cstheme="minorHAnsi"/>
          <w:color w:val="000000"/>
        </w:rPr>
        <w:t>.</w:t>
      </w:r>
    </w:p>
    <w:p w:rsidR="00D37CE7" w:rsidRPr="00C02130" w:rsidRDefault="00D37CE7" w:rsidP="00D37CE7">
      <w:pPr>
        <w:autoSpaceDE w:val="0"/>
        <w:autoSpaceDN w:val="0"/>
        <w:adjustRightInd w:val="0"/>
        <w:spacing w:after="0" w:line="20" w:lineRule="atLeast"/>
        <w:jc w:val="both"/>
        <w:rPr>
          <w:rFonts w:cstheme="minorHAnsi"/>
          <w:color w:val="000000"/>
        </w:rPr>
      </w:pPr>
      <w:r>
        <w:rPr>
          <w:rFonts w:cstheme="minorHAnsi"/>
          <w:color w:val="000000"/>
        </w:rPr>
        <w:t xml:space="preserve">Con </w:t>
      </w:r>
      <w:r w:rsidRPr="00C02130">
        <w:rPr>
          <w:rFonts w:cstheme="minorHAnsi"/>
          <w:color w:val="000000"/>
        </w:rPr>
        <w:t>la DGR n. 89-3827 del 04.08.2016 con cui sono state definite le linee guida inerenti a finalità e</w:t>
      </w:r>
      <w:r>
        <w:rPr>
          <w:rFonts w:cstheme="minorHAnsi"/>
          <w:color w:val="000000"/>
        </w:rPr>
        <w:t xml:space="preserve"> </w:t>
      </w:r>
      <w:r w:rsidRPr="00C02130">
        <w:rPr>
          <w:rFonts w:cstheme="minorHAnsi"/>
          <w:color w:val="000000"/>
        </w:rPr>
        <w:t>funzioni dei Centri per le Famiglie a titolarità pubblica in Piemonte, che costituiscono uno spazio</w:t>
      </w:r>
      <w:r>
        <w:rPr>
          <w:rFonts w:cstheme="minorHAnsi"/>
          <w:color w:val="000000"/>
        </w:rPr>
        <w:t xml:space="preserve"> </w:t>
      </w:r>
      <w:r w:rsidRPr="00C02130">
        <w:rPr>
          <w:rFonts w:cstheme="minorHAnsi"/>
          <w:color w:val="000000"/>
        </w:rPr>
        <w:t>del territorio dove si costruisce partecipazione e cittadinanza attiva e dove le famiglie diventano</w:t>
      </w:r>
      <w:r>
        <w:rPr>
          <w:rFonts w:cstheme="minorHAnsi"/>
          <w:color w:val="000000"/>
        </w:rPr>
        <w:t xml:space="preserve"> </w:t>
      </w:r>
      <w:r w:rsidRPr="00C02130">
        <w:rPr>
          <w:rFonts w:cstheme="minorHAnsi"/>
          <w:color w:val="000000"/>
        </w:rPr>
        <w:t>interlocutori delle istituzioni nei percorsi di inclusione e di sviluppo delle comunità locali.</w:t>
      </w:r>
    </w:p>
    <w:p w:rsidR="00D37CE7" w:rsidRPr="00C02130" w:rsidRDefault="00D37CE7" w:rsidP="00D37CE7">
      <w:pPr>
        <w:autoSpaceDE w:val="0"/>
        <w:autoSpaceDN w:val="0"/>
        <w:adjustRightInd w:val="0"/>
        <w:spacing w:after="0" w:line="20" w:lineRule="atLeast"/>
        <w:jc w:val="both"/>
        <w:rPr>
          <w:rFonts w:cstheme="minorHAnsi"/>
          <w:color w:val="000000"/>
        </w:rPr>
      </w:pPr>
      <w:r w:rsidRPr="00C02130">
        <w:rPr>
          <w:rFonts w:cstheme="minorHAnsi"/>
          <w:color w:val="000000"/>
        </w:rPr>
        <w:t>I Centri operano in stretto raccordo con la rete dei Consultori familiari del Dipartimento maternoinfantile</w:t>
      </w:r>
      <w:r>
        <w:rPr>
          <w:rFonts w:cstheme="minorHAnsi"/>
          <w:color w:val="000000"/>
        </w:rPr>
        <w:t xml:space="preserve"> </w:t>
      </w:r>
      <w:proofErr w:type="gramStart"/>
      <w:r w:rsidRPr="00C02130">
        <w:rPr>
          <w:rFonts w:cstheme="minorHAnsi"/>
          <w:color w:val="000000"/>
        </w:rPr>
        <w:t>dell’ ASL</w:t>
      </w:r>
      <w:proofErr w:type="gramEnd"/>
      <w:r w:rsidRPr="00C02130">
        <w:rPr>
          <w:rFonts w:cstheme="minorHAnsi"/>
          <w:color w:val="000000"/>
        </w:rPr>
        <w:t xml:space="preserve"> territoriale di competenza ed il nucleo fondamentale degli interventi assicurati,</w:t>
      </w:r>
      <w:r>
        <w:rPr>
          <w:rFonts w:cstheme="minorHAnsi"/>
          <w:color w:val="000000"/>
        </w:rPr>
        <w:t xml:space="preserve"> </w:t>
      </w:r>
      <w:r w:rsidRPr="00C02130">
        <w:rPr>
          <w:rFonts w:cstheme="minorHAnsi"/>
          <w:color w:val="000000"/>
        </w:rPr>
        <w:t>ruota principalmente intorno alle funzioni di sostegno ed accompagnamento delle responsabilità</w:t>
      </w:r>
      <w:r>
        <w:rPr>
          <w:rFonts w:cstheme="minorHAnsi"/>
          <w:color w:val="000000"/>
        </w:rPr>
        <w:t xml:space="preserve"> </w:t>
      </w:r>
      <w:r w:rsidRPr="00C02130">
        <w:rPr>
          <w:rFonts w:cstheme="minorHAnsi"/>
          <w:color w:val="000000"/>
        </w:rPr>
        <w:t>familiari ed alla promozione e cura dei legami</w:t>
      </w:r>
      <w:r>
        <w:rPr>
          <w:rFonts w:cstheme="minorHAnsi"/>
          <w:color w:val="000000"/>
        </w:rPr>
        <w:t>.</w:t>
      </w:r>
    </w:p>
    <w:p w:rsidR="00D37CE7" w:rsidRPr="00C02130" w:rsidRDefault="00D37CE7" w:rsidP="00D37CE7">
      <w:pPr>
        <w:autoSpaceDE w:val="0"/>
        <w:autoSpaceDN w:val="0"/>
        <w:adjustRightInd w:val="0"/>
        <w:spacing w:after="0" w:line="20" w:lineRule="atLeast"/>
        <w:jc w:val="both"/>
        <w:rPr>
          <w:rFonts w:cstheme="minorHAnsi"/>
          <w:color w:val="000000"/>
        </w:rPr>
      </w:pPr>
      <w:r>
        <w:rPr>
          <w:rFonts w:cstheme="minorHAnsi"/>
          <w:color w:val="000000"/>
        </w:rPr>
        <w:t>U</w:t>
      </w:r>
      <w:r w:rsidRPr="00C02130">
        <w:rPr>
          <w:rFonts w:cstheme="minorHAnsi"/>
          <w:color w:val="000000"/>
        </w:rPr>
        <w:t>no degli obiettivi fondamentali dello sviluppo delle azioni regionali in materia risulta essere il</w:t>
      </w:r>
      <w:r>
        <w:rPr>
          <w:rFonts w:cstheme="minorHAnsi"/>
          <w:color w:val="000000"/>
        </w:rPr>
        <w:t xml:space="preserve"> </w:t>
      </w:r>
      <w:r w:rsidRPr="00C02130">
        <w:rPr>
          <w:rFonts w:cstheme="minorHAnsi"/>
          <w:color w:val="000000"/>
        </w:rPr>
        <w:t>rafforzamento e lo sviluppo delle reti territoriali tra i Centri per le Famiglie, gli enti gestori delle</w:t>
      </w:r>
      <w:r>
        <w:rPr>
          <w:rFonts w:cstheme="minorHAnsi"/>
          <w:color w:val="000000"/>
        </w:rPr>
        <w:t xml:space="preserve"> </w:t>
      </w:r>
      <w:r w:rsidRPr="00C02130">
        <w:rPr>
          <w:rFonts w:cstheme="minorHAnsi"/>
          <w:color w:val="000000"/>
        </w:rPr>
        <w:t>funzioni socio-assistenziali ed i servizi sanitari, coinvolgendo, oltre ai consultori famigliari, anche i</w:t>
      </w:r>
      <w:r>
        <w:rPr>
          <w:rFonts w:cstheme="minorHAnsi"/>
          <w:color w:val="000000"/>
        </w:rPr>
        <w:t xml:space="preserve"> </w:t>
      </w:r>
      <w:r w:rsidRPr="00C02130">
        <w:rPr>
          <w:rFonts w:cstheme="minorHAnsi"/>
          <w:color w:val="000000"/>
        </w:rPr>
        <w:t>punti nascita ospedalieri presenti sul territorio</w:t>
      </w:r>
      <w:r>
        <w:rPr>
          <w:rFonts w:cstheme="minorHAnsi"/>
          <w:color w:val="000000"/>
        </w:rPr>
        <w:t>.</w:t>
      </w:r>
    </w:p>
    <w:p w:rsidR="00D37CE7" w:rsidRDefault="00D37CE7" w:rsidP="00D37CE7">
      <w:pPr>
        <w:autoSpaceDE w:val="0"/>
        <w:autoSpaceDN w:val="0"/>
        <w:adjustRightInd w:val="0"/>
        <w:spacing w:after="0" w:line="20" w:lineRule="atLeast"/>
        <w:jc w:val="both"/>
        <w:rPr>
          <w:rFonts w:cstheme="minorHAnsi"/>
          <w:color w:val="000000"/>
        </w:rPr>
      </w:pPr>
      <w:r>
        <w:rPr>
          <w:rFonts w:cstheme="minorHAnsi"/>
          <w:color w:val="000000"/>
        </w:rPr>
        <w:t>N</w:t>
      </w:r>
      <w:r w:rsidRPr="00C02130">
        <w:rPr>
          <w:rFonts w:cstheme="minorHAnsi"/>
          <w:color w:val="000000"/>
        </w:rPr>
        <w:t>elle Raccomandazioni inserite nelle citate Linee guida, si fa riferimento alla</w:t>
      </w:r>
      <w:r>
        <w:rPr>
          <w:rFonts w:cstheme="minorHAnsi"/>
          <w:color w:val="000000"/>
        </w:rPr>
        <w:t xml:space="preserve"> </w:t>
      </w:r>
      <w:r w:rsidRPr="00C02130">
        <w:rPr>
          <w:rFonts w:cstheme="minorHAnsi"/>
          <w:color w:val="000000"/>
        </w:rPr>
        <w:t>possibilità di attuare specifici protocolli a livello di ambito di ciascuna azienda sanitaria e/o accordi</w:t>
      </w:r>
      <w:r>
        <w:rPr>
          <w:rFonts w:cstheme="minorHAnsi"/>
          <w:color w:val="000000"/>
        </w:rPr>
        <w:t xml:space="preserve"> </w:t>
      </w:r>
      <w:r w:rsidRPr="00C02130">
        <w:rPr>
          <w:rFonts w:cstheme="minorHAnsi"/>
          <w:color w:val="000000"/>
        </w:rPr>
        <w:t>operativi finalizzati a definire aree di intervento messa a disposizione di personale e di</w:t>
      </w:r>
      <w:r>
        <w:rPr>
          <w:rFonts w:cstheme="minorHAnsi"/>
          <w:color w:val="000000"/>
        </w:rPr>
        <w:t xml:space="preserve"> </w:t>
      </w:r>
      <w:r w:rsidRPr="00C02130">
        <w:rPr>
          <w:rFonts w:cstheme="minorHAnsi"/>
          <w:color w:val="000000"/>
        </w:rPr>
        <w:t>professionalità, nonché modalità di collaborazione congiunta</w:t>
      </w:r>
      <w:r>
        <w:rPr>
          <w:rFonts w:cstheme="minorHAnsi"/>
          <w:color w:val="000000"/>
        </w:rPr>
        <w:t>.</w:t>
      </w:r>
    </w:p>
    <w:p w:rsidR="00D37CE7" w:rsidRPr="00C02130" w:rsidRDefault="00D37CE7" w:rsidP="00D37CE7">
      <w:pPr>
        <w:autoSpaceDE w:val="0"/>
        <w:autoSpaceDN w:val="0"/>
        <w:adjustRightInd w:val="0"/>
        <w:spacing w:after="0" w:line="20" w:lineRule="atLeast"/>
        <w:jc w:val="both"/>
        <w:rPr>
          <w:rFonts w:cstheme="minorHAnsi"/>
          <w:color w:val="000000"/>
        </w:rPr>
      </w:pPr>
      <w:r>
        <w:rPr>
          <w:rFonts w:cstheme="minorHAnsi"/>
          <w:color w:val="000000"/>
        </w:rPr>
        <w:t>S</w:t>
      </w:r>
      <w:r w:rsidRPr="00C02130">
        <w:rPr>
          <w:rFonts w:cstheme="minorHAnsi"/>
          <w:color w:val="000000"/>
        </w:rPr>
        <w:t>i intende promuovere azioni congiunte tra i centri per le famiglie ed i punti nascita</w:t>
      </w:r>
      <w:r>
        <w:rPr>
          <w:rFonts w:cstheme="minorHAnsi"/>
          <w:color w:val="000000"/>
        </w:rPr>
        <w:t xml:space="preserve"> </w:t>
      </w:r>
      <w:r w:rsidRPr="00C02130">
        <w:rPr>
          <w:rFonts w:cstheme="minorHAnsi"/>
          <w:color w:val="000000"/>
        </w:rPr>
        <w:t>del Piemonte, in attuazione della raccomandazione sopra richiamata, dando priorità all’area del</w:t>
      </w:r>
      <w:r>
        <w:rPr>
          <w:rFonts w:cstheme="minorHAnsi"/>
          <w:color w:val="000000"/>
        </w:rPr>
        <w:t xml:space="preserve"> </w:t>
      </w:r>
      <w:r w:rsidRPr="00C02130">
        <w:rPr>
          <w:rFonts w:cstheme="minorHAnsi"/>
          <w:color w:val="000000"/>
        </w:rPr>
        <w:t>sostegno alle madri nel periodo immediatamente dopo il parto, periodo particolarmente complesso</w:t>
      </w:r>
      <w:r>
        <w:rPr>
          <w:rFonts w:cstheme="minorHAnsi"/>
          <w:color w:val="000000"/>
        </w:rPr>
        <w:t xml:space="preserve"> </w:t>
      </w:r>
      <w:r w:rsidRPr="00C02130">
        <w:rPr>
          <w:rFonts w:cstheme="minorHAnsi"/>
          <w:color w:val="000000"/>
        </w:rPr>
        <w:t>ed importante per il benessere delle nuove famiglie.</w:t>
      </w:r>
    </w:p>
    <w:p w:rsidR="00D37CE7" w:rsidRDefault="00D37CE7" w:rsidP="00D37CE7">
      <w:pPr>
        <w:autoSpaceDE w:val="0"/>
        <w:autoSpaceDN w:val="0"/>
        <w:adjustRightInd w:val="0"/>
        <w:spacing w:after="0" w:line="20" w:lineRule="atLeast"/>
        <w:jc w:val="both"/>
        <w:rPr>
          <w:rFonts w:cstheme="minorHAnsi"/>
          <w:color w:val="000000"/>
        </w:rPr>
      </w:pPr>
      <w:r>
        <w:rPr>
          <w:rFonts w:cstheme="minorHAnsi"/>
          <w:color w:val="000000"/>
        </w:rPr>
        <w:t>C</w:t>
      </w:r>
      <w:r w:rsidRPr="00C02130">
        <w:rPr>
          <w:rFonts w:cstheme="minorHAnsi"/>
          <w:color w:val="000000"/>
        </w:rPr>
        <w:t>on DGR n. 56-9881 del 20.10.2008 la Regione Piemonte da tempo sostiene la rete degli interventi</w:t>
      </w:r>
      <w:r>
        <w:rPr>
          <w:rFonts w:cstheme="minorHAnsi"/>
          <w:color w:val="000000"/>
        </w:rPr>
        <w:t xml:space="preserve"> </w:t>
      </w:r>
      <w:r w:rsidRPr="00C02130">
        <w:rPr>
          <w:rFonts w:cstheme="minorHAnsi"/>
          <w:color w:val="000000"/>
        </w:rPr>
        <w:t>a sostegno delle gestanti e madri in difficoltà, in un ottica di prevenzione delle situazioni di rischio,</w:t>
      </w:r>
      <w:r>
        <w:rPr>
          <w:rFonts w:cstheme="minorHAnsi"/>
          <w:color w:val="000000"/>
        </w:rPr>
        <w:t xml:space="preserve"> </w:t>
      </w:r>
      <w:r w:rsidRPr="00C02130">
        <w:rPr>
          <w:rFonts w:cstheme="minorHAnsi"/>
          <w:color w:val="000000"/>
        </w:rPr>
        <w:t>anche in raccordo con gli interventi attivati a favore delle gestanti che necessitano di specifici</w:t>
      </w:r>
      <w:r>
        <w:rPr>
          <w:rFonts w:cstheme="minorHAnsi"/>
          <w:color w:val="000000"/>
        </w:rPr>
        <w:t xml:space="preserve"> </w:t>
      </w:r>
      <w:r w:rsidRPr="00C02130">
        <w:rPr>
          <w:rFonts w:cstheme="minorHAnsi"/>
          <w:color w:val="000000"/>
        </w:rPr>
        <w:t>sostegni in ordine al riconoscimento o non riconoscimento dei loro nati, ai sensi della LR 16/06.</w:t>
      </w:r>
    </w:p>
    <w:p w:rsidR="00D37CE7" w:rsidRPr="00C02130" w:rsidRDefault="00D37CE7" w:rsidP="00D37CE7">
      <w:pPr>
        <w:autoSpaceDE w:val="0"/>
        <w:autoSpaceDN w:val="0"/>
        <w:adjustRightInd w:val="0"/>
        <w:spacing w:after="0" w:line="20" w:lineRule="atLeast"/>
        <w:jc w:val="both"/>
        <w:rPr>
          <w:rFonts w:cstheme="minorHAnsi"/>
          <w:color w:val="000000"/>
        </w:rPr>
      </w:pPr>
      <w:r w:rsidRPr="00C02130">
        <w:rPr>
          <w:rFonts w:cstheme="minorHAnsi"/>
          <w:color w:val="000000"/>
        </w:rPr>
        <w:t>In</w:t>
      </w:r>
      <w:r>
        <w:rPr>
          <w:rFonts w:cstheme="minorHAnsi"/>
          <w:color w:val="000000"/>
        </w:rPr>
        <w:t xml:space="preserve"> </w:t>
      </w:r>
      <w:r w:rsidRPr="00C02130">
        <w:rPr>
          <w:rFonts w:cstheme="minorHAnsi"/>
          <w:color w:val="000000"/>
        </w:rPr>
        <w:t>particolare, nel 2014 con DGR n. 17-684 del 1.12.2014 è stato formalizzata l’adesione della</w:t>
      </w:r>
      <w:r>
        <w:rPr>
          <w:rFonts w:cstheme="minorHAnsi"/>
          <w:color w:val="000000"/>
        </w:rPr>
        <w:t xml:space="preserve"> </w:t>
      </w:r>
      <w:r w:rsidRPr="00C02130">
        <w:rPr>
          <w:rFonts w:cstheme="minorHAnsi"/>
          <w:color w:val="000000"/>
        </w:rPr>
        <w:t>Regione Piemonte ad un protocollo d’intesa con il Comune di Torino e con l’Associazione Gruppi</w:t>
      </w:r>
      <w:r>
        <w:rPr>
          <w:rFonts w:cstheme="minorHAnsi"/>
          <w:color w:val="000000"/>
        </w:rPr>
        <w:t xml:space="preserve"> </w:t>
      </w:r>
      <w:r w:rsidRPr="00C02130">
        <w:rPr>
          <w:rFonts w:cstheme="minorHAnsi"/>
          <w:color w:val="000000"/>
        </w:rPr>
        <w:t>di Volontariato Vincenziano di Torino per la realizzazione di un punto di riferimento per</w:t>
      </w:r>
      <w:r>
        <w:rPr>
          <w:rFonts w:cstheme="minorHAnsi"/>
          <w:color w:val="000000"/>
        </w:rPr>
        <w:t xml:space="preserve"> </w:t>
      </w:r>
      <w:r w:rsidRPr="00C02130">
        <w:rPr>
          <w:rFonts w:cstheme="minorHAnsi"/>
          <w:color w:val="000000"/>
        </w:rPr>
        <w:t xml:space="preserve">l’accesso e la raccolta delle richieste </w:t>
      </w:r>
      <w:r w:rsidRPr="00C02130">
        <w:rPr>
          <w:rFonts w:cstheme="minorHAnsi"/>
          <w:color w:val="000000"/>
        </w:rPr>
        <w:lastRenderedPageBreak/>
        <w:t>e delle segnalazioni di emergenza di gestanti e madri con</w:t>
      </w:r>
      <w:r>
        <w:rPr>
          <w:rFonts w:cstheme="minorHAnsi"/>
          <w:color w:val="000000"/>
        </w:rPr>
        <w:t xml:space="preserve"> </w:t>
      </w:r>
      <w:r w:rsidRPr="00C02130">
        <w:rPr>
          <w:rFonts w:cstheme="minorHAnsi"/>
          <w:color w:val="000000"/>
        </w:rPr>
        <w:t>bambino in condizioni di fragilità e svantaggio e a rischio di esclusione sociale.</w:t>
      </w:r>
    </w:p>
    <w:p w:rsidR="00D37CE7" w:rsidRPr="00C02130" w:rsidRDefault="00D37CE7" w:rsidP="00D37CE7">
      <w:pPr>
        <w:autoSpaceDE w:val="0"/>
        <w:autoSpaceDN w:val="0"/>
        <w:adjustRightInd w:val="0"/>
        <w:spacing w:after="0" w:line="20" w:lineRule="atLeast"/>
        <w:jc w:val="both"/>
        <w:rPr>
          <w:rFonts w:cstheme="minorHAnsi"/>
          <w:color w:val="000000"/>
        </w:rPr>
      </w:pPr>
      <w:r w:rsidRPr="00C02130">
        <w:rPr>
          <w:rFonts w:cstheme="minorHAnsi"/>
          <w:color w:val="000000"/>
        </w:rPr>
        <w:t>Il servizio “Call Center” si qualifica come servizio unico nell’intero territorio regionale ed è un</w:t>
      </w:r>
      <w:r>
        <w:rPr>
          <w:rFonts w:cstheme="minorHAnsi"/>
          <w:color w:val="000000"/>
        </w:rPr>
        <w:t xml:space="preserve"> </w:t>
      </w:r>
      <w:r w:rsidRPr="00C02130">
        <w:rPr>
          <w:rFonts w:cstheme="minorHAnsi"/>
          <w:color w:val="000000"/>
        </w:rPr>
        <w:t>punto di raccordo tra servizi pubblici ed enti del privato sociale che operano a sostegno della</w:t>
      </w:r>
      <w:r>
        <w:rPr>
          <w:rFonts w:cstheme="minorHAnsi"/>
          <w:color w:val="000000"/>
        </w:rPr>
        <w:t xml:space="preserve"> </w:t>
      </w:r>
      <w:r w:rsidRPr="00C02130">
        <w:rPr>
          <w:rFonts w:cstheme="minorHAnsi"/>
          <w:color w:val="000000"/>
        </w:rPr>
        <w:t>maternità e della genitorialità: in questa prospettiva, è intenzione dell’Amministrazione regionale</w:t>
      </w:r>
      <w:r>
        <w:rPr>
          <w:rFonts w:cstheme="minorHAnsi"/>
          <w:color w:val="000000"/>
        </w:rPr>
        <w:t xml:space="preserve"> </w:t>
      </w:r>
      <w:r w:rsidRPr="00C02130">
        <w:rPr>
          <w:rFonts w:cstheme="minorHAnsi"/>
          <w:color w:val="000000"/>
        </w:rPr>
        <w:t>consolidare adeguate strategie di rafforzamento del Call center in raccordo con i servizi sociali e</w:t>
      </w:r>
      <w:r>
        <w:rPr>
          <w:rFonts w:cstheme="minorHAnsi"/>
          <w:color w:val="000000"/>
        </w:rPr>
        <w:t xml:space="preserve"> </w:t>
      </w:r>
      <w:r w:rsidRPr="00C02130">
        <w:rPr>
          <w:rFonts w:cstheme="minorHAnsi"/>
          <w:color w:val="000000"/>
        </w:rPr>
        <w:t>sanitari competenti (ambito della tutela materno infantile) per ampliare l’offerta attualmente resa dal</w:t>
      </w:r>
      <w:r>
        <w:rPr>
          <w:rFonts w:cstheme="minorHAnsi"/>
          <w:color w:val="000000"/>
        </w:rPr>
        <w:t xml:space="preserve"> </w:t>
      </w:r>
      <w:r w:rsidRPr="00C02130">
        <w:rPr>
          <w:rFonts w:cstheme="minorHAnsi"/>
          <w:color w:val="000000"/>
        </w:rPr>
        <w:t>call center a favore di tutte le neomamme del territorio regionale, con modalità da individuare di</w:t>
      </w:r>
      <w:r>
        <w:rPr>
          <w:rFonts w:cstheme="minorHAnsi"/>
          <w:color w:val="000000"/>
        </w:rPr>
        <w:t xml:space="preserve"> </w:t>
      </w:r>
      <w:r w:rsidRPr="00C02130">
        <w:rPr>
          <w:rFonts w:cstheme="minorHAnsi"/>
          <w:color w:val="000000"/>
        </w:rPr>
        <w:t>concerto con gli enti gestori ed i punti nascita ospedalieri.</w:t>
      </w:r>
    </w:p>
    <w:p w:rsidR="00D37CE7" w:rsidRPr="00C02130" w:rsidRDefault="00D37CE7" w:rsidP="00D37CE7">
      <w:pPr>
        <w:autoSpaceDE w:val="0"/>
        <w:autoSpaceDN w:val="0"/>
        <w:adjustRightInd w:val="0"/>
        <w:spacing w:after="0" w:line="20" w:lineRule="atLeast"/>
        <w:jc w:val="both"/>
        <w:rPr>
          <w:rFonts w:cstheme="minorHAnsi"/>
          <w:color w:val="000000"/>
        </w:rPr>
      </w:pPr>
      <w:r>
        <w:rPr>
          <w:rFonts w:cstheme="minorHAnsi"/>
          <w:color w:val="000000"/>
        </w:rPr>
        <w:t>C</w:t>
      </w:r>
      <w:r w:rsidRPr="00C02130">
        <w:rPr>
          <w:rFonts w:cstheme="minorHAnsi"/>
          <w:color w:val="000000"/>
        </w:rPr>
        <w:t>on DGR n. 16-6646 del 23.03.2018 è stata approvata la “Strategia per lo sviluppo di comunità</w:t>
      </w:r>
      <w:r>
        <w:rPr>
          <w:rFonts w:cstheme="minorHAnsi"/>
          <w:color w:val="000000"/>
        </w:rPr>
        <w:t xml:space="preserve"> </w:t>
      </w:r>
      <w:r w:rsidRPr="00C02130">
        <w:rPr>
          <w:rFonts w:cstheme="minorHAnsi"/>
          <w:color w:val="000000"/>
        </w:rPr>
        <w:t>solidali” con la quale si prevede espressamente la valorizzazione ed il potenziamento delle attività</w:t>
      </w:r>
      <w:r>
        <w:rPr>
          <w:rFonts w:cstheme="minorHAnsi"/>
          <w:color w:val="000000"/>
        </w:rPr>
        <w:t xml:space="preserve"> </w:t>
      </w:r>
      <w:r w:rsidRPr="00C02130">
        <w:rPr>
          <w:rFonts w:cstheme="minorHAnsi"/>
          <w:color w:val="000000"/>
        </w:rPr>
        <w:t>rese dai Centri per le famiglie quale servizio di promozione e sostegno delle responsabilità familiari</w:t>
      </w:r>
      <w:r>
        <w:rPr>
          <w:rFonts w:cstheme="minorHAnsi"/>
          <w:color w:val="000000"/>
        </w:rPr>
        <w:t xml:space="preserve"> </w:t>
      </w:r>
      <w:r w:rsidRPr="00C02130">
        <w:rPr>
          <w:rFonts w:cstheme="minorHAnsi"/>
          <w:color w:val="000000"/>
        </w:rPr>
        <w:t>e di prevenzione del disagio minorile</w:t>
      </w:r>
      <w:r>
        <w:rPr>
          <w:rFonts w:cstheme="minorHAnsi"/>
          <w:color w:val="000000"/>
        </w:rPr>
        <w:t>.</w:t>
      </w:r>
    </w:p>
    <w:p w:rsidR="00D37CE7" w:rsidRDefault="00D37CE7" w:rsidP="00D37CE7">
      <w:pPr>
        <w:autoSpaceDE w:val="0"/>
        <w:autoSpaceDN w:val="0"/>
        <w:adjustRightInd w:val="0"/>
        <w:spacing w:after="0" w:line="20" w:lineRule="atLeast"/>
        <w:jc w:val="both"/>
        <w:rPr>
          <w:rFonts w:cstheme="minorHAnsi"/>
          <w:color w:val="000000"/>
        </w:rPr>
      </w:pPr>
      <w:r>
        <w:rPr>
          <w:rFonts w:cstheme="minorHAnsi"/>
          <w:color w:val="000000"/>
        </w:rPr>
        <w:t>C</w:t>
      </w:r>
      <w:r w:rsidRPr="00C02130">
        <w:rPr>
          <w:rFonts w:cstheme="minorHAnsi"/>
          <w:color w:val="000000"/>
        </w:rPr>
        <w:t>on DGR n. 49-8103 del 14 dicembre 2018, è stata approvata la scheda attuativa in materia di</w:t>
      </w:r>
      <w:r>
        <w:rPr>
          <w:rFonts w:cstheme="minorHAnsi"/>
          <w:color w:val="000000"/>
        </w:rPr>
        <w:t xml:space="preserve"> </w:t>
      </w:r>
      <w:r w:rsidRPr="00C02130">
        <w:rPr>
          <w:rFonts w:cstheme="minorHAnsi"/>
          <w:color w:val="000000"/>
        </w:rPr>
        <w:t>politiche per la famiglia, per l’anno 2018, in attuazione dell’Intesa n. 110/CU del 31 ottobre 2018,</w:t>
      </w:r>
      <w:r>
        <w:rPr>
          <w:rFonts w:cstheme="minorHAnsi"/>
          <w:color w:val="000000"/>
        </w:rPr>
        <w:t xml:space="preserve"> </w:t>
      </w:r>
      <w:r w:rsidRPr="00C02130">
        <w:rPr>
          <w:rFonts w:cstheme="minorHAnsi"/>
          <w:color w:val="000000"/>
        </w:rPr>
        <w:t>per una spesa totale di euro 397.875,31 (di cui euro 317.875,31 di finanziamento statale ed euro</w:t>
      </w:r>
      <w:r>
        <w:rPr>
          <w:rFonts w:cstheme="minorHAnsi"/>
          <w:color w:val="000000"/>
        </w:rPr>
        <w:t xml:space="preserve"> </w:t>
      </w:r>
      <w:r w:rsidRPr="00C02130">
        <w:rPr>
          <w:rFonts w:cstheme="minorHAnsi"/>
          <w:color w:val="000000"/>
        </w:rPr>
        <w:t>80.000,00 di finanziamento regionale) inerente il sostegno ed il potenziamento delle attività dei</w:t>
      </w:r>
      <w:r>
        <w:rPr>
          <w:rFonts w:cstheme="minorHAnsi"/>
          <w:color w:val="000000"/>
        </w:rPr>
        <w:t xml:space="preserve"> </w:t>
      </w:r>
      <w:r w:rsidRPr="00C02130">
        <w:rPr>
          <w:rFonts w:cstheme="minorHAnsi"/>
          <w:color w:val="000000"/>
        </w:rPr>
        <w:t>Centri per le Famiglie finalizzati al sostegno alle responsabilità genitoriali, in adempimento a</w:t>
      </w:r>
      <w:r>
        <w:rPr>
          <w:rFonts w:cstheme="minorHAnsi"/>
          <w:color w:val="000000"/>
        </w:rPr>
        <w:t xml:space="preserve"> </w:t>
      </w:r>
      <w:r w:rsidRPr="00C02130">
        <w:rPr>
          <w:rFonts w:cstheme="minorHAnsi"/>
          <w:color w:val="000000"/>
        </w:rPr>
        <w:t>quanto previsto dalla LR 1/2004.</w:t>
      </w:r>
    </w:p>
    <w:p w:rsidR="00D37CE7" w:rsidRPr="00A97A19" w:rsidRDefault="00D37CE7" w:rsidP="00D37CE7">
      <w:pPr>
        <w:autoSpaceDE w:val="0"/>
        <w:autoSpaceDN w:val="0"/>
        <w:adjustRightInd w:val="0"/>
        <w:spacing w:after="0" w:line="20" w:lineRule="atLeast"/>
        <w:jc w:val="both"/>
        <w:rPr>
          <w:rFonts w:cstheme="minorHAnsi"/>
          <w:b/>
          <w:color w:val="000000"/>
        </w:rPr>
      </w:pPr>
      <w:r w:rsidRPr="00A97A19">
        <w:rPr>
          <w:rFonts w:cstheme="minorHAnsi"/>
          <w:b/>
          <w:color w:val="000000"/>
        </w:rPr>
        <w:t xml:space="preserve">LA DISPOSIZIONE </w:t>
      </w:r>
    </w:p>
    <w:p w:rsidR="00D37CE7" w:rsidRPr="00C02130" w:rsidRDefault="00D37CE7" w:rsidP="00D37CE7">
      <w:pPr>
        <w:autoSpaceDE w:val="0"/>
        <w:autoSpaceDN w:val="0"/>
        <w:adjustRightInd w:val="0"/>
        <w:spacing w:after="0" w:line="20" w:lineRule="atLeast"/>
        <w:jc w:val="both"/>
        <w:rPr>
          <w:rFonts w:cstheme="minorHAnsi"/>
          <w:color w:val="000000"/>
        </w:rPr>
      </w:pPr>
      <w:r>
        <w:rPr>
          <w:rFonts w:cstheme="minorHAnsi"/>
          <w:color w:val="000000"/>
        </w:rPr>
        <w:t xml:space="preserve">Viene </w:t>
      </w:r>
      <w:r w:rsidRPr="00C02130">
        <w:rPr>
          <w:rFonts w:cstheme="minorHAnsi"/>
          <w:color w:val="000000"/>
        </w:rPr>
        <w:t xml:space="preserve"> da</w:t>
      </w:r>
      <w:r>
        <w:rPr>
          <w:rFonts w:cstheme="minorHAnsi"/>
          <w:color w:val="000000"/>
        </w:rPr>
        <w:t xml:space="preserve">ta </w:t>
      </w:r>
      <w:r w:rsidRPr="00C02130">
        <w:rPr>
          <w:rFonts w:cstheme="minorHAnsi"/>
          <w:color w:val="000000"/>
        </w:rPr>
        <w:t xml:space="preserve"> attuazione alla suddetta Intesa CU n. 30 del 17 aprile 2019, attraverso la promozione,</w:t>
      </w:r>
      <w:r>
        <w:rPr>
          <w:rFonts w:cstheme="minorHAnsi"/>
          <w:color w:val="000000"/>
        </w:rPr>
        <w:t xml:space="preserve"> </w:t>
      </w:r>
      <w:r w:rsidRPr="00C02130">
        <w:rPr>
          <w:rFonts w:cstheme="minorHAnsi"/>
          <w:color w:val="000000"/>
        </w:rPr>
        <w:t>sviluppo e realizzazione delle iniziative descritte, afferenti al potenziamento delle</w:t>
      </w:r>
      <w:r>
        <w:rPr>
          <w:rFonts w:cstheme="minorHAnsi"/>
          <w:color w:val="000000"/>
        </w:rPr>
        <w:t xml:space="preserve"> </w:t>
      </w:r>
      <w:r w:rsidRPr="00C02130">
        <w:rPr>
          <w:rFonts w:cstheme="minorHAnsi"/>
          <w:color w:val="000000"/>
        </w:rPr>
        <w:t>attività e degli interventi dei Centri per le Famiglie, specificamente finalizzate al sostegno ed</w:t>
      </w:r>
      <w:r>
        <w:rPr>
          <w:rFonts w:cstheme="minorHAnsi"/>
          <w:color w:val="000000"/>
        </w:rPr>
        <w:t xml:space="preserve"> </w:t>
      </w:r>
      <w:r w:rsidRPr="00C02130">
        <w:rPr>
          <w:rFonts w:cstheme="minorHAnsi"/>
          <w:color w:val="000000"/>
        </w:rPr>
        <w:t>accompagnamento alla genitorialità, al sostegno alle famiglie adottive di minori di età superiore a</w:t>
      </w:r>
      <w:r>
        <w:rPr>
          <w:rFonts w:cstheme="minorHAnsi"/>
          <w:color w:val="000000"/>
        </w:rPr>
        <w:t xml:space="preserve"> </w:t>
      </w:r>
      <w:r w:rsidRPr="00C02130">
        <w:rPr>
          <w:rFonts w:cstheme="minorHAnsi"/>
          <w:color w:val="000000"/>
        </w:rPr>
        <w:t>12 anni e/o con handicap accertato e di sostegno al progetto di Call Center ed accoglienza in</w:t>
      </w:r>
      <w:r>
        <w:rPr>
          <w:rFonts w:cstheme="minorHAnsi"/>
          <w:color w:val="000000"/>
        </w:rPr>
        <w:t xml:space="preserve"> </w:t>
      </w:r>
      <w:r w:rsidRPr="00C02130">
        <w:rPr>
          <w:rFonts w:cstheme="minorHAnsi"/>
          <w:color w:val="000000"/>
        </w:rPr>
        <w:t>emergenza di gestanti, madri sole con bambino approvando la scheda progetto “Azioni ed</w:t>
      </w:r>
      <w:r>
        <w:rPr>
          <w:rFonts w:cstheme="minorHAnsi"/>
          <w:color w:val="000000"/>
        </w:rPr>
        <w:t xml:space="preserve"> </w:t>
      </w:r>
      <w:r w:rsidRPr="00C02130">
        <w:rPr>
          <w:rFonts w:cstheme="minorHAnsi"/>
          <w:color w:val="000000"/>
        </w:rPr>
        <w:t>interventi volti al supporto delle attività di sostegno alla maternità, genitorialità e cura dei legami”</w:t>
      </w:r>
      <w:r>
        <w:rPr>
          <w:rFonts w:cstheme="minorHAnsi"/>
          <w:color w:val="000000"/>
        </w:rPr>
        <w:t xml:space="preserve"> </w:t>
      </w:r>
      <w:r w:rsidRPr="00C02130">
        <w:rPr>
          <w:rFonts w:cstheme="minorHAnsi"/>
          <w:color w:val="000000"/>
        </w:rPr>
        <w:t>di cui all’allegato 1 della presente deliberazione, per farne parte integrante e sostanziale;</w:t>
      </w:r>
    </w:p>
    <w:p w:rsidR="00D37CE7" w:rsidRDefault="00D37CE7" w:rsidP="00D37CE7">
      <w:pPr>
        <w:autoSpaceDE w:val="0"/>
        <w:autoSpaceDN w:val="0"/>
        <w:adjustRightInd w:val="0"/>
        <w:spacing w:after="0" w:line="20" w:lineRule="atLeast"/>
        <w:jc w:val="both"/>
        <w:rPr>
          <w:rFonts w:cstheme="minorHAnsi"/>
          <w:color w:val="000000"/>
        </w:rPr>
      </w:pPr>
      <w:r>
        <w:rPr>
          <w:rFonts w:cstheme="minorHAnsi"/>
          <w:color w:val="000000"/>
        </w:rPr>
        <w:t>I</w:t>
      </w:r>
      <w:r w:rsidRPr="00C02130">
        <w:rPr>
          <w:rFonts w:cstheme="minorHAnsi"/>
          <w:color w:val="000000"/>
        </w:rPr>
        <w:t xml:space="preserve">l costo per l’attuazione del suddetto progetto, è pari a € 1.292.400,00 </w:t>
      </w:r>
    </w:p>
    <w:p w:rsidR="00D37CE7" w:rsidRPr="00C02130" w:rsidRDefault="00D37CE7" w:rsidP="00D37CE7">
      <w:pPr>
        <w:autoSpaceDE w:val="0"/>
        <w:autoSpaceDN w:val="0"/>
        <w:adjustRightInd w:val="0"/>
        <w:spacing w:after="0" w:line="20" w:lineRule="atLeast"/>
        <w:jc w:val="both"/>
        <w:rPr>
          <w:rFonts w:cstheme="minorHAnsi"/>
          <w:i/>
          <w:iCs/>
          <w:color w:val="000000"/>
        </w:rPr>
      </w:pPr>
      <w:proofErr w:type="gramStart"/>
      <w:r>
        <w:rPr>
          <w:rFonts w:cstheme="minorHAnsi"/>
          <w:color w:val="000000"/>
        </w:rPr>
        <w:t xml:space="preserve">Viene </w:t>
      </w:r>
      <w:r w:rsidRPr="00C02130">
        <w:rPr>
          <w:rFonts w:cstheme="minorHAnsi"/>
          <w:color w:val="000000"/>
        </w:rPr>
        <w:t xml:space="preserve"> approva</w:t>
      </w:r>
      <w:r>
        <w:rPr>
          <w:rFonts w:cstheme="minorHAnsi"/>
          <w:color w:val="000000"/>
        </w:rPr>
        <w:t>ta</w:t>
      </w:r>
      <w:proofErr w:type="gramEnd"/>
      <w:r>
        <w:rPr>
          <w:rFonts w:cstheme="minorHAnsi"/>
          <w:color w:val="000000"/>
        </w:rPr>
        <w:t xml:space="preserve"> </w:t>
      </w:r>
      <w:r w:rsidRPr="00C02130">
        <w:rPr>
          <w:rFonts w:cstheme="minorHAnsi"/>
          <w:color w:val="000000"/>
        </w:rPr>
        <w:t>la scheda relativa alla realizzazione di</w:t>
      </w:r>
      <w:r>
        <w:rPr>
          <w:rFonts w:cstheme="minorHAnsi"/>
          <w:color w:val="000000"/>
        </w:rPr>
        <w:t xml:space="preserve"> </w:t>
      </w:r>
      <w:r w:rsidRPr="00C02130">
        <w:rPr>
          <w:rFonts w:cstheme="minorHAnsi"/>
          <w:i/>
          <w:iCs/>
          <w:color w:val="000000"/>
        </w:rPr>
        <w:t>“Azioni ed interventi volti al supporto delle attività di sostegno alla maternità, genitorialità e cura</w:t>
      </w:r>
      <w:r>
        <w:rPr>
          <w:rFonts w:cstheme="minorHAnsi"/>
          <w:i/>
          <w:iCs/>
          <w:color w:val="000000"/>
        </w:rPr>
        <w:t xml:space="preserve"> </w:t>
      </w:r>
      <w:r w:rsidRPr="00C02130">
        <w:rPr>
          <w:rFonts w:cstheme="minorHAnsi"/>
          <w:i/>
          <w:iCs/>
          <w:color w:val="000000"/>
        </w:rPr>
        <w:t>dei legami”;</w:t>
      </w:r>
    </w:p>
    <w:p w:rsidR="00D37CE7" w:rsidRPr="00C02130" w:rsidRDefault="00D37CE7" w:rsidP="00D37CE7">
      <w:pPr>
        <w:autoSpaceDE w:val="0"/>
        <w:autoSpaceDN w:val="0"/>
        <w:adjustRightInd w:val="0"/>
        <w:spacing w:after="0" w:line="20" w:lineRule="atLeast"/>
        <w:jc w:val="both"/>
        <w:rPr>
          <w:rFonts w:cstheme="minorHAnsi"/>
          <w:color w:val="000000"/>
        </w:rPr>
      </w:pPr>
      <w:r w:rsidRPr="00C02130">
        <w:rPr>
          <w:rFonts w:cstheme="minorHAnsi"/>
          <w:color w:val="000000"/>
        </w:rPr>
        <w:t>ALLEGATO 1</w:t>
      </w:r>
    </w:p>
    <w:p w:rsidR="00D37CE7" w:rsidRPr="00C02130" w:rsidRDefault="00D37CE7" w:rsidP="00D37CE7">
      <w:pPr>
        <w:autoSpaceDE w:val="0"/>
        <w:autoSpaceDN w:val="0"/>
        <w:adjustRightInd w:val="0"/>
        <w:spacing w:after="0" w:line="20" w:lineRule="atLeast"/>
        <w:jc w:val="both"/>
        <w:rPr>
          <w:rFonts w:cstheme="minorHAnsi"/>
          <w:b/>
          <w:bCs/>
          <w:color w:val="000000"/>
        </w:rPr>
      </w:pPr>
      <w:r w:rsidRPr="00C02130">
        <w:rPr>
          <w:rFonts w:cstheme="minorHAnsi"/>
          <w:b/>
          <w:bCs/>
          <w:color w:val="000000"/>
        </w:rPr>
        <w:t>SCHEDA PROGETTO</w:t>
      </w:r>
    </w:p>
    <w:p w:rsidR="00D37CE7" w:rsidRPr="00C02130" w:rsidRDefault="00D37CE7" w:rsidP="00D37CE7">
      <w:pPr>
        <w:autoSpaceDE w:val="0"/>
        <w:autoSpaceDN w:val="0"/>
        <w:adjustRightInd w:val="0"/>
        <w:spacing w:after="0" w:line="20" w:lineRule="atLeast"/>
        <w:jc w:val="both"/>
        <w:rPr>
          <w:rFonts w:cstheme="minorHAnsi"/>
          <w:b/>
          <w:bCs/>
          <w:i/>
          <w:iCs/>
          <w:color w:val="000000"/>
        </w:rPr>
      </w:pPr>
      <w:r w:rsidRPr="00C02130">
        <w:rPr>
          <w:rFonts w:cstheme="minorHAnsi"/>
          <w:b/>
          <w:bCs/>
          <w:i/>
          <w:iCs/>
          <w:color w:val="000000"/>
        </w:rPr>
        <w:t>Azioni ed interventi volti al supporto delle attività di sostegno alla genitorialità e cura dei legami</w:t>
      </w:r>
    </w:p>
    <w:p w:rsidR="00D37CE7" w:rsidRPr="00C02130" w:rsidRDefault="00D37CE7" w:rsidP="00D37CE7">
      <w:pPr>
        <w:autoSpaceDE w:val="0"/>
        <w:autoSpaceDN w:val="0"/>
        <w:adjustRightInd w:val="0"/>
        <w:spacing w:after="0" w:line="20" w:lineRule="atLeast"/>
        <w:jc w:val="both"/>
        <w:rPr>
          <w:rFonts w:cstheme="minorHAnsi"/>
          <w:b/>
          <w:bCs/>
          <w:color w:val="000000"/>
        </w:rPr>
      </w:pPr>
      <w:r w:rsidRPr="00C02130">
        <w:rPr>
          <w:rFonts w:cstheme="minorHAnsi"/>
          <w:b/>
          <w:bCs/>
          <w:color w:val="000000"/>
        </w:rPr>
        <w:t>AZIONI PREVISTE</w:t>
      </w:r>
    </w:p>
    <w:p w:rsidR="00D37CE7" w:rsidRPr="00C02130" w:rsidRDefault="00D37CE7" w:rsidP="00D37CE7">
      <w:pPr>
        <w:autoSpaceDE w:val="0"/>
        <w:autoSpaceDN w:val="0"/>
        <w:adjustRightInd w:val="0"/>
        <w:spacing w:after="0" w:line="20" w:lineRule="atLeast"/>
        <w:jc w:val="both"/>
        <w:rPr>
          <w:rFonts w:cstheme="minorHAnsi"/>
          <w:color w:val="000000"/>
        </w:rPr>
      </w:pPr>
      <w:r w:rsidRPr="00C02130">
        <w:rPr>
          <w:rFonts w:cstheme="minorHAnsi"/>
          <w:color w:val="000000"/>
        </w:rPr>
        <w:t>L’ascolto e l’accompagnamento delle famiglie (non solo quelle in</w:t>
      </w:r>
      <w:r>
        <w:rPr>
          <w:rFonts w:cstheme="minorHAnsi"/>
          <w:color w:val="000000"/>
        </w:rPr>
        <w:t xml:space="preserve"> </w:t>
      </w:r>
      <w:r w:rsidRPr="00C02130">
        <w:rPr>
          <w:rFonts w:cstheme="minorHAnsi"/>
          <w:color w:val="000000"/>
        </w:rPr>
        <w:t>situazione di fragilità) nell’ottica del sostegno all’esercizio della</w:t>
      </w:r>
      <w:r>
        <w:rPr>
          <w:rFonts w:cstheme="minorHAnsi"/>
          <w:color w:val="000000"/>
        </w:rPr>
        <w:t xml:space="preserve"> </w:t>
      </w:r>
      <w:r w:rsidRPr="00C02130">
        <w:rPr>
          <w:rFonts w:cstheme="minorHAnsi"/>
          <w:color w:val="000000"/>
        </w:rPr>
        <w:t>genitorialità e della prevenzione al disagio minorile, costituisce da</w:t>
      </w:r>
      <w:r>
        <w:rPr>
          <w:rFonts w:cstheme="minorHAnsi"/>
          <w:color w:val="000000"/>
        </w:rPr>
        <w:t xml:space="preserve"> </w:t>
      </w:r>
      <w:r w:rsidRPr="00C02130">
        <w:rPr>
          <w:rFonts w:cstheme="minorHAnsi"/>
          <w:color w:val="000000"/>
        </w:rPr>
        <w:t xml:space="preserve">sempre uno dei capisaldi su cui è impostata la </w:t>
      </w:r>
      <w:r w:rsidRPr="00C02130">
        <w:rPr>
          <w:rFonts w:cstheme="minorHAnsi"/>
          <w:b/>
          <w:bCs/>
          <w:color w:val="000000"/>
        </w:rPr>
        <w:t>Legge regionale</w:t>
      </w:r>
      <w:r>
        <w:rPr>
          <w:rFonts w:cstheme="minorHAnsi"/>
          <w:b/>
          <w:bCs/>
          <w:color w:val="000000"/>
        </w:rPr>
        <w:t xml:space="preserve"> </w:t>
      </w:r>
      <w:r w:rsidRPr="00C02130">
        <w:rPr>
          <w:rFonts w:cstheme="minorHAnsi"/>
          <w:b/>
          <w:bCs/>
          <w:color w:val="000000"/>
        </w:rPr>
        <w:t xml:space="preserve">1/2004 </w:t>
      </w:r>
      <w:r w:rsidRPr="00C02130">
        <w:rPr>
          <w:rFonts w:cstheme="minorHAnsi"/>
          <w:color w:val="000000"/>
        </w:rPr>
        <w:t>(applicativa della legge quadro nazionale 328/2000) con</w:t>
      </w:r>
      <w:r>
        <w:rPr>
          <w:rFonts w:cstheme="minorHAnsi"/>
          <w:color w:val="000000"/>
        </w:rPr>
        <w:t xml:space="preserve"> </w:t>
      </w:r>
      <w:r w:rsidRPr="00C02130">
        <w:rPr>
          <w:rFonts w:cstheme="minorHAnsi"/>
          <w:color w:val="000000"/>
        </w:rPr>
        <w:t>particolare riferimento alla parte II della legge “politiche di promozione</w:t>
      </w:r>
      <w:r>
        <w:rPr>
          <w:rFonts w:cstheme="minorHAnsi"/>
          <w:color w:val="000000"/>
        </w:rPr>
        <w:t xml:space="preserve"> </w:t>
      </w:r>
      <w:r w:rsidRPr="00C02130">
        <w:rPr>
          <w:rFonts w:cstheme="minorHAnsi"/>
          <w:color w:val="000000"/>
        </w:rPr>
        <w:t>regionale”, capo I Politiche per le famiglie nel quale, viene più volte</w:t>
      </w:r>
      <w:r>
        <w:rPr>
          <w:rFonts w:cstheme="minorHAnsi"/>
          <w:color w:val="000000"/>
        </w:rPr>
        <w:t xml:space="preserve"> </w:t>
      </w:r>
      <w:r w:rsidRPr="00C02130">
        <w:rPr>
          <w:rFonts w:cstheme="minorHAnsi"/>
          <w:color w:val="000000"/>
        </w:rPr>
        <w:t>richiamato l’impegno della Regione, nel riconoscere e sostenere la</w:t>
      </w:r>
      <w:r>
        <w:rPr>
          <w:rFonts w:cstheme="minorHAnsi"/>
          <w:color w:val="000000"/>
        </w:rPr>
        <w:t xml:space="preserve"> </w:t>
      </w:r>
      <w:r w:rsidRPr="00C02130">
        <w:rPr>
          <w:rFonts w:cstheme="minorHAnsi"/>
          <w:color w:val="000000"/>
        </w:rPr>
        <w:t>famiglia quale soggetto fondamentale per la formazione e la cura delle</w:t>
      </w:r>
      <w:r>
        <w:rPr>
          <w:rFonts w:cstheme="minorHAnsi"/>
          <w:color w:val="000000"/>
        </w:rPr>
        <w:t xml:space="preserve"> </w:t>
      </w:r>
      <w:r w:rsidRPr="00C02130">
        <w:rPr>
          <w:rFonts w:cstheme="minorHAnsi"/>
          <w:color w:val="000000"/>
        </w:rPr>
        <w:t>persone e quale ambito di riferimento unitario per ogni intervento,</w:t>
      </w:r>
      <w:r>
        <w:rPr>
          <w:rFonts w:cstheme="minorHAnsi"/>
          <w:color w:val="000000"/>
        </w:rPr>
        <w:t xml:space="preserve"> </w:t>
      </w:r>
      <w:r w:rsidRPr="00C02130">
        <w:rPr>
          <w:rFonts w:cstheme="minorHAnsi"/>
          <w:color w:val="000000"/>
        </w:rPr>
        <w:t>sostenendo la programmazione della rete integrata dei servizi sul</w:t>
      </w:r>
      <w:r>
        <w:rPr>
          <w:rFonts w:cstheme="minorHAnsi"/>
          <w:color w:val="000000"/>
        </w:rPr>
        <w:t xml:space="preserve"> </w:t>
      </w:r>
      <w:r w:rsidRPr="00C02130">
        <w:rPr>
          <w:rFonts w:cstheme="minorHAnsi"/>
          <w:color w:val="000000"/>
        </w:rPr>
        <w:t>proprio territorio e valorizzando le risorse di solidarietà della famiglia,</w:t>
      </w:r>
      <w:r>
        <w:rPr>
          <w:rFonts w:cstheme="minorHAnsi"/>
          <w:color w:val="000000"/>
        </w:rPr>
        <w:t xml:space="preserve"> </w:t>
      </w:r>
      <w:r w:rsidRPr="00C02130">
        <w:rPr>
          <w:rFonts w:cstheme="minorHAnsi"/>
          <w:color w:val="000000"/>
        </w:rPr>
        <w:t>della rete parentale e delle solidarietà sociali.</w:t>
      </w:r>
    </w:p>
    <w:p w:rsidR="00D37CE7" w:rsidRPr="00C02130" w:rsidRDefault="00D37CE7" w:rsidP="00D37CE7">
      <w:pPr>
        <w:autoSpaceDE w:val="0"/>
        <w:autoSpaceDN w:val="0"/>
        <w:adjustRightInd w:val="0"/>
        <w:spacing w:after="0" w:line="20" w:lineRule="atLeast"/>
        <w:jc w:val="both"/>
        <w:rPr>
          <w:rFonts w:cstheme="minorHAnsi"/>
          <w:color w:val="000000"/>
        </w:rPr>
      </w:pPr>
      <w:r w:rsidRPr="00C02130">
        <w:rPr>
          <w:rFonts w:cstheme="minorHAnsi"/>
          <w:color w:val="000000"/>
        </w:rPr>
        <w:t>Tale quadro normativo regionale trova il suo principale riferimento</w:t>
      </w:r>
      <w:r>
        <w:rPr>
          <w:rFonts w:cstheme="minorHAnsi"/>
          <w:color w:val="000000"/>
        </w:rPr>
        <w:t xml:space="preserve"> </w:t>
      </w:r>
      <w:r w:rsidRPr="00C02130">
        <w:rPr>
          <w:rFonts w:cstheme="minorHAnsi"/>
          <w:color w:val="000000"/>
        </w:rPr>
        <w:t>all’art. 42 che prevede espressamente l’istituzione di Centri per le</w:t>
      </w:r>
      <w:r>
        <w:rPr>
          <w:rFonts w:cstheme="minorHAnsi"/>
          <w:color w:val="000000"/>
        </w:rPr>
        <w:t xml:space="preserve"> </w:t>
      </w:r>
      <w:r w:rsidRPr="00C02130">
        <w:rPr>
          <w:rFonts w:cstheme="minorHAnsi"/>
          <w:color w:val="000000"/>
        </w:rPr>
        <w:t>famiglie, finalizzati a “</w:t>
      </w:r>
      <w:r w:rsidRPr="00C02130">
        <w:rPr>
          <w:rFonts w:cstheme="minorHAnsi"/>
          <w:i/>
          <w:iCs/>
          <w:color w:val="000000"/>
        </w:rPr>
        <w:t>sostenere gli impegni e le reciproche</w:t>
      </w:r>
      <w:r>
        <w:rPr>
          <w:rFonts w:cstheme="minorHAnsi"/>
          <w:i/>
          <w:iCs/>
          <w:color w:val="000000"/>
        </w:rPr>
        <w:t xml:space="preserve"> </w:t>
      </w:r>
      <w:r w:rsidRPr="00C02130">
        <w:rPr>
          <w:rFonts w:cstheme="minorHAnsi"/>
          <w:i/>
          <w:iCs/>
          <w:color w:val="000000"/>
        </w:rPr>
        <w:t>responsabilità dei componenti della famiglia</w:t>
      </w:r>
      <w:r w:rsidRPr="00C02130">
        <w:rPr>
          <w:rFonts w:cstheme="minorHAnsi"/>
          <w:color w:val="000000"/>
        </w:rPr>
        <w:t>”. I Centri, radicati e diffusi</w:t>
      </w:r>
      <w:r>
        <w:rPr>
          <w:rFonts w:cstheme="minorHAnsi"/>
          <w:color w:val="000000"/>
        </w:rPr>
        <w:t xml:space="preserve"> </w:t>
      </w:r>
      <w:r w:rsidRPr="00C02130">
        <w:rPr>
          <w:rFonts w:cstheme="minorHAnsi"/>
          <w:color w:val="000000"/>
        </w:rPr>
        <w:t>sul territorio regionale da molti anni, operano in stretto raccordo con i</w:t>
      </w:r>
      <w:r>
        <w:rPr>
          <w:rFonts w:cstheme="minorHAnsi"/>
          <w:color w:val="000000"/>
        </w:rPr>
        <w:t xml:space="preserve"> </w:t>
      </w:r>
      <w:r w:rsidRPr="00C02130">
        <w:rPr>
          <w:rFonts w:cstheme="minorHAnsi"/>
          <w:color w:val="000000"/>
        </w:rPr>
        <w:t>consultori familiari del Dipartimento materno- infantile dell’ASL di</w:t>
      </w:r>
      <w:r>
        <w:rPr>
          <w:rFonts w:cstheme="minorHAnsi"/>
          <w:color w:val="000000"/>
        </w:rPr>
        <w:t xml:space="preserve"> </w:t>
      </w:r>
      <w:r w:rsidRPr="00C02130">
        <w:rPr>
          <w:rFonts w:cstheme="minorHAnsi"/>
          <w:color w:val="000000"/>
        </w:rPr>
        <w:t>competenza, attraverso l’offerta di un repertorio di interventi</w:t>
      </w:r>
      <w:r>
        <w:rPr>
          <w:rFonts w:cstheme="minorHAnsi"/>
          <w:color w:val="000000"/>
        </w:rPr>
        <w:t xml:space="preserve"> </w:t>
      </w:r>
      <w:r w:rsidRPr="00C02130">
        <w:rPr>
          <w:rFonts w:cstheme="minorHAnsi"/>
          <w:color w:val="000000"/>
        </w:rPr>
        <w:t>riconducibili alle aree della promozione della salute e dello stato di</w:t>
      </w:r>
      <w:r>
        <w:rPr>
          <w:rFonts w:cstheme="minorHAnsi"/>
          <w:color w:val="000000"/>
        </w:rPr>
        <w:t xml:space="preserve"> </w:t>
      </w:r>
      <w:r w:rsidRPr="00C02130">
        <w:rPr>
          <w:rFonts w:cstheme="minorHAnsi"/>
          <w:color w:val="000000"/>
        </w:rPr>
        <w:t>benessere delle famiglie, nonché della promozione e prevenzione</w:t>
      </w:r>
      <w:r>
        <w:rPr>
          <w:rFonts w:cstheme="minorHAnsi"/>
          <w:color w:val="000000"/>
        </w:rPr>
        <w:t xml:space="preserve"> </w:t>
      </w:r>
      <w:r w:rsidRPr="00C02130">
        <w:rPr>
          <w:rFonts w:cstheme="minorHAnsi"/>
          <w:color w:val="000000"/>
        </w:rPr>
        <w:t>primaria e interventi di prevenzione secondaria.</w:t>
      </w:r>
    </w:p>
    <w:p w:rsidR="00D37CE7" w:rsidRPr="00C02130" w:rsidRDefault="00D37CE7" w:rsidP="00D37CE7">
      <w:pPr>
        <w:autoSpaceDE w:val="0"/>
        <w:autoSpaceDN w:val="0"/>
        <w:adjustRightInd w:val="0"/>
        <w:spacing w:after="0" w:line="20" w:lineRule="atLeast"/>
        <w:jc w:val="both"/>
        <w:rPr>
          <w:rFonts w:cstheme="minorHAnsi"/>
          <w:color w:val="000000"/>
        </w:rPr>
      </w:pPr>
      <w:r w:rsidRPr="00C02130">
        <w:rPr>
          <w:rFonts w:cstheme="minorHAnsi"/>
          <w:color w:val="000000"/>
        </w:rPr>
        <w:t>Infatti, nell’ambito degli interventi di sostegno alla genitorialità, le azioni</w:t>
      </w:r>
      <w:r>
        <w:rPr>
          <w:rFonts w:cstheme="minorHAnsi"/>
          <w:color w:val="000000"/>
        </w:rPr>
        <w:t xml:space="preserve"> </w:t>
      </w:r>
      <w:r w:rsidRPr="00C02130">
        <w:rPr>
          <w:rFonts w:cstheme="minorHAnsi"/>
          <w:color w:val="000000"/>
        </w:rPr>
        <w:t>messe in campo dal sistema dei Servizi sociali e sanitari</w:t>
      </w:r>
      <w:r>
        <w:rPr>
          <w:rFonts w:cstheme="minorHAnsi"/>
          <w:color w:val="000000"/>
        </w:rPr>
        <w:t xml:space="preserve"> </w:t>
      </w:r>
      <w:r w:rsidRPr="00C02130">
        <w:rPr>
          <w:rFonts w:cstheme="minorHAnsi"/>
          <w:color w:val="000000"/>
        </w:rPr>
        <w:t xml:space="preserve">rappresentano, come indicato dal </w:t>
      </w:r>
      <w:r w:rsidRPr="00C02130">
        <w:rPr>
          <w:rFonts w:cstheme="minorHAnsi"/>
          <w:b/>
          <w:bCs/>
          <w:color w:val="000000"/>
        </w:rPr>
        <w:t>IV Piano nazionale di azione e di</w:t>
      </w:r>
      <w:r>
        <w:rPr>
          <w:rFonts w:cstheme="minorHAnsi"/>
          <w:b/>
          <w:bCs/>
          <w:color w:val="000000"/>
        </w:rPr>
        <w:t xml:space="preserve"> </w:t>
      </w:r>
      <w:r w:rsidRPr="00C02130">
        <w:rPr>
          <w:rFonts w:cstheme="minorHAnsi"/>
          <w:b/>
          <w:bCs/>
          <w:color w:val="000000"/>
        </w:rPr>
        <w:t>interventi per la tutela dei diritti e lo sviluppo dei soggetti in età</w:t>
      </w:r>
      <w:r>
        <w:rPr>
          <w:rFonts w:cstheme="minorHAnsi"/>
          <w:b/>
          <w:bCs/>
          <w:color w:val="000000"/>
        </w:rPr>
        <w:t xml:space="preserve"> </w:t>
      </w:r>
      <w:r w:rsidRPr="00C02130">
        <w:rPr>
          <w:rFonts w:cstheme="minorHAnsi"/>
          <w:b/>
          <w:bCs/>
          <w:color w:val="000000"/>
        </w:rPr>
        <w:t xml:space="preserve">evolutiva, </w:t>
      </w:r>
      <w:r w:rsidRPr="00C02130">
        <w:rPr>
          <w:rFonts w:cstheme="minorHAnsi"/>
          <w:color w:val="000000"/>
        </w:rPr>
        <w:t>approvato l’11 febbraio 2016 in sede di Conferenza</w:t>
      </w:r>
      <w:r>
        <w:rPr>
          <w:rFonts w:cstheme="minorHAnsi"/>
          <w:color w:val="000000"/>
        </w:rPr>
        <w:t xml:space="preserve"> </w:t>
      </w:r>
      <w:r w:rsidRPr="00C02130">
        <w:rPr>
          <w:rFonts w:cstheme="minorHAnsi"/>
          <w:color w:val="000000"/>
        </w:rPr>
        <w:t>Unificata, un ambito fondamentale del lavoro di cura e protezione</w:t>
      </w:r>
      <w:r>
        <w:rPr>
          <w:rFonts w:cstheme="minorHAnsi"/>
          <w:color w:val="000000"/>
        </w:rPr>
        <w:t xml:space="preserve"> </w:t>
      </w:r>
      <w:r w:rsidRPr="00C02130">
        <w:rPr>
          <w:rFonts w:cstheme="minorHAnsi"/>
          <w:color w:val="000000"/>
        </w:rPr>
        <w:t xml:space="preserve">dell’infanzia, con l’obiettivo di </w:t>
      </w:r>
      <w:r w:rsidRPr="00C02130">
        <w:rPr>
          <w:rFonts w:cstheme="minorHAnsi"/>
          <w:color w:val="000000"/>
        </w:rPr>
        <w:lastRenderedPageBreak/>
        <w:t>promuovere condizioni idonee alla</w:t>
      </w:r>
      <w:r>
        <w:rPr>
          <w:rFonts w:cstheme="minorHAnsi"/>
          <w:color w:val="000000"/>
        </w:rPr>
        <w:t xml:space="preserve"> </w:t>
      </w:r>
      <w:r w:rsidRPr="00C02130">
        <w:rPr>
          <w:rFonts w:cstheme="minorHAnsi"/>
          <w:color w:val="000000"/>
        </w:rPr>
        <w:t>crescita, e prevenire i rischi che possono ostacolare il percorso di</w:t>
      </w:r>
      <w:r>
        <w:rPr>
          <w:rFonts w:cstheme="minorHAnsi"/>
          <w:color w:val="000000"/>
        </w:rPr>
        <w:t xml:space="preserve"> </w:t>
      </w:r>
      <w:r w:rsidRPr="00C02130">
        <w:rPr>
          <w:rFonts w:cstheme="minorHAnsi"/>
          <w:color w:val="000000"/>
        </w:rPr>
        <w:t>sviluppo e a preservare e/o proteggere la salute e la sicurezza del</w:t>
      </w:r>
      <w:r>
        <w:rPr>
          <w:rFonts w:cstheme="minorHAnsi"/>
          <w:color w:val="000000"/>
        </w:rPr>
        <w:t xml:space="preserve"> </w:t>
      </w:r>
      <w:r w:rsidRPr="00C02130">
        <w:rPr>
          <w:rFonts w:cstheme="minorHAnsi"/>
          <w:color w:val="000000"/>
        </w:rPr>
        <w:t>bambino e della sua famiglia.</w:t>
      </w:r>
    </w:p>
    <w:p w:rsidR="00D37CE7" w:rsidRPr="00C02130" w:rsidRDefault="00D37CE7" w:rsidP="00D37CE7">
      <w:pPr>
        <w:autoSpaceDE w:val="0"/>
        <w:autoSpaceDN w:val="0"/>
        <w:adjustRightInd w:val="0"/>
        <w:spacing w:after="0" w:line="20" w:lineRule="atLeast"/>
        <w:jc w:val="both"/>
        <w:rPr>
          <w:rFonts w:cstheme="minorHAnsi"/>
          <w:color w:val="000000"/>
        </w:rPr>
      </w:pPr>
      <w:r w:rsidRPr="00C02130">
        <w:rPr>
          <w:rFonts w:cstheme="minorHAnsi"/>
          <w:color w:val="000000"/>
        </w:rPr>
        <w:t>Infine, ma non per ultimo, il complesso degli interventi e delle attività</w:t>
      </w:r>
      <w:r>
        <w:rPr>
          <w:rFonts w:cstheme="minorHAnsi"/>
          <w:color w:val="000000"/>
        </w:rPr>
        <w:t xml:space="preserve"> </w:t>
      </w:r>
      <w:r w:rsidRPr="00C02130">
        <w:rPr>
          <w:rFonts w:cstheme="minorHAnsi"/>
          <w:color w:val="000000"/>
        </w:rPr>
        <w:t>realizzate dai Centri per le famiglie sul territorio piemontese in questi</w:t>
      </w:r>
      <w:r>
        <w:rPr>
          <w:rFonts w:cstheme="minorHAnsi"/>
          <w:color w:val="000000"/>
        </w:rPr>
        <w:t xml:space="preserve"> </w:t>
      </w:r>
      <w:r w:rsidRPr="00C02130">
        <w:rPr>
          <w:rFonts w:cstheme="minorHAnsi"/>
          <w:color w:val="000000"/>
        </w:rPr>
        <w:t xml:space="preserve">anni, trovano ampia risonanza nelle </w:t>
      </w:r>
      <w:r w:rsidRPr="00C02130">
        <w:rPr>
          <w:rFonts w:cstheme="minorHAnsi"/>
          <w:b/>
          <w:bCs/>
          <w:color w:val="000000"/>
        </w:rPr>
        <w:t>linee guida nazionali</w:t>
      </w:r>
      <w:r>
        <w:rPr>
          <w:rFonts w:cstheme="minorHAnsi"/>
          <w:b/>
          <w:bCs/>
          <w:color w:val="000000"/>
        </w:rPr>
        <w:t xml:space="preserve"> </w:t>
      </w:r>
      <w:r w:rsidRPr="00C02130">
        <w:rPr>
          <w:rFonts w:cstheme="minorHAnsi"/>
          <w:b/>
          <w:bCs/>
          <w:color w:val="000000"/>
        </w:rPr>
        <w:t>sull’intervento con bambini e famiglie in situazione di</w:t>
      </w:r>
      <w:r>
        <w:rPr>
          <w:rFonts w:cstheme="minorHAnsi"/>
          <w:b/>
          <w:bCs/>
          <w:color w:val="000000"/>
        </w:rPr>
        <w:t xml:space="preserve"> </w:t>
      </w:r>
      <w:r w:rsidRPr="00C02130">
        <w:rPr>
          <w:rFonts w:cstheme="minorHAnsi"/>
          <w:b/>
          <w:bCs/>
          <w:color w:val="000000"/>
        </w:rPr>
        <w:t>vulnerabilità</w:t>
      </w:r>
      <w:r w:rsidRPr="00C02130">
        <w:rPr>
          <w:rFonts w:cstheme="minorHAnsi"/>
          <w:color w:val="000000"/>
        </w:rPr>
        <w:t>, approvate nel dicembre 2017 dal Ministero del Lavoro e</w:t>
      </w:r>
      <w:r>
        <w:rPr>
          <w:rFonts w:cstheme="minorHAnsi"/>
          <w:color w:val="000000"/>
        </w:rPr>
        <w:t xml:space="preserve"> </w:t>
      </w:r>
      <w:r w:rsidRPr="00C02130">
        <w:rPr>
          <w:rFonts w:cstheme="minorHAnsi"/>
          <w:color w:val="000000"/>
        </w:rPr>
        <w:t>delle Politiche Sociali, ad una visione condivisa dell’area di</w:t>
      </w:r>
      <w:r>
        <w:rPr>
          <w:rFonts w:cstheme="minorHAnsi"/>
          <w:color w:val="000000"/>
        </w:rPr>
        <w:t xml:space="preserve"> </w:t>
      </w:r>
      <w:r w:rsidRPr="00C02130">
        <w:rPr>
          <w:rFonts w:cstheme="minorHAnsi"/>
          <w:color w:val="000000"/>
        </w:rPr>
        <w:t>accompagnamento della genitorialità vulnerabile, identificando obiettivi</w:t>
      </w:r>
      <w:r>
        <w:rPr>
          <w:rFonts w:cstheme="minorHAnsi"/>
          <w:color w:val="000000"/>
        </w:rPr>
        <w:t xml:space="preserve"> </w:t>
      </w:r>
      <w:r w:rsidRPr="00C02130">
        <w:rPr>
          <w:rFonts w:cstheme="minorHAnsi"/>
          <w:color w:val="000000"/>
        </w:rPr>
        <w:t>trasversale le relative azioni da mettere in campo per la realizzazione</w:t>
      </w:r>
      <w:r>
        <w:rPr>
          <w:rFonts w:cstheme="minorHAnsi"/>
          <w:color w:val="000000"/>
        </w:rPr>
        <w:t xml:space="preserve"> </w:t>
      </w:r>
      <w:r w:rsidRPr="00C02130">
        <w:rPr>
          <w:rFonts w:cstheme="minorHAnsi"/>
          <w:color w:val="000000"/>
        </w:rPr>
        <w:t>dell’obiettivo e consolidando le sinergie con il mondo educativo da</w:t>
      </w:r>
      <w:r>
        <w:rPr>
          <w:rFonts w:cstheme="minorHAnsi"/>
          <w:color w:val="000000"/>
        </w:rPr>
        <w:t xml:space="preserve"> </w:t>
      </w:r>
      <w:r w:rsidRPr="00C02130">
        <w:rPr>
          <w:rFonts w:cstheme="minorHAnsi"/>
          <w:color w:val="000000"/>
        </w:rPr>
        <w:t>sempre attivamente coinvolto nella promozione della genitorialità</w:t>
      </w:r>
      <w:r>
        <w:rPr>
          <w:rFonts w:cstheme="minorHAnsi"/>
          <w:color w:val="000000"/>
        </w:rPr>
        <w:t xml:space="preserve"> </w:t>
      </w:r>
      <w:r w:rsidRPr="00C02130">
        <w:rPr>
          <w:rFonts w:cstheme="minorHAnsi"/>
          <w:color w:val="000000"/>
        </w:rPr>
        <w:t>positiva.</w:t>
      </w:r>
    </w:p>
    <w:p w:rsidR="00D37CE7" w:rsidRPr="00C02130" w:rsidRDefault="00D37CE7" w:rsidP="00D37CE7">
      <w:pPr>
        <w:autoSpaceDE w:val="0"/>
        <w:autoSpaceDN w:val="0"/>
        <w:adjustRightInd w:val="0"/>
        <w:spacing w:after="0" w:line="20" w:lineRule="atLeast"/>
        <w:jc w:val="both"/>
        <w:rPr>
          <w:rFonts w:cstheme="minorHAnsi"/>
          <w:color w:val="000000"/>
        </w:rPr>
      </w:pPr>
      <w:r w:rsidRPr="00C02130">
        <w:rPr>
          <w:rFonts w:cstheme="minorHAnsi"/>
          <w:color w:val="000000"/>
        </w:rPr>
        <w:t>I Centri per le famiglie considerano e valorizzano le famiglie quali</w:t>
      </w:r>
      <w:r>
        <w:rPr>
          <w:rFonts w:cstheme="minorHAnsi"/>
          <w:color w:val="000000"/>
        </w:rPr>
        <w:t xml:space="preserve"> </w:t>
      </w:r>
      <w:r w:rsidRPr="00C02130">
        <w:rPr>
          <w:rFonts w:cstheme="minorHAnsi"/>
          <w:color w:val="000000"/>
        </w:rPr>
        <w:t>soggetti attivi per i quali e con i quali lavorare così da creare saperi</w:t>
      </w:r>
      <w:r>
        <w:rPr>
          <w:rFonts w:cstheme="minorHAnsi"/>
          <w:color w:val="000000"/>
        </w:rPr>
        <w:t xml:space="preserve"> </w:t>
      </w:r>
      <w:r w:rsidRPr="00C02130">
        <w:rPr>
          <w:rFonts w:cstheme="minorHAnsi"/>
          <w:color w:val="000000"/>
        </w:rPr>
        <w:t>condivisi, stabilire alleanze educative, vivere esperienze comunitarie</w:t>
      </w:r>
      <w:r>
        <w:rPr>
          <w:rFonts w:cstheme="minorHAnsi"/>
          <w:color w:val="000000"/>
        </w:rPr>
        <w:t xml:space="preserve"> </w:t>
      </w:r>
      <w:r w:rsidRPr="00C02130">
        <w:rPr>
          <w:rFonts w:cstheme="minorHAnsi"/>
          <w:color w:val="000000"/>
        </w:rPr>
        <w:t>che permettano ai genitori di svolgere al meglio il loro compito. In tale</w:t>
      </w:r>
      <w:r>
        <w:rPr>
          <w:rFonts w:cstheme="minorHAnsi"/>
          <w:color w:val="000000"/>
        </w:rPr>
        <w:t xml:space="preserve"> </w:t>
      </w:r>
      <w:r w:rsidRPr="00C02130">
        <w:rPr>
          <w:rFonts w:cstheme="minorHAnsi"/>
          <w:color w:val="000000"/>
        </w:rPr>
        <w:t>cornice, presso i Centri per famiglie, anche le famiglie in difficoltà e in</w:t>
      </w:r>
      <w:r>
        <w:rPr>
          <w:rFonts w:cstheme="minorHAnsi"/>
          <w:color w:val="000000"/>
        </w:rPr>
        <w:t xml:space="preserve"> </w:t>
      </w:r>
      <w:r w:rsidRPr="00C02130">
        <w:rPr>
          <w:rFonts w:cstheme="minorHAnsi"/>
          <w:color w:val="000000"/>
        </w:rPr>
        <w:t>situazione di fragilità, possono trovare opportunità e sostegno</w:t>
      </w:r>
      <w:r>
        <w:rPr>
          <w:rFonts w:cstheme="minorHAnsi"/>
          <w:color w:val="000000"/>
        </w:rPr>
        <w:t xml:space="preserve"> </w:t>
      </w:r>
      <w:r w:rsidRPr="00C02130">
        <w:rPr>
          <w:rFonts w:cstheme="minorHAnsi"/>
          <w:color w:val="000000"/>
        </w:rPr>
        <w:t>nell’assolvere le funzioni genitoriali.</w:t>
      </w:r>
    </w:p>
    <w:p w:rsidR="00D37CE7" w:rsidRPr="00C02130" w:rsidRDefault="00D37CE7" w:rsidP="00D37CE7">
      <w:pPr>
        <w:autoSpaceDE w:val="0"/>
        <w:autoSpaceDN w:val="0"/>
        <w:adjustRightInd w:val="0"/>
        <w:spacing w:after="0" w:line="20" w:lineRule="atLeast"/>
        <w:jc w:val="both"/>
        <w:rPr>
          <w:rFonts w:cstheme="minorHAnsi"/>
          <w:color w:val="000000"/>
        </w:rPr>
      </w:pPr>
      <w:r w:rsidRPr="00C02130">
        <w:rPr>
          <w:rFonts w:cstheme="minorHAnsi"/>
          <w:color w:val="000000"/>
        </w:rPr>
        <w:t xml:space="preserve">Il Centro per le famiglie, ai sensi delle </w:t>
      </w:r>
      <w:r w:rsidRPr="00C02130">
        <w:rPr>
          <w:rFonts w:cstheme="minorHAnsi"/>
          <w:b/>
          <w:bCs/>
          <w:color w:val="000000"/>
        </w:rPr>
        <w:t>linee guida regionali su ruoli</w:t>
      </w:r>
      <w:r>
        <w:rPr>
          <w:rFonts w:cstheme="minorHAnsi"/>
          <w:b/>
          <w:bCs/>
          <w:color w:val="000000"/>
        </w:rPr>
        <w:t xml:space="preserve"> </w:t>
      </w:r>
      <w:r w:rsidRPr="00C02130">
        <w:rPr>
          <w:rFonts w:cstheme="minorHAnsi"/>
          <w:b/>
          <w:bCs/>
          <w:color w:val="000000"/>
        </w:rPr>
        <w:t>e funzioni dei Centri per le famiglie</w:t>
      </w:r>
      <w:r w:rsidRPr="00C02130">
        <w:rPr>
          <w:rFonts w:cstheme="minorHAnsi"/>
          <w:color w:val="000000"/>
        </w:rPr>
        <w:t>, approvate con DGR n. 89 –3827 del 4 /8/2016 si configura come uno spazio del territorio dove si</w:t>
      </w:r>
      <w:r>
        <w:rPr>
          <w:rFonts w:cstheme="minorHAnsi"/>
          <w:color w:val="000000"/>
        </w:rPr>
        <w:t xml:space="preserve"> </w:t>
      </w:r>
      <w:r w:rsidRPr="00C02130">
        <w:rPr>
          <w:rFonts w:cstheme="minorHAnsi"/>
          <w:color w:val="000000"/>
        </w:rPr>
        <w:t>costruisce partecipazione e cittadinanza attiva, dove le famiglie</w:t>
      </w:r>
      <w:r>
        <w:rPr>
          <w:rFonts w:cstheme="minorHAnsi"/>
          <w:color w:val="000000"/>
        </w:rPr>
        <w:t xml:space="preserve"> </w:t>
      </w:r>
      <w:r w:rsidRPr="00C02130">
        <w:rPr>
          <w:rFonts w:cstheme="minorHAnsi"/>
          <w:color w:val="000000"/>
        </w:rPr>
        <w:t>diventano soggetti interlocutori delle istituzioni e un luogo in cui,</w:t>
      </w:r>
      <w:r>
        <w:rPr>
          <w:rFonts w:cstheme="minorHAnsi"/>
          <w:color w:val="000000"/>
        </w:rPr>
        <w:t xml:space="preserve"> </w:t>
      </w:r>
      <w:r w:rsidRPr="00C02130">
        <w:rPr>
          <w:rFonts w:cstheme="minorHAnsi"/>
          <w:color w:val="000000"/>
        </w:rPr>
        <w:t>attraverso percorsi di inclusione e azioni di sviluppo delle comunità</w:t>
      </w:r>
      <w:r>
        <w:rPr>
          <w:rFonts w:cstheme="minorHAnsi"/>
          <w:color w:val="000000"/>
        </w:rPr>
        <w:t xml:space="preserve"> </w:t>
      </w:r>
      <w:r w:rsidRPr="00C02130">
        <w:rPr>
          <w:rFonts w:cstheme="minorHAnsi"/>
          <w:color w:val="000000"/>
        </w:rPr>
        <w:t>locali, si rinforzano i legami e le reti sociali. I centri sostengono</w:t>
      </w:r>
      <w:r>
        <w:rPr>
          <w:rFonts w:cstheme="minorHAnsi"/>
          <w:color w:val="000000"/>
        </w:rPr>
        <w:t xml:space="preserve"> </w:t>
      </w:r>
      <w:r w:rsidRPr="00C02130">
        <w:rPr>
          <w:rFonts w:cstheme="minorHAnsi"/>
          <w:color w:val="000000"/>
        </w:rPr>
        <w:t>interventi e azioni in favore della natalità attraverso attività rivolte a</w:t>
      </w:r>
      <w:r>
        <w:rPr>
          <w:rFonts w:cstheme="minorHAnsi"/>
          <w:color w:val="000000"/>
        </w:rPr>
        <w:t xml:space="preserve"> </w:t>
      </w:r>
      <w:r w:rsidRPr="00C02130">
        <w:rPr>
          <w:rFonts w:cstheme="minorHAnsi"/>
          <w:color w:val="000000"/>
        </w:rPr>
        <w:t>singoli, coppie che stanno maturando l’intenzione di divenire genitori,</w:t>
      </w:r>
      <w:r>
        <w:rPr>
          <w:rFonts w:cstheme="minorHAnsi"/>
          <w:color w:val="000000"/>
        </w:rPr>
        <w:t xml:space="preserve"> </w:t>
      </w:r>
      <w:r w:rsidRPr="00C02130">
        <w:rPr>
          <w:rFonts w:cstheme="minorHAnsi"/>
          <w:color w:val="000000"/>
        </w:rPr>
        <w:t>genitori, a gruppi o reti di famiglie e alla comunità locale.</w:t>
      </w:r>
    </w:p>
    <w:p w:rsidR="00D37CE7" w:rsidRPr="00C02130" w:rsidRDefault="00D37CE7" w:rsidP="00D37CE7">
      <w:pPr>
        <w:autoSpaceDE w:val="0"/>
        <w:autoSpaceDN w:val="0"/>
        <w:adjustRightInd w:val="0"/>
        <w:spacing w:after="0" w:line="20" w:lineRule="atLeast"/>
        <w:jc w:val="both"/>
        <w:rPr>
          <w:rFonts w:cstheme="minorHAnsi"/>
          <w:color w:val="000000"/>
        </w:rPr>
      </w:pPr>
      <w:r w:rsidRPr="00C02130">
        <w:rPr>
          <w:rFonts w:cstheme="minorHAnsi"/>
          <w:color w:val="000000"/>
        </w:rPr>
        <w:t>Questa scelta politica regionale di sostegno ai Centri per le famiglie,</w:t>
      </w:r>
      <w:r>
        <w:rPr>
          <w:rFonts w:cstheme="minorHAnsi"/>
          <w:color w:val="000000"/>
        </w:rPr>
        <w:t xml:space="preserve"> </w:t>
      </w:r>
      <w:r w:rsidRPr="00C02130">
        <w:rPr>
          <w:rFonts w:cstheme="minorHAnsi"/>
          <w:color w:val="000000"/>
        </w:rPr>
        <w:t>ormai consolidata sul territorio, è inoltre confermata e pienamente</w:t>
      </w:r>
      <w:r>
        <w:rPr>
          <w:rFonts w:cstheme="minorHAnsi"/>
          <w:color w:val="000000"/>
        </w:rPr>
        <w:t xml:space="preserve"> </w:t>
      </w:r>
      <w:r w:rsidRPr="00C02130">
        <w:rPr>
          <w:rFonts w:cstheme="minorHAnsi"/>
          <w:color w:val="000000"/>
        </w:rPr>
        <w:t>inserita in uno dei più rilevanti strumenti di programmazione delle</w:t>
      </w:r>
      <w:r>
        <w:rPr>
          <w:rFonts w:cstheme="minorHAnsi"/>
          <w:color w:val="000000"/>
        </w:rPr>
        <w:t xml:space="preserve"> </w:t>
      </w:r>
      <w:r w:rsidRPr="00C02130">
        <w:rPr>
          <w:rFonts w:cstheme="minorHAnsi"/>
          <w:color w:val="000000"/>
        </w:rPr>
        <w:t>politiche sociali approvato con DGR n.16-6646 del 23 marzo 2018</w:t>
      </w:r>
      <w:r>
        <w:rPr>
          <w:rFonts w:cstheme="minorHAnsi"/>
          <w:color w:val="000000"/>
        </w:rPr>
        <w:t xml:space="preserve"> </w:t>
      </w:r>
      <w:r w:rsidRPr="00C02130">
        <w:rPr>
          <w:rFonts w:cstheme="minorHAnsi"/>
          <w:color w:val="000000"/>
        </w:rPr>
        <w:t>inerente ”l’</w:t>
      </w:r>
      <w:r w:rsidRPr="00C02130">
        <w:rPr>
          <w:rFonts w:cstheme="minorHAnsi"/>
          <w:b/>
          <w:bCs/>
          <w:color w:val="000000"/>
        </w:rPr>
        <w:t>Approvazione della strategia per lo sviluppo di comunità</w:t>
      </w:r>
      <w:r>
        <w:rPr>
          <w:rFonts w:cstheme="minorHAnsi"/>
          <w:b/>
          <w:bCs/>
          <w:color w:val="000000"/>
        </w:rPr>
        <w:t xml:space="preserve"> </w:t>
      </w:r>
      <w:r w:rsidRPr="00C02130">
        <w:rPr>
          <w:rFonts w:cstheme="minorHAnsi"/>
          <w:b/>
          <w:bCs/>
          <w:color w:val="000000"/>
        </w:rPr>
        <w:t>solidali</w:t>
      </w:r>
      <w:r w:rsidRPr="00C02130">
        <w:rPr>
          <w:rFonts w:cstheme="minorHAnsi"/>
          <w:color w:val="000000"/>
        </w:rPr>
        <w:t>” che, al suo interno, prevede uno specifico asse di azioni ed</w:t>
      </w:r>
      <w:r>
        <w:rPr>
          <w:rFonts w:cstheme="minorHAnsi"/>
          <w:color w:val="000000"/>
        </w:rPr>
        <w:t xml:space="preserve"> </w:t>
      </w:r>
      <w:r w:rsidRPr="00C02130">
        <w:rPr>
          <w:rFonts w:cstheme="minorHAnsi"/>
          <w:color w:val="000000"/>
        </w:rPr>
        <w:t>interventi sul tema del sostegno alle responsabilità genitoriali e della</w:t>
      </w:r>
      <w:r>
        <w:rPr>
          <w:rFonts w:cstheme="minorHAnsi"/>
          <w:color w:val="000000"/>
        </w:rPr>
        <w:t xml:space="preserve"> </w:t>
      </w:r>
      <w:r w:rsidRPr="00C02130">
        <w:rPr>
          <w:rFonts w:cstheme="minorHAnsi"/>
          <w:color w:val="000000"/>
        </w:rPr>
        <w:t>prevenzione del disagio minorile da realizzarsi, in primis, attraverso il</w:t>
      </w:r>
      <w:r>
        <w:rPr>
          <w:rFonts w:cstheme="minorHAnsi"/>
          <w:color w:val="000000"/>
        </w:rPr>
        <w:t xml:space="preserve"> </w:t>
      </w:r>
      <w:r w:rsidRPr="00C02130">
        <w:rPr>
          <w:rFonts w:cstheme="minorHAnsi"/>
          <w:color w:val="000000"/>
        </w:rPr>
        <w:t>sostegno e il potenziamento dei Centri per le famiglie esistenti nel</w:t>
      </w:r>
      <w:r>
        <w:rPr>
          <w:rFonts w:cstheme="minorHAnsi"/>
          <w:color w:val="000000"/>
        </w:rPr>
        <w:t xml:space="preserve"> </w:t>
      </w:r>
      <w:r w:rsidRPr="00C02130">
        <w:rPr>
          <w:rFonts w:cstheme="minorHAnsi"/>
          <w:color w:val="000000"/>
        </w:rPr>
        <w:t>territorio regionale.</w:t>
      </w:r>
    </w:p>
    <w:p w:rsidR="00D37CE7" w:rsidRPr="00C02130" w:rsidRDefault="00D37CE7" w:rsidP="00D37CE7">
      <w:pPr>
        <w:autoSpaceDE w:val="0"/>
        <w:autoSpaceDN w:val="0"/>
        <w:adjustRightInd w:val="0"/>
        <w:spacing w:after="0" w:line="20" w:lineRule="atLeast"/>
        <w:jc w:val="both"/>
        <w:rPr>
          <w:rFonts w:cstheme="minorHAnsi"/>
          <w:color w:val="000000"/>
        </w:rPr>
      </w:pPr>
      <w:r w:rsidRPr="00C02130">
        <w:rPr>
          <w:rFonts w:cstheme="minorHAnsi"/>
          <w:color w:val="000000"/>
        </w:rPr>
        <w:t>Con DGR n. 19 – 7005 del 08.06.2018, questa Amministrazione, in</w:t>
      </w:r>
      <w:r>
        <w:rPr>
          <w:rFonts w:cstheme="minorHAnsi"/>
          <w:color w:val="000000"/>
        </w:rPr>
        <w:t xml:space="preserve"> </w:t>
      </w:r>
      <w:r w:rsidRPr="00C02130">
        <w:rPr>
          <w:rFonts w:cstheme="minorHAnsi"/>
          <w:color w:val="000000"/>
        </w:rPr>
        <w:t>coerenza con la strategia citata, ha promosso l’approvazione di tre</w:t>
      </w:r>
      <w:r>
        <w:rPr>
          <w:rFonts w:cstheme="minorHAnsi"/>
          <w:color w:val="000000"/>
        </w:rPr>
        <w:t xml:space="preserve"> </w:t>
      </w:r>
      <w:r w:rsidRPr="00C02130">
        <w:rPr>
          <w:rFonts w:cstheme="minorHAnsi"/>
          <w:color w:val="000000"/>
        </w:rPr>
        <w:t>documenti di analisi sul lavoro e sugli interventi resi dai Centri e dagli</w:t>
      </w:r>
      <w:r>
        <w:rPr>
          <w:rFonts w:cstheme="minorHAnsi"/>
          <w:color w:val="000000"/>
        </w:rPr>
        <w:t xml:space="preserve"> </w:t>
      </w:r>
      <w:r w:rsidRPr="00C02130">
        <w:rPr>
          <w:rFonts w:cstheme="minorHAnsi"/>
          <w:color w:val="000000"/>
        </w:rPr>
        <w:t>Organismi del terzo settore e della società civile per il sostegno alla</w:t>
      </w:r>
      <w:r>
        <w:rPr>
          <w:rFonts w:cstheme="minorHAnsi"/>
          <w:color w:val="000000"/>
        </w:rPr>
        <w:t xml:space="preserve"> </w:t>
      </w:r>
      <w:r w:rsidRPr="00C02130">
        <w:rPr>
          <w:rFonts w:cstheme="minorHAnsi"/>
          <w:color w:val="000000"/>
        </w:rPr>
        <w:t>genitorialità, la cura dei legami e dello sviluppo di attività di comunità a</w:t>
      </w:r>
      <w:r>
        <w:rPr>
          <w:rFonts w:cstheme="minorHAnsi"/>
          <w:color w:val="000000"/>
        </w:rPr>
        <w:t xml:space="preserve"> </w:t>
      </w:r>
      <w:r w:rsidRPr="00C02130">
        <w:rPr>
          <w:rFonts w:cstheme="minorHAnsi"/>
          <w:color w:val="000000"/>
        </w:rPr>
        <w:t>favore delle famiglie piemontesi al fine di potenziare il quadro dellle</w:t>
      </w:r>
      <w:r>
        <w:rPr>
          <w:rFonts w:cstheme="minorHAnsi"/>
          <w:color w:val="000000"/>
        </w:rPr>
        <w:t xml:space="preserve"> </w:t>
      </w:r>
      <w:r w:rsidRPr="00C02130">
        <w:rPr>
          <w:rFonts w:cstheme="minorHAnsi"/>
          <w:color w:val="000000"/>
        </w:rPr>
        <w:t>collaborazioni e della governance tra soggetti istituzionali e della</w:t>
      </w:r>
      <w:r>
        <w:rPr>
          <w:rFonts w:cstheme="minorHAnsi"/>
          <w:color w:val="000000"/>
        </w:rPr>
        <w:t xml:space="preserve"> </w:t>
      </w:r>
      <w:r w:rsidRPr="00C02130">
        <w:rPr>
          <w:rFonts w:cstheme="minorHAnsi"/>
          <w:color w:val="000000"/>
        </w:rPr>
        <w:t>società civile impegnati nella promozione del benessere delle famiglie</w:t>
      </w:r>
      <w:r>
        <w:rPr>
          <w:rFonts w:cstheme="minorHAnsi"/>
          <w:color w:val="000000"/>
        </w:rPr>
        <w:t xml:space="preserve"> </w:t>
      </w:r>
      <w:r w:rsidRPr="00C02130">
        <w:rPr>
          <w:rFonts w:cstheme="minorHAnsi"/>
          <w:color w:val="000000"/>
        </w:rPr>
        <w:t>e dei loro figli.</w:t>
      </w:r>
    </w:p>
    <w:p w:rsidR="00D37CE7" w:rsidRPr="00C02130" w:rsidRDefault="00D37CE7" w:rsidP="00D37CE7">
      <w:pPr>
        <w:autoSpaceDE w:val="0"/>
        <w:autoSpaceDN w:val="0"/>
        <w:adjustRightInd w:val="0"/>
        <w:spacing w:after="0" w:line="20" w:lineRule="atLeast"/>
        <w:jc w:val="both"/>
        <w:rPr>
          <w:rFonts w:cstheme="minorHAnsi"/>
          <w:color w:val="000000"/>
        </w:rPr>
      </w:pPr>
      <w:r w:rsidRPr="00C02130">
        <w:rPr>
          <w:rFonts w:cstheme="minorHAnsi"/>
          <w:color w:val="000000"/>
        </w:rPr>
        <w:t>Infine, ma non per ultimo in ordine di importanza, si menziona la</w:t>
      </w:r>
      <w:r>
        <w:rPr>
          <w:rFonts w:cstheme="minorHAnsi"/>
          <w:color w:val="000000"/>
        </w:rPr>
        <w:t xml:space="preserve"> </w:t>
      </w:r>
      <w:r w:rsidRPr="00C02130">
        <w:rPr>
          <w:rFonts w:cstheme="minorHAnsi"/>
          <w:color w:val="000000"/>
        </w:rPr>
        <w:t>recente legge regionale n. 13 del 5.4.2019</w:t>
      </w:r>
      <w:proofErr w:type="gramStart"/>
      <w:r w:rsidRPr="00C02130">
        <w:rPr>
          <w:rFonts w:cstheme="minorHAnsi"/>
          <w:color w:val="000000"/>
        </w:rPr>
        <w:t>, ”Disposizioni</w:t>
      </w:r>
      <w:proofErr w:type="gramEnd"/>
      <w:r w:rsidRPr="00C02130">
        <w:rPr>
          <w:rFonts w:cstheme="minorHAnsi"/>
          <w:color w:val="000000"/>
        </w:rPr>
        <w:t xml:space="preserve"> in materia di</w:t>
      </w:r>
      <w:r>
        <w:rPr>
          <w:rFonts w:cstheme="minorHAnsi"/>
          <w:color w:val="000000"/>
        </w:rPr>
        <w:t xml:space="preserve"> </w:t>
      </w:r>
      <w:r w:rsidRPr="00C02130">
        <w:rPr>
          <w:rFonts w:cstheme="minorHAnsi"/>
          <w:color w:val="000000"/>
        </w:rPr>
        <w:t>promozione e valorizzazione della famiglia e della genitorialita' in</w:t>
      </w:r>
      <w:r>
        <w:rPr>
          <w:rFonts w:cstheme="minorHAnsi"/>
          <w:color w:val="000000"/>
        </w:rPr>
        <w:t xml:space="preserve"> </w:t>
      </w:r>
      <w:r w:rsidRPr="00C02130">
        <w:rPr>
          <w:rFonts w:cstheme="minorHAnsi"/>
          <w:color w:val="000000"/>
        </w:rPr>
        <w:t>ambito regionale. Modifiche alle leggi regionali 8 gennaio 2004, n. 1</w:t>
      </w:r>
      <w:r>
        <w:rPr>
          <w:rFonts w:cstheme="minorHAnsi"/>
          <w:color w:val="000000"/>
        </w:rPr>
        <w:t xml:space="preserve"> </w:t>
      </w:r>
      <w:r w:rsidRPr="00C02130">
        <w:rPr>
          <w:rFonts w:cstheme="minorHAnsi"/>
          <w:color w:val="000000"/>
        </w:rPr>
        <w:t>(Norme per la realizzazione del sistema regionale integrato di interventi</w:t>
      </w:r>
      <w:r>
        <w:rPr>
          <w:rFonts w:cstheme="minorHAnsi"/>
          <w:color w:val="000000"/>
        </w:rPr>
        <w:t xml:space="preserve"> </w:t>
      </w:r>
      <w:r w:rsidRPr="00C02130">
        <w:rPr>
          <w:rFonts w:cstheme="minorHAnsi"/>
          <w:color w:val="000000"/>
        </w:rPr>
        <w:t>e servizi sociali e riordino della legislazione di riferimento) e 15 gennaio</w:t>
      </w:r>
      <w:r>
        <w:rPr>
          <w:rFonts w:cstheme="minorHAnsi"/>
          <w:color w:val="000000"/>
        </w:rPr>
        <w:t xml:space="preserve"> </w:t>
      </w:r>
      <w:r w:rsidRPr="00C02130">
        <w:rPr>
          <w:rFonts w:cstheme="minorHAnsi"/>
          <w:color w:val="000000"/>
        </w:rPr>
        <w:t>1973, n. 3 (Criteri generali per la costruzione, l'impianto, la gestione ed</w:t>
      </w:r>
      <w:r>
        <w:rPr>
          <w:rFonts w:cstheme="minorHAnsi"/>
          <w:color w:val="000000"/>
        </w:rPr>
        <w:t xml:space="preserve"> </w:t>
      </w:r>
      <w:r w:rsidRPr="00C02130">
        <w:rPr>
          <w:rFonts w:cstheme="minorHAnsi"/>
          <w:color w:val="000000"/>
        </w:rPr>
        <w:t>il controllo degli asili-nido comunali costruiti e gestiti con il concorso</w:t>
      </w:r>
      <w:r>
        <w:rPr>
          <w:rFonts w:cstheme="minorHAnsi"/>
          <w:color w:val="000000"/>
        </w:rPr>
        <w:t xml:space="preserve"> </w:t>
      </w:r>
      <w:r w:rsidRPr="00C02130">
        <w:rPr>
          <w:rFonts w:cstheme="minorHAnsi"/>
          <w:color w:val="000000"/>
        </w:rPr>
        <w:t>dello Stato di cui alla Legge 6 dicembre 1971, n. 1044 e con quello</w:t>
      </w:r>
      <w:r>
        <w:rPr>
          <w:rFonts w:cstheme="minorHAnsi"/>
          <w:color w:val="000000"/>
        </w:rPr>
        <w:t xml:space="preserve"> </w:t>
      </w:r>
      <w:r w:rsidRPr="00C02130">
        <w:rPr>
          <w:rFonts w:cstheme="minorHAnsi"/>
          <w:color w:val="000000"/>
        </w:rPr>
        <w:t>della Regione)” con la quale si è voluto:</w:t>
      </w:r>
    </w:p>
    <w:p w:rsidR="00D37CE7" w:rsidRPr="00C02130" w:rsidRDefault="00D37CE7" w:rsidP="00D37CE7">
      <w:pPr>
        <w:autoSpaceDE w:val="0"/>
        <w:autoSpaceDN w:val="0"/>
        <w:adjustRightInd w:val="0"/>
        <w:spacing w:after="0" w:line="20" w:lineRule="atLeast"/>
        <w:jc w:val="both"/>
        <w:rPr>
          <w:rFonts w:cstheme="minorHAnsi"/>
          <w:color w:val="000000"/>
        </w:rPr>
      </w:pPr>
      <w:r w:rsidRPr="00C02130">
        <w:rPr>
          <w:rFonts w:cstheme="minorHAnsi"/>
          <w:color w:val="000000"/>
        </w:rPr>
        <w:t>- rafforzare il ruolo dei centri famiglie fortemente collocati nel sistema</w:t>
      </w:r>
      <w:r>
        <w:rPr>
          <w:rFonts w:cstheme="minorHAnsi"/>
          <w:color w:val="000000"/>
        </w:rPr>
        <w:t xml:space="preserve"> </w:t>
      </w:r>
      <w:r w:rsidRPr="00C02130">
        <w:rPr>
          <w:rFonts w:cstheme="minorHAnsi"/>
          <w:color w:val="000000"/>
        </w:rPr>
        <w:t>dei servizi territoriali (art. 3 comma 2);</w:t>
      </w:r>
    </w:p>
    <w:p w:rsidR="00D37CE7" w:rsidRPr="00C02130" w:rsidRDefault="00D37CE7" w:rsidP="00D37CE7">
      <w:pPr>
        <w:autoSpaceDE w:val="0"/>
        <w:autoSpaceDN w:val="0"/>
        <w:adjustRightInd w:val="0"/>
        <w:spacing w:after="0" w:line="20" w:lineRule="atLeast"/>
        <w:jc w:val="both"/>
        <w:rPr>
          <w:rFonts w:cstheme="minorHAnsi"/>
          <w:color w:val="000000"/>
        </w:rPr>
      </w:pPr>
      <w:r w:rsidRPr="00C02130">
        <w:rPr>
          <w:rFonts w:cstheme="minorHAnsi"/>
          <w:color w:val="000000"/>
        </w:rPr>
        <w:t>- istituire la consulta regionale per le famiglie, con compiti di</w:t>
      </w:r>
      <w:r>
        <w:rPr>
          <w:rFonts w:cstheme="minorHAnsi"/>
          <w:color w:val="000000"/>
        </w:rPr>
        <w:t xml:space="preserve"> </w:t>
      </w:r>
      <w:r w:rsidRPr="00C02130">
        <w:rPr>
          <w:rFonts w:cstheme="minorHAnsi"/>
          <w:color w:val="000000"/>
        </w:rPr>
        <w:t>coordinamento di attività in favore delle famiglie, formulazione di</w:t>
      </w:r>
      <w:r>
        <w:rPr>
          <w:rFonts w:cstheme="minorHAnsi"/>
          <w:color w:val="000000"/>
        </w:rPr>
        <w:t xml:space="preserve"> </w:t>
      </w:r>
      <w:r w:rsidRPr="00C02130">
        <w:rPr>
          <w:rFonts w:cstheme="minorHAnsi"/>
          <w:color w:val="000000"/>
        </w:rPr>
        <w:t>proposte e pareri sulla programmazione regionale aventi ricaduta sulle</w:t>
      </w:r>
      <w:r>
        <w:rPr>
          <w:rFonts w:cstheme="minorHAnsi"/>
          <w:color w:val="000000"/>
        </w:rPr>
        <w:t xml:space="preserve"> </w:t>
      </w:r>
      <w:r w:rsidRPr="00C02130">
        <w:rPr>
          <w:rFonts w:cstheme="minorHAnsi"/>
          <w:color w:val="000000"/>
        </w:rPr>
        <w:t>politiche per le famiglie nonché attività di monitoraggio</w:t>
      </w:r>
      <w:r>
        <w:rPr>
          <w:rFonts w:cstheme="minorHAnsi"/>
          <w:color w:val="000000"/>
        </w:rPr>
        <w:t xml:space="preserve"> </w:t>
      </w:r>
      <w:r w:rsidRPr="00C02130">
        <w:rPr>
          <w:rFonts w:cstheme="minorHAnsi"/>
          <w:color w:val="000000"/>
        </w:rPr>
        <w:t>sull’adeguatezza e sull’efficacia delle politiche familiari realizzate sul</w:t>
      </w:r>
      <w:r>
        <w:rPr>
          <w:rFonts w:cstheme="minorHAnsi"/>
          <w:color w:val="000000"/>
        </w:rPr>
        <w:t xml:space="preserve"> </w:t>
      </w:r>
      <w:r w:rsidRPr="00C02130">
        <w:rPr>
          <w:rFonts w:cstheme="minorHAnsi"/>
          <w:color w:val="000000"/>
        </w:rPr>
        <w:t>territorio regionale.</w:t>
      </w:r>
    </w:p>
    <w:p w:rsidR="00D37CE7" w:rsidRPr="00C02130" w:rsidRDefault="00D37CE7" w:rsidP="00D37CE7">
      <w:pPr>
        <w:autoSpaceDE w:val="0"/>
        <w:autoSpaceDN w:val="0"/>
        <w:adjustRightInd w:val="0"/>
        <w:spacing w:after="0" w:line="20" w:lineRule="atLeast"/>
        <w:jc w:val="both"/>
        <w:rPr>
          <w:rFonts w:cstheme="minorHAnsi"/>
          <w:color w:val="000000"/>
        </w:rPr>
      </w:pPr>
      <w:r w:rsidRPr="00C02130">
        <w:rPr>
          <w:rFonts w:cstheme="minorHAnsi"/>
          <w:color w:val="000000"/>
        </w:rPr>
        <w:t>Ne deriva, quindi, che le principali azioni dei Centri per le famiglie</w:t>
      </w:r>
      <w:r>
        <w:rPr>
          <w:rFonts w:cstheme="minorHAnsi"/>
          <w:color w:val="000000"/>
        </w:rPr>
        <w:t xml:space="preserve"> </w:t>
      </w:r>
      <w:r w:rsidRPr="00C02130">
        <w:rPr>
          <w:rFonts w:cstheme="minorHAnsi"/>
          <w:color w:val="000000"/>
        </w:rPr>
        <w:t>riferite al sostegno ed all’accompagnamento della genitorialità, sono</w:t>
      </w:r>
      <w:r>
        <w:rPr>
          <w:rFonts w:cstheme="minorHAnsi"/>
          <w:color w:val="000000"/>
        </w:rPr>
        <w:t xml:space="preserve"> </w:t>
      </w:r>
      <w:r w:rsidRPr="00C02130">
        <w:rPr>
          <w:rFonts w:cstheme="minorHAnsi"/>
          <w:color w:val="000000"/>
        </w:rPr>
        <w:t xml:space="preserve">da intendersi nell’ accezione più estesa </w:t>
      </w:r>
      <w:proofErr w:type="gramStart"/>
      <w:r w:rsidRPr="00C02130">
        <w:rPr>
          <w:rFonts w:cstheme="minorHAnsi"/>
          <w:color w:val="000000"/>
        </w:rPr>
        <w:t>di ”</w:t>
      </w:r>
      <w:r w:rsidRPr="00C02130">
        <w:rPr>
          <w:rFonts w:cstheme="minorHAnsi"/>
          <w:i/>
          <w:iCs/>
          <w:color w:val="000000"/>
        </w:rPr>
        <w:t>sostegno</w:t>
      </w:r>
      <w:proofErr w:type="gramEnd"/>
      <w:r w:rsidRPr="00C02130">
        <w:rPr>
          <w:rFonts w:cstheme="minorHAnsi"/>
          <w:i/>
          <w:iCs/>
          <w:color w:val="000000"/>
        </w:rPr>
        <w:t xml:space="preserve"> agli impegni ed</w:t>
      </w:r>
      <w:r>
        <w:rPr>
          <w:rFonts w:cstheme="minorHAnsi"/>
          <w:i/>
          <w:iCs/>
          <w:color w:val="000000"/>
        </w:rPr>
        <w:t xml:space="preserve"> </w:t>
      </w:r>
      <w:r w:rsidRPr="00C02130">
        <w:rPr>
          <w:rFonts w:cstheme="minorHAnsi"/>
          <w:i/>
          <w:iCs/>
          <w:color w:val="000000"/>
        </w:rPr>
        <w:t xml:space="preserve">alle reciproche responsabilità dei componenti della famiglia” </w:t>
      </w:r>
      <w:r w:rsidRPr="00C02130">
        <w:rPr>
          <w:rFonts w:cstheme="minorHAnsi"/>
          <w:color w:val="000000"/>
        </w:rPr>
        <w:t>come</w:t>
      </w:r>
      <w:r>
        <w:rPr>
          <w:rFonts w:cstheme="minorHAnsi"/>
          <w:color w:val="000000"/>
        </w:rPr>
        <w:t xml:space="preserve"> </w:t>
      </w:r>
      <w:r w:rsidRPr="00C02130">
        <w:rPr>
          <w:rFonts w:cstheme="minorHAnsi"/>
          <w:color w:val="000000"/>
        </w:rPr>
        <w:t>previsto dalla L. R n. 1/2004</w:t>
      </w:r>
      <w:r w:rsidRPr="00C02130">
        <w:rPr>
          <w:rFonts w:cstheme="minorHAnsi"/>
          <w:i/>
          <w:iCs/>
          <w:color w:val="000000"/>
        </w:rPr>
        <w:t xml:space="preserve">, con la </w:t>
      </w:r>
      <w:r w:rsidRPr="00C02130">
        <w:rPr>
          <w:rFonts w:cstheme="minorHAnsi"/>
          <w:color w:val="000000"/>
        </w:rPr>
        <w:t>raccomandazione che i Centri</w:t>
      </w:r>
      <w:r>
        <w:rPr>
          <w:rFonts w:cstheme="minorHAnsi"/>
          <w:color w:val="000000"/>
        </w:rPr>
        <w:t xml:space="preserve"> </w:t>
      </w:r>
      <w:r w:rsidRPr="00C02130">
        <w:rPr>
          <w:rFonts w:cstheme="minorHAnsi"/>
          <w:color w:val="000000"/>
        </w:rPr>
        <w:t>per le famiglie operino in stretto raccordo con i servizi sociali e sanitari</w:t>
      </w:r>
    </w:p>
    <w:p w:rsidR="00D37CE7" w:rsidRPr="00C02130" w:rsidRDefault="00D37CE7" w:rsidP="00D37CE7">
      <w:pPr>
        <w:autoSpaceDE w:val="0"/>
        <w:autoSpaceDN w:val="0"/>
        <w:adjustRightInd w:val="0"/>
        <w:spacing w:after="0" w:line="20" w:lineRule="atLeast"/>
        <w:jc w:val="both"/>
        <w:rPr>
          <w:rFonts w:cstheme="minorHAnsi"/>
          <w:color w:val="000000"/>
        </w:rPr>
      </w:pPr>
      <w:proofErr w:type="gramStart"/>
      <w:r w:rsidRPr="00C02130">
        <w:rPr>
          <w:rFonts w:cstheme="minorHAnsi"/>
          <w:color w:val="000000"/>
        </w:rPr>
        <w:t>esistenti</w:t>
      </w:r>
      <w:proofErr w:type="gramEnd"/>
      <w:r w:rsidRPr="00C02130">
        <w:rPr>
          <w:rFonts w:cstheme="minorHAnsi"/>
          <w:color w:val="000000"/>
        </w:rPr>
        <w:t>, inclusi i consultori famigliari del Dipartimento materno</w:t>
      </w:r>
      <w:r>
        <w:rPr>
          <w:rFonts w:cstheme="minorHAnsi"/>
          <w:color w:val="000000"/>
        </w:rPr>
        <w:t xml:space="preserve"> </w:t>
      </w:r>
      <w:r w:rsidRPr="00C02130">
        <w:rPr>
          <w:rFonts w:cstheme="minorHAnsi"/>
          <w:color w:val="000000"/>
        </w:rPr>
        <w:t>infantile dell’Asl di competenza territoriale.</w:t>
      </w:r>
    </w:p>
    <w:p w:rsidR="00D37CE7" w:rsidRPr="00C02130" w:rsidRDefault="00D37CE7" w:rsidP="00D37CE7">
      <w:pPr>
        <w:autoSpaceDE w:val="0"/>
        <w:autoSpaceDN w:val="0"/>
        <w:adjustRightInd w:val="0"/>
        <w:spacing w:after="0" w:line="20" w:lineRule="atLeast"/>
        <w:jc w:val="both"/>
        <w:rPr>
          <w:rFonts w:cstheme="minorHAnsi"/>
          <w:color w:val="000000"/>
        </w:rPr>
      </w:pPr>
      <w:r w:rsidRPr="00C02130">
        <w:rPr>
          <w:rFonts w:cstheme="minorHAnsi"/>
          <w:color w:val="000000"/>
        </w:rPr>
        <w:t>Parallelamente al quadro sopra descritto, la Regione Piemonte in</w:t>
      </w:r>
      <w:r>
        <w:rPr>
          <w:rFonts w:cstheme="minorHAnsi"/>
          <w:color w:val="000000"/>
        </w:rPr>
        <w:t xml:space="preserve"> </w:t>
      </w:r>
      <w:r w:rsidRPr="00C02130">
        <w:rPr>
          <w:rFonts w:cstheme="minorHAnsi"/>
          <w:color w:val="000000"/>
        </w:rPr>
        <w:t>questi anni si è distinta per la promozione di ulteriori politiche di</w:t>
      </w:r>
      <w:r>
        <w:rPr>
          <w:rFonts w:cstheme="minorHAnsi"/>
          <w:color w:val="000000"/>
        </w:rPr>
        <w:t xml:space="preserve"> </w:t>
      </w:r>
      <w:r w:rsidRPr="00C02130">
        <w:rPr>
          <w:rFonts w:cstheme="minorHAnsi"/>
          <w:color w:val="000000"/>
        </w:rPr>
        <w:t>sostegno alle famiglie, tra cui nello specifico:</w:t>
      </w:r>
    </w:p>
    <w:p w:rsidR="00D37CE7" w:rsidRPr="00C02130" w:rsidRDefault="00D37CE7" w:rsidP="00D37CE7">
      <w:pPr>
        <w:autoSpaceDE w:val="0"/>
        <w:autoSpaceDN w:val="0"/>
        <w:adjustRightInd w:val="0"/>
        <w:spacing w:after="0" w:line="20" w:lineRule="atLeast"/>
        <w:jc w:val="both"/>
        <w:rPr>
          <w:rFonts w:cstheme="minorHAnsi"/>
          <w:color w:val="000000"/>
        </w:rPr>
      </w:pPr>
      <w:r w:rsidRPr="00C02130">
        <w:rPr>
          <w:rFonts w:cstheme="minorHAnsi"/>
          <w:color w:val="000000"/>
        </w:rPr>
        <w:lastRenderedPageBreak/>
        <w:t>- Sostegno alle famiglie adottive di minori di età superiore ai 12 anni e/con handicap accertato: l’Amministrazione Regionale ha ritenuto</w:t>
      </w:r>
      <w:r>
        <w:rPr>
          <w:rFonts w:cstheme="minorHAnsi"/>
          <w:color w:val="000000"/>
        </w:rPr>
        <w:t xml:space="preserve"> </w:t>
      </w:r>
      <w:r w:rsidRPr="00C02130">
        <w:rPr>
          <w:rFonts w:cstheme="minorHAnsi"/>
          <w:color w:val="000000"/>
        </w:rPr>
        <w:t>opportuno prevedere annualmente, a far data dall’anno 2008,</w:t>
      </w:r>
      <w:r>
        <w:rPr>
          <w:rFonts w:cstheme="minorHAnsi"/>
          <w:color w:val="000000"/>
        </w:rPr>
        <w:t xml:space="preserve"> </w:t>
      </w:r>
      <w:r w:rsidRPr="00C02130">
        <w:rPr>
          <w:rFonts w:cstheme="minorHAnsi"/>
          <w:color w:val="000000"/>
        </w:rPr>
        <w:t>l’assegnazione di uno specifico finanziamento agli Enti gestori delle</w:t>
      </w:r>
      <w:r>
        <w:rPr>
          <w:rFonts w:cstheme="minorHAnsi"/>
          <w:color w:val="000000"/>
        </w:rPr>
        <w:t xml:space="preserve"> </w:t>
      </w:r>
      <w:r w:rsidRPr="00C02130">
        <w:rPr>
          <w:rFonts w:cstheme="minorHAnsi"/>
          <w:color w:val="000000"/>
        </w:rPr>
        <w:t>funzioni socio-assistenziali, a parziale copertura degli oneri per il</w:t>
      </w:r>
      <w:r>
        <w:rPr>
          <w:rFonts w:cstheme="minorHAnsi"/>
          <w:color w:val="000000"/>
        </w:rPr>
        <w:t xml:space="preserve"> </w:t>
      </w:r>
      <w:r w:rsidRPr="00C02130">
        <w:rPr>
          <w:rFonts w:cstheme="minorHAnsi"/>
          <w:color w:val="000000"/>
        </w:rPr>
        <w:t>sostegno delle adozioni di minori di età superiore ai dodici anni e/o con</w:t>
      </w:r>
      <w:r>
        <w:rPr>
          <w:rFonts w:cstheme="minorHAnsi"/>
          <w:color w:val="000000"/>
        </w:rPr>
        <w:t xml:space="preserve"> </w:t>
      </w:r>
      <w:r w:rsidRPr="00C02130">
        <w:rPr>
          <w:rFonts w:cstheme="minorHAnsi"/>
          <w:color w:val="000000"/>
        </w:rPr>
        <w:t>handicap accertato.</w:t>
      </w:r>
    </w:p>
    <w:p w:rsidR="00D37CE7" w:rsidRPr="00C02130" w:rsidRDefault="00D37CE7" w:rsidP="00D37CE7">
      <w:pPr>
        <w:autoSpaceDE w:val="0"/>
        <w:autoSpaceDN w:val="0"/>
        <w:adjustRightInd w:val="0"/>
        <w:spacing w:after="0" w:line="20" w:lineRule="atLeast"/>
        <w:jc w:val="both"/>
        <w:rPr>
          <w:rFonts w:cstheme="minorHAnsi"/>
          <w:color w:val="000000"/>
        </w:rPr>
      </w:pPr>
      <w:r w:rsidRPr="00C02130">
        <w:rPr>
          <w:rFonts w:cstheme="minorHAnsi"/>
          <w:color w:val="000000"/>
        </w:rPr>
        <w:t>La Legge 4 Maggio 1983, n. 184, all’art. 6, comma 8, così come</w:t>
      </w:r>
      <w:r>
        <w:rPr>
          <w:rFonts w:cstheme="minorHAnsi"/>
          <w:color w:val="000000"/>
        </w:rPr>
        <w:t xml:space="preserve"> </w:t>
      </w:r>
      <w:r w:rsidRPr="00C02130">
        <w:rPr>
          <w:rFonts w:cstheme="minorHAnsi"/>
          <w:color w:val="000000"/>
        </w:rPr>
        <w:t>sostituito dalla legge n. 149/01, dispone che nel caso di adozione di</w:t>
      </w:r>
      <w:r>
        <w:rPr>
          <w:rFonts w:cstheme="minorHAnsi"/>
          <w:color w:val="000000"/>
        </w:rPr>
        <w:t xml:space="preserve"> </w:t>
      </w:r>
      <w:r w:rsidRPr="00C02130">
        <w:rPr>
          <w:rFonts w:cstheme="minorHAnsi"/>
          <w:color w:val="000000"/>
        </w:rPr>
        <w:t>minori di età superiore ai dodici anni e/o con handicap accertato ai</w:t>
      </w:r>
      <w:r>
        <w:rPr>
          <w:rFonts w:cstheme="minorHAnsi"/>
          <w:color w:val="000000"/>
        </w:rPr>
        <w:t xml:space="preserve"> </w:t>
      </w:r>
      <w:r w:rsidRPr="00C02130">
        <w:rPr>
          <w:rFonts w:cstheme="minorHAnsi"/>
          <w:color w:val="000000"/>
        </w:rPr>
        <w:t>sensi dell’articolo 4 della legge 5 febbraio 1992, n. 104, lo Stato, le</w:t>
      </w:r>
      <w:r>
        <w:rPr>
          <w:rFonts w:cstheme="minorHAnsi"/>
          <w:color w:val="000000"/>
        </w:rPr>
        <w:t xml:space="preserve"> </w:t>
      </w:r>
      <w:r w:rsidRPr="00C02130">
        <w:rPr>
          <w:rFonts w:cstheme="minorHAnsi"/>
          <w:color w:val="000000"/>
        </w:rPr>
        <w:t>regioni e gli enti locali possono intervenire, nell’ambito delle proprie</w:t>
      </w:r>
      <w:r>
        <w:rPr>
          <w:rFonts w:cstheme="minorHAnsi"/>
          <w:color w:val="000000"/>
        </w:rPr>
        <w:t xml:space="preserve"> </w:t>
      </w:r>
      <w:r w:rsidRPr="00C02130">
        <w:rPr>
          <w:rFonts w:cstheme="minorHAnsi"/>
          <w:color w:val="000000"/>
        </w:rPr>
        <w:t>competenze e nei limiti delle disponibilità finanziarie dei rispettivi</w:t>
      </w:r>
      <w:r>
        <w:rPr>
          <w:rFonts w:cstheme="minorHAnsi"/>
          <w:color w:val="000000"/>
        </w:rPr>
        <w:t xml:space="preserve"> </w:t>
      </w:r>
      <w:r w:rsidRPr="00C02130">
        <w:rPr>
          <w:rFonts w:cstheme="minorHAnsi"/>
          <w:color w:val="000000"/>
        </w:rPr>
        <w:t>bilanci, con specifiche misure di carattere economico, eventualmente</w:t>
      </w:r>
      <w:r>
        <w:rPr>
          <w:rFonts w:cstheme="minorHAnsi"/>
          <w:color w:val="000000"/>
        </w:rPr>
        <w:t xml:space="preserve"> </w:t>
      </w:r>
      <w:r w:rsidRPr="00C02130">
        <w:rPr>
          <w:rFonts w:cstheme="minorHAnsi"/>
          <w:color w:val="000000"/>
        </w:rPr>
        <w:t>anche mediante misure di sostegno alla formazione e all’inserimento</w:t>
      </w:r>
      <w:r>
        <w:rPr>
          <w:rFonts w:cstheme="minorHAnsi"/>
          <w:color w:val="000000"/>
        </w:rPr>
        <w:t xml:space="preserve"> </w:t>
      </w:r>
      <w:r w:rsidRPr="00C02130">
        <w:rPr>
          <w:rFonts w:cstheme="minorHAnsi"/>
          <w:color w:val="000000"/>
        </w:rPr>
        <w:t>sociale, fino all’età di 18 anni degli adottati.</w:t>
      </w:r>
    </w:p>
    <w:p w:rsidR="00D37CE7" w:rsidRPr="00C02130" w:rsidRDefault="00D37CE7" w:rsidP="00D37CE7">
      <w:pPr>
        <w:autoSpaceDE w:val="0"/>
        <w:autoSpaceDN w:val="0"/>
        <w:adjustRightInd w:val="0"/>
        <w:spacing w:after="0" w:line="20" w:lineRule="atLeast"/>
        <w:jc w:val="both"/>
        <w:rPr>
          <w:rFonts w:cstheme="minorHAnsi"/>
          <w:color w:val="000000"/>
        </w:rPr>
      </w:pPr>
      <w:r w:rsidRPr="00C02130">
        <w:rPr>
          <w:rFonts w:cstheme="minorHAnsi"/>
          <w:color w:val="000000"/>
        </w:rPr>
        <w:t>Con D.G.R. n. 79-11035 del 17 novembre 2003, l’Amministrazione</w:t>
      </w:r>
      <w:r>
        <w:rPr>
          <w:rFonts w:cstheme="minorHAnsi"/>
          <w:color w:val="000000"/>
        </w:rPr>
        <w:t xml:space="preserve"> </w:t>
      </w:r>
      <w:r w:rsidRPr="00C02130">
        <w:rPr>
          <w:rFonts w:cstheme="minorHAnsi"/>
          <w:color w:val="000000"/>
        </w:rPr>
        <w:t>Regionale ha previsto, in attuazione dell’art. 6, comma 8 della L.</w:t>
      </w:r>
      <w:r>
        <w:rPr>
          <w:rFonts w:cstheme="minorHAnsi"/>
          <w:color w:val="000000"/>
        </w:rPr>
        <w:t xml:space="preserve"> </w:t>
      </w:r>
      <w:r w:rsidRPr="00C02130">
        <w:rPr>
          <w:rFonts w:cstheme="minorHAnsi"/>
          <w:color w:val="000000"/>
        </w:rPr>
        <w:t>184/83 e s.m.i., la corresponsione di un contributo economico; con</w:t>
      </w:r>
      <w:r>
        <w:rPr>
          <w:rFonts w:cstheme="minorHAnsi"/>
          <w:color w:val="000000"/>
        </w:rPr>
        <w:t xml:space="preserve"> </w:t>
      </w:r>
      <w:r w:rsidRPr="00C02130">
        <w:rPr>
          <w:rFonts w:cstheme="minorHAnsi"/>
          <w:color w:val="000000"/>
        </w:rPr>
        <w:t>DGR n. 10-6456 del 7.10.2013, sono stati definiti i criteri e le modalità</w:t>
      </w:r>
      <w:r>
        <w:rPr>
          <w:rFonts w:cstheme="minorHAnsi"/>
          <w:color w:val="000000"/>
        </w:rPr>
        <w:t xml:space="preserve"> </w:t>
      </w:r>
      <w:r w:rsidRPr="00C02130">
        <w:rPr>
          <w:rFonts w:cstheme="minorHAnsi"/>
          <w:color w:val="000000"/>
        </w:rPr>
        <w:t>di erogazione dei contributi a sostegno delle famiglie che accolgono i</w:t>
      </w:r>
      <w:r>
        <w:rPr>
          <w:rFonts w:cstheme="minorHAnsi"/>
          <w:color w:val="000000"/>
        </w:rPr>
        <w:t xml:space="preserve"> </w:t>
      </w:r>
      <w:r w:rsidRPr="00C02130">
        <w:rPr>
          <w:rFonts w:cstheme="minorHAnsi"/>
          <w:color w:val="000000"/>
        </w:rPr>
        <w:t>minori con handicap accertato e/o di età superiore ai dodici anni e per il</w:t>
      </w:r>
      <w:r>
        <w:rPr>
          <w:rFonts w:cstheme="minorHAnsi"/>
          <w:color w:val="000000"/>
        </w:rPr>
        <w:t xml:space="preserve"> </w:t>
      </w:r>
      <w:r w:rsidRPr="00C02130">
        <w:rPr>
          <w:rFonts w:cstheme="minorHAnsi"/>
          <w:color w:val="000000"/>
        </w:rPr>
        <w:t>parziale rimborso degli oneri sostenuti a tal fine dagli enti gestori delle</w:t>
      </w:r>
      <w:r>
        <w:rPr>
          <w:rFonts w:cstheme="minorHAnsi"/>
          <w:color w:val="000000"/>
        </w:rPr>
        <w:t xml:space="preserve"> </w:t>
      </w:r>
      <w:r w:rsidRPr="00C02130">
        <w:rPr>
          <w:rFonts w:cstheme="minorHAnsi"/>
          <w:color w:val="000000"/>
        </w:rPr>
        <w:t>funzioni socio-assistenziali.</w:t>
      </w:r>
    </w:p>
    <w:p w:rsidR="00D37CE7" w:rsidRPr="00C02130" w:rsidRDefault="00D37CE7" w:rsidP="00D37CE7">
      <w:pPr>
        <w:autoSpaceDE w:val="0"/>
        <w:autoSpaceDN w:val="0"/>
        <w:adjustRightInd w:val="0"/>
        <w:spacing w:after="0" w:line="20" w:lineRule="atLeast"/>
        <w:jc w:val="both"/>
        <w:rPr>
          <w:rFonts w:cstheme="minorHAnsi"/>
          <w:color w:val="000000"/>
        </w:rPr>
      </w:pPr>
      <w:r w:rsidRPr="00C02130">
        <w:rPr>
          <w:rFonts w:cstheme="minorHAnsi"/>
          <w:color w:val="000000"/>
        </w:rPr>
        <w:t>- Sostegno alla maternità e genitorialità attraverso le attività di Call</w:t>
      </w:r>
      <w:r>
        <w:rPr>
          <w:rFonts w:cstheme="minorHAnsi"/>
          <w:color w:val="000000"/>
        </w:rPr>
        <w:t xml:space="preserve"> </w:t>
      </w:r>
      <w:r w:rsidRPr="00C02130">
        <w:rPr>
          <w:rFonts w:cstheme="minorHAnsi"/>
          <w:color w:val="000000"/>
        </w:rPr>
        <w:t>Center ed accoglienza in emergenza di gestanti, madri sole con</w:t>
      </w:r>
      <w:r>
        <w:rPr>
          <w:rFonts w:cstheme="minorHAnsi"/>
          <w:color w:val="000000"/>
        </w:rPr>
        <w:t xml:space="preserve"> </w:t>
      </w:r>
      <w:r w:rsidRPr="00C02130">
        <w:rPr>
          <w:rFonts w:cstheme="minorHAnsi"/>
          <w:color w:val="000000"/>
        </w:rPr>
        <w:t>bambino: in linea con il quadro normativo previsto dalla LR 1/2004 di</w:t>
      </w:r>
      <w:r>
        <w:rPr>
          <w:rFonts w:cstheme="minorHAnsi"/>
          <w:color w:val="000000"/>
        </w:rPr>
        <w:t xml:space="preserve"> </w:t>
      </w:r>
      <w:r w:rsidRPr="00C02130">
        <w:rPr>
          <w:rFonts w:cstheme="minorHAnsi"/>
          <w:color w:val="000000"/>
        </w:rPr>
        <w:t>sostegno alla maternità ed alle responsabilità familiari, la Regione</w:t>
      </w:r>
      <w:r>
        <w:rPr>
          <w:rFonts w:cstheme="minorHAnsi"/>
          <w:color w:val="000000"/>
        </w:rPr>
        <w:t xml:space="preserve"> </w:t>
      </w:r>
      <w:r w:rsidRPr="00C02130">
        <w:rPr>
          <w:rFonts w:cstheme="minorHAnsi"/>
          <w:color w:val="000000"/>
        </w:rPr>
        <w:t>Piemonte sin dal 2008, con DGR n. 56-9881 del 20.10.2008, ha</w:t>
      </w:r>
      <w:r>
        <w:rPr>
          <w:rFonts w:cstheme="minorHAnsi"/>
          <w:color w:val="000000"/>
        </w:rPr>
        <w:t xml:space="preserve"> </w:t>
      </w:r>
      <w:r w:rsidRPr="00C02130">
        <w:rPr>
          <w:rFonts w:cstheme="minorHAnsi"/>
          <w:color w:val="000000"/>
        </w:rPr>
        <w:t>fortemente sostenuto la rete degli interventi a sostegno delle gestanti e</w:t>
      </w:r>
      <w:r>
        <w:rPr>
          <w:rFonts w:cstheme="minorHAnsi"/>
          <w:color w:val="000000"/>
        </w:rPr>
        <w:t xml:space="preserve"> </w:t>
      </w:r>
      <w:r w:rsidRPr="00C02130">
        <w:rPr>
          <w:rFonts w:cstheme="minorHAnsi"/>
          <w:color w:val="000000"/>
        </w:rPr>
        <w:t>madri in difficoltà, in un ottica di prevenzione delle situazioni di rischio,</w:t>
      </w:r>
      <w:r>
        <w:rPr>
          <w:rFonts w:cstheme="minorHAnsi"/>
          <w:color w:val="000000"/>
        </w:rPr>
        <w:t xml:space="preserve"> </w:t>
      </w:r>
      <w:r w:rsidRPr="00C02130">
        <w:rPr>
          <w:rFonts w:cstheme="minorHAnsi"/>
          <w:color w:val="000000"/>
        </w:rPr>
        <w:t>anche in raccordo con gli interventi attivati a favore delle gestanti che</w:t>
      </w:r>
      <w:r>
        <w:rPr>
          <w:rFonts w:cstheme="minorHAnsi"/>
          <w:color w:val="000000"/>
        </w:rPr>
        <w:t xml:space="preserve"> </w:t>
      </w:r>
      <w:r w:rsidRPr="00C02130">
        <w:rPr>
          <w:rFonts w:cstheme="minorHAnsi"/>
          <w:color w:val="000000"/>
        </w:rPr>
        <w:t>necessitano di specifici sostegni in ordine al riconoscimento o non</w:t>
      </w:r>
      <w:r>
        <w:rPr>
          <w:rFonts w:cstheme="minorHAnsi"/>
          <w:color w:val="000000"/>
        </w:rPr>
        <w:t xml:space="preserve"> </w:t>
      </w:r>
      <w:r w:rsidRPr="00C02130">
        <w:rPr>
          <w:rFonts w:cstheme="minorHAnsi"/>
          <w:color w:val="000000"/>
        </w:rPr>
        <w:t>riconoscimento dei loro nati, ai sensi della LR 16/06.</w:t>
      </w:r>
    </w:p>
    <w:p w:rsidR="00D37CE7" w:rsidRPr="00C02130" w:rsidRDefault="00D37CE7" w:rsidP="00D37CE7">
      <w:pPr>
        <w:autoSpaceDE w:val="0"/>
        <w:autoSpaceDN w:val="0"/>
        <w:adjustRightInd w:val="0"/>
        <w:spacing w:after="0" w:line="20" w:lineRule="atLeast"/>
        <w:jc w:val="both"/>
        <w:rPr>
          <w:rFonts w:cstheme="minorHAnsi"/>
          <w:color w:val="000000"/>
        </w:rPr>
      </w:pPr>
      <w:r w:rsidRPr="00C02130">
        <w:rPr>
          <w:rFonts w:cstheme="minorHAnsi"/>
          <w:color w:val="000000"/>
        </w:rPr>
        <w:t>Nel 2014 con DGR n. 17-684 del 1.12.2014 è stata formalizzata</w:t>
      </w:r>
      <w:r>
        <w:rPr>
          <w:rFonts w:cstheme="minorHAnsi"/>
          <w:color w:val="000000"/>
        </w:rPr>
        <w:t xml:space="preserve"> </w:t>
      </w:r>
      <w:r w:rsidRPr="00C02130">
        <w:rPr>
          <w:rFonts w:cstheme="minorHAnsi"/>
          <w:color w:val="000000"/>
        </w:rPr>
        <w:t>l’adesione della Regione Piemonte ad un protocollo d’intesa con il</w:t>
      </w:r>
      <w:r>
        <w:rPr>
          <w:rFonts w:cstheme="minorHAnsi"/>
          <w:color w:val="000000"/>
        </w:rPr>
        <w:t xml:space="preserve"> </w:t>
      </w:r>
      <w:r w:rsidRPr="00C02130">
        <w:rPr>
          <w:rFonts w:cstheme="minorHAnsi"/>
          <w:color w:val="000000"/>
        </w:rPr>
        <w:t>Comune di Torino e con l’Associazione Gruppi di Volontariato</w:t>
      </w:r>
      <w:r>
        <w:rPr>
          <w:rFonts w:cstheme="minorHAnsi"/>
          <w:color w:val="000000"/>
        </w:rPr>
        <w:t xml:space="preserve"> </w:t>
      </w:r>
      <w:r w:rsidRPr="00C02130">
        <w:rPr>
          <w:rFonts w:cstheme="minorHAnsi"/>
          <w:color w:val="000000"/>
        </w:rPr>
        <w:t>Vincenziano per la realizzazione di un punto di riferimento per</w:t>
      </w:r>
      <w:r>
        <w:rPr>
          <w:rFonts w:cstheme="minorHAnsi"/>
          <w:color w:val="000000"/>
        </w:rPr>
        <w:t xml:space="preserve"> </w:t>
      </w:r>
      <w:r w:rsidRPr="00C02130">
        <w:rPr>
          <w:rFonts w:cstheme="minorHAnsi"/>
          <w:color w:val="000000"/>
        </w:rPr>
        <w:t>l’accesso e la raccolta delle richieste e delle segnalazioni di emergenza</w:t>
      </w:r>
      <w:r>
        <w:rPr>
          <w:rFonts w:cstheme="minorHAnsi"/>
          <w:color w:val="000000"/>
        </w:rPr>
        <w:t xml:space="preserve"> </w:t>
      </w:r>
      <w:r w:rsidRPr="00C02130">
        <w:rPr>
          <w:rFonts w:cstheme="minorHAnsi"/>
          <w:color w:val="000000"/>
        </w:rPr>
        <w:t>di gestanti e madri con bambino in condizioni di fragilità e svantaggio e</w:t>
      </w:r>
      <w:r>
        <w:rPr>
          <w:rFonts w:cstheme="minorHAnsi"/>
          <w:color w:val="000000"/>
        </w:rPr>
        <w:t xml:space="preserve"> </w:t>
      </w:r>
      <w:r w:rsidRPr="00C02130">
        <w:rPr>
          <w:rFonts w:cstheme="minorHAnsi"/>
          <w:color w:val="000000"/>
        </w:rPr>
        <w:t>a rischio di esclusione sociale. Il servizio “Call Center” si qualifica come</w:t>
      </w:r>
      <w:r>
        <w:rPr>
          <w:rFonts w:cstheme="minorHAnsi"/>
          <w:color w:val="000000"/>
        </w:rPr>
        <w:t xml:space="preserve"> </w:t>
      </w:r>
      <w:r w:rsidRPr="00C02130">
        <w:rPr>
          <w:rFonts w:cstheme="minorHAnsi"/>
          <w:color w:val="000000"/>
        </w:rPr>
        <w:t>servizio unico nell’intero territorio regionale ed è un punto di raccordo</w:t>
      </w:r>
      <w:r>
        <w:rPr>
          <w:rFonts w:cstheme="minorHAnsi"/>
          <w:color w:val="000000"/>
        </w:rPr>
        <w:t xml:space="preserve"> </w:t>
      </w:r>
      <w:r w:rsidRPr="00C02130">
        <w:rPr>
          <w:rFonts w:cstheme="minorHAnsi"/>
          <w:color w:val="000000"/>
        </w:rPr>
        <w:t>tra servizi pubblici ed enti del privato sociale che operano a sostegno</w:t>
      </w:r>
      <w:r>
        <w:rPr>
          <w:rFonts w:cstheme="minorHAnsi"/>
          <w:color w:val="000000"/>
        </w:rPr>
        <w:t xml:space="preserve"> </w:t>
      </w:r>
      <w:r w:rsidRPr="00C02130">
        <w:rPr>
          <w:rFonts w:cstheme="minorHAnsi"/>
          <w:color w:val="000000"/>
        </w:rPr>
        <w:t>della maternità e della genitorialità. La Regione Piemonte, sin dal 2008,</w:t>
      </w:r>
      <w:r>
        <w:rPr>
          <w:rFonts w:cstheme="minorHAnsi"/>
          <w:color w:val="000000"/>
        </w:rPr>
        <w:t xml:space="preserve"> </w:t>
      </w:r>
      <w:r w:rsidRPr="00C02130">
        <w:rPr>
          <w:rFonts w:cstheme="minorHAnsi"/>
          <w:color w:val="000000"/>
        </w:rPr>
        <w:t>interviene a sostegno del progetto attraverso finanziamenti annuali per</w:t>
      </w:r>
      <w:r>
        <w:rPr>
          <w:rFonts w:cstheme="minorHAnsi"/>
          <w:color w:val="000000"/>
        </w:rPr>
        <w:t xml:space="preserve"> </w:t>
      </w:r>
      <w:r w:rsidRPr="00C02130">
        <w:rPr>
          <w:rFonts w:cstheme="minorHAnsi"/>
          <w:color w:val="000000"/>
        </w:rPr>
        <w:t>il sostegno alle attività svolta dal Comune di Torino e dall’Associazione</w:t>
      </w:r>
      <w:r>
        <w:rPr>
          <w:rFonts w:cstheme="minorHAnsi"/>
          <w:color w:val="000000"/>
        </w:rPr>
        <w:t xml:space="preserve"> </w:t>
      </w:r>
      <w:r w:rsidRPr="00C02130">
        <w:rPr>
          <w:rFonts w:cstheme="minorHAnsi"/>
          <w:color w:val="000000"/>
        </w:rPr>
        <w:t>Gruppi di Volontariato Vincenziano.</w:t>
      </w:r>
    </w:p>
    <w:p w:rsidR="00D37CE7" w:rsidRPr="00C02130" w:rsidRDefault="00D37CE7" w:rsidP="00D37CE7">
      <w:pPr>
        <w:autoSpaceDE w:val="0"/>
        <w:autoSpaceDN w:val="0"/>
        <w:adjustRightInd w:val="0"/>
        <w:spacing w:after="0" w:line="20" w:lineRule="atLeast"/>
        <w:jc w:val="both"/>
        <w:rPr>
          <w:rFonts w:cstheme="minorHAnsi"/>
          <w:color w:val="000000"/>
        </w:rPr>
      </w:pPr>
      <w:r w:rsidRPr="00C02130">
        <w:rPr>
          <w:rFonts w:cstheme="minorHAnsi"/>
          <w:color w:val="000000"/>
        </w:rPr>
        <w:t>L’azione da attivare, ai sensi dell’Intesa n. 30 CU del 17.04.2019, si</w:t>
      </w:r>
      <w:r>
        <w:rPr>
          <w:rFonts w:cstheme="minorHAnsi"/>
          <w:color w:val="000000"/>
        </w:rPr>
        <w:t xml:space="preserve"> </w:t>
      </w:r>
      <w:r w:rsidRPr="00C02130">
        <w:rPr>
          <w:rFonts w:cstheme="minorHAnsi"/>
          <w:color w:val="000000"/>
        </w:rPr>
        <w:t>propone quindi di potenziare i tre ambiti di attività sopra descritti:</w:t>
      </w:r>
    </w:p>
    <w:p w:rsidR="00D37CE7" w:rsidRPr="00C02130" w:rsidRDefault="00D37CE7" w:rsidP="00D37CE7">
      <w:pPr>
        <w:autoSpaceDE w:val="0"/>
        <w:autoSpaceDN w:val="0"/>
        <w:adjustRightInd w:val="0"/>
        <w:spacing w:after="0" w:line="20" w:lineRule="atLeast"/>
        <w:jc w:val="both"/>
        <w:rPr>
          <w:rFonts w:cstheme="minorHAnsi"/>
          <w:color w:val="000000"/>
        </w:rPr>
      </w:pPr>
      <w:r w:rsidRPr="00C02130">
        <w:rPr>
          <w:rFonts w:cstheme="minorHAnsi"/>
          <w:color w:val="000000"/>
        </w:rPr>
        <w:t xml:space="preserve">- Centri per le famiglie attraverso </w:t>
      </w:r>
      <w:proofErr w:type="gramStart"/>
      <w:r w:rsidRPr="00C02130">
        <w:rPr>
          <w:rFonts w:cstheme="minorHAnsi"/>
          <w:color w:val="000000"/>
        </w:rPr>
        <w:t>l’ implementazione</w:t>
      </w:r>
      <w:proofErr w:type="gramEnd"/>
      <w:r w:rsidRPr="00C02130">
        <w:rPr>
          <w:rFonts w:cstheme="minorHAnsi"/>
          <w:color w:val="000000"/>
        </w:rPr>
        <w:t xml:space="preserve"> di attività di</w:t>
      </w:r>
      <w:r>
        <w:rPr>
          <w:rFonts w:cstheme="minorHAnsi"/>
          <w:color w:val="000000"/>
        </w:rPr>
        <w:t xml:space="preserve"> </w:t>
      </w:r>
      <w:r w:rsidRPr="00C02130">
        <w:rPr>
          <w:rFonts w:cstheme="minorHAnsi"/>
          <w:color w:val="000000"/>
        </w:rPr>
        <w:t>sostegno alla genitorialità, rivolte alla promozione dell'agio e del</w:t>
      </w:r>
      <w:r>
        <w:rPr>
          <w:rFonts w:cstheme="minorHAnsi"/>
          <w:color w:val="000000"/>
        </w:rPr>
        <w:t xml:space="preserve"> </w:t>
      </w:r>
      <w:r w:rsidRPr="00C02130">
        <w:rPr>
          <w:rFonts w:cstheme="minorHAnsi"/>
          <w:color w:val="000000"/>
        </w:rPr>
        <w:t>benessere delle famiglie, con particolare attenzione alle famiglie che</w:t>
      </w:r>
      <w:r>
        <w:rPr>
          <w:rFonts w:cstheme="minorHAnsi"/>
          <w:color w:val="000000"/>
        </w:rPr>
        <w:t xml:space="preserve"> </w:t>
      </w:r>
      <w:r w:rsidRPr="00C02130">
        <w:rPr>
          <w:rFonts w:cstheme="minorHAnsi"/>
          <w:color w:val="000000"/>
        </w:rPr>
        <w:t>vivono le normali fasi evolutive del ciclo di vita familiare e/o fasi critiche</w:t>
      </w:r>
      <w:r>
        <w:rPr>
          <w:rFonts w:cstheme="minorHAnsi"/>
          <w:color w:val="000000"/>
        </w:rPr>
        <w:t xml:space="preserve"> </w:t>
      </w:r>
      <w:r w:rsidRPr="00C02130">
        <w:rPr>
          <w:rFonts w:cstheme="minorHAnsi"/>
          <w:color w:val="000000"/>
        </w:rPr>
        <w:t>anche a causa della crisi socio economica attuale, come</w:t>
      </w:r>
      <w:r>
        <w:rPr>
          <w:rFonts w:cstheme="minorHAnsi"/>
          <w:color w:val="000000"/>
        </w:rPr>
        <w:t xml:space="preserve"> </w:t>
      </w:r>
      <w:r w:rsidRPr="00C02130">
        <w:rPr>
          <w:rFonts w:cstheme="minorHAnsi"/>
          <w:color w:val="000000"/>
        </w:rPr>
        <w:t>separazione/divorzio, conflittualità elevate, crisi della coppia, nascita di</w:t>
      </w:r>
      <w:r>
        <w:rPr>
          <w:rFonts w:cstheme="minorHAnsi"/>
          <w:color w:val="000000"/>
        </w:rPr>
        <w:t xml:space="preserve"> </w:t>
      </w:r>
      <w:r w:rsidRPr="00C02130">
        <w:rPr>
          <w:rFonts w:cstheme="minorHAnsi"/>
          <w:color w:val="000000"/>
        </w:rPr>
        <w:t>un figlio disabile, recente immigrazione, disoccupazione, malattia o</w:t>
      </w:r>
      <w:r>
        <w:rPr>
          <w:rFonts w:cstheme="minorHAnsi"/>
          <w:color w:val="000000"/>
        </w:rPr>
        <w:t xml:space="preserve"> </w:t>
      </w:r>
      <w:r w:rsidRPr="00C02130">
        <w:rPr>
          <w:rFonts w:cstheme="minorHAnsi"/>
          <w:color w:val="000000"/>
        </w:rPr>
        <w:t>lutto.</w:t>
      </w:r>
    </w:p>
    <w:p w:rsidR="00D37CE7" w:rsidRPr="00C02130" w:rsidRDefault="00D37CE7" w:rsidP="00D37CE7">
      <w:pPr>
        <w:autoSpaceDE w:val="0"/>
        <w:autoSpaceDN w:val="0"/>
        <w:adjustRightInd w:val="0"/>
        <w:spacing w:after="0" w:line="20" w:lineRule="atLeast"/>
        <w:jc w:val="both"/>
        <w:rPr>
          <w:rFonts w:cstheme="minorHAnsi"/>
          <w:color w:val="000000"/>
        </w:rPr>
      </w:pPr>
      <w:r w:rsidRPr="00C02130">
        <w:rPr>
          <w:rFonts w:eastAsia="ArialUnicodeMS" w:cstheme="minorHAnsi"/>
          <w:color w:val="000000"/>
        </w:rPr>
        <w:t xml:space="preserve">- </w:t>
      </w:r>
      <w:r w:rsidRPr="00C02130">
        <w:rPr>
          <w:rFonts w:cstheme="minorHAnsi"/>
          <w:color w:val="000000"/>
        </w:rPr>
        <w:t>Sostegno alle famiglie adottive di minori di età superiore ai 12 anni e/con handicap accertato: attraverso l’assegnazione di uno specifico</w:t>
      </w:r>
      <w:r>
        <w:rPr>
          <w:rFonts w:cstheme="minorHAnsi"/>
          <w:color w:val="000000"/>
        </w:rPr>
        <w:t xml:space="preserve"> </w:t>
      </w:r>
      <w:r w:rsidRPr="00C02130">
        <w:rPr>
          <w:rFonts w:cstheme="minorHAnsi"/>
          <w:color w:val="000000"/>
        </w:rPr>
        <w:t>finanziamento ai Soggetti gestori delle funzioni socio-assistenziali che</w:t>
      </w:r>
      <w:r>
        <w:rPr>
          <w:rFonts w:cstheme="minorHAnsi"/>
          <w:color w:val="000000"/>
        </w:rPr>
        <w:t xml:space="preserve"> </w:t>
      </w:r>
      <w:r w:rsidRPr="00C02130">
        <w:rPr>
          <w:rFonts w:cstheme="minorHAnsi"/>
          <w:color w:val="000000"/>
        </w:rPr>
        <w:t>nell’anno di riferimento:</w:t>
      </w:r>
    </w:p>
    <w:p w:rsidR="00D37CE7" w:rsidRPr="00C02130" w:rsidRDefault="00D37CE7" w:rsidP="00D37CE7">
      <w:pPr>
        <w:autoSpaceDE w:val="0"/>
        <w:autoSpaceDN w:val="0"/>
        <w:adjustRightInd w:val="0"/>
        <w:spacing w:after="0" w:line="20" w:lineRule="atLeast"/>
        <w:jc w:val="both"/>
        <w:rPr>
          <w:rFonts w:cstheme="minorHAnsi"/>
          <w:color w:val="000000"/>
        </w:rPr>
      </w:pPr>
      <w:r w:rsidRPr="00C02130">
        <w:rPr>
          <w:rFonts w:cstheme="minorHAnsi"/>
          <w:color w:val="000000"/>
        </w:rPr>
        <w:t>-abbiano avuto in carico situazioni di adozione minori di età superiore a</w:t>
      </w:r>
      <w:r>
        <w:rPr>
          <w:rFonts w:cstheme="minorHAnsi"/>
          <w:color w:val="000000"/>
        </w:rPr>
        <w:t xml:space="preserve"> </w:t>
      </w:r>
      <w:r w:rsidRPr="00C02130">
        <w:rPr>
          <w:rFonts w:cstheme="minorHAnsi"/>
          <w:color w:val="000000"/>
        </w:rPr>
        <w:t>dodici anni e/o con handicap accertato ai sensi dell’articolo 4 della</w:t>
      </w:r>
      <w:r>
        <w:rPr>
          <w:rFonts w:cstheme="minorHAnsi"/>
          <w:color w:val="000000"/>
        </w:rPr>
        <w:t xml:space="preserve"> </w:t>
      </w:r>
      <w:r w:rsidRPr="00C02130">
        <w:rPr>
          <w:rFonts w:cstheme="minorHAnsi"/>
          <w:color w:val="000000"/>
        </w:rPr>
        <w:t>legge 5 febbraio 1992, n. 104, per le quali è stato erogato il contributo</w:t>
      </w:r>
    </w:p>
    <w:p w:rsidR="00D37CE7" w:rsidRPr="00C02130" w:rsidRDefault="00D37CE7" w:rsidP="00D37CE7">
      <w:pPr>
        <w:autoSpaceDE w:val="0"/>
        <w:autoSpaceDN w:val="0"/>
        <w:adjustRightInd w:val="0"/>
        <w:spacing w:after="0" w:line="20" w:lineRule="atLeast"/>
        <w:jc w:val="both"/>
        <w:rPr>
          <w:rFonts w:cstheme="minorHAnsi"/>
          <w:color w:val="000000"/>
        </w:rPr>
      </w:pPr>
      <w:proofErr w:type="gramStart"/>
      <w:r w:rsidRPr="00C02130">
        <w:rPr>
          <w:rFonts w:cstheme="minorHAnsi"/>
          <w:color w:val="000000"/>
        </w:rPr>
        <w:t>spese</w:t>
      </w:r>
      <w:proofErr w:type="gramEnd"/>
      <w:r w:rsidRPr="00C02130">
        <w:rPr>
          <w:rFonts w:cstheme="minorHAnsi"/>
          <w:color w:val="000000"/>
        </w:rPr>
        <w:t xml:space="preserve"> mensile previsto;</w:t>
      </w:r>
    </w:p>
    <w:p w:rsidR="00D37CE7" w:rsidRPr="00C02130" w:rsidRDefault="00D37CE7" w:rsidP="00D37CE7">
      <w:pPr>
        <w:autoSpaceDE w:val="0"/>
        <w:autoSpaceDN w:val="0"/>
        <w:adjustRightInd w:val="0"/>
        <w:spacing w:after="0" w:line="20" w:lineRule="atLeast"/>
        <w:jc w:val="both"/>
        <w:rPr>
          <w:rFonts w:cstheme="minorHAnsi"/>
          <w:color w:val="000000"/>
        </w:rPr>
      </w:pPr>
      <w:r w:rsidRPr="00C02130">
        <w:rPr>
          <w:rFonts w:cstheme="minorHAnsi"/>
          <w:color w:val="000000"/>
        </w:rPr>
        <w:t>-abbiano erogato il contributo spese mensile a favore di minori collocati</w:t>
      </w:r>
      <w:r>
        <w:rPr>
          <w:rFonts w:cstheme="minorHAnsi"/>
          <w:color w:val="000000"/>
        </w:rPr>
        <w:t xml:space="preserve"> </w:t>
      </w:r>
      <w:r w:rsidRPr="00C02130">
        <w:rPr>
          <w:rFonts w:cstheme="minorHAnsi"/>
          <w:color w:val="000000"/>
        </w:rPr>
        <w:t>a scopo d’adozione presso coppie residenti fuori regione, in quanto</w:t>
      </w:r>
      <w:r>
        <w:rPr>
          <w:rFonts w:cstheme="minorHAnsi"/>
          <w:color w:val="000000"/>
        </w:rPr>
        <w:t xml:space="preserve"> </w:t>
      </w:r>
      <w:r w:rsidRPr="00C02130">
        <w:rPr>
          <w:rFonts w:cstheme="minorHAnsi"/>
          <w:color w:val="000000"/>
        </w:rPr>
        <w:t>titolari della presa in carico del minore prima dell’adozione in base alla</w:t>
      </w:r>
      <w:r>
        <w:rPr>
          <w:rFonts w:cstheme="minorHAnsi"/>
          <w:color w:val="000000"/>
        </w:rPr>
        <w:t xml:space="preserve"> </w:t>
      </w:r>
      <w:r w:rsidRPr="00C02130">
        <w:rPr>
          <w:rFonts w:cstheme="minorHAnsi"/>
          <w:color w:val="000000"/>
        </w:rPr>
        <w:t>normativa vigente.</w:t>
      </w:r>
    </w:p>
    <w:p w:rsidR="00D37CE7" w:rsidRPr="00C02130" w:rsidRDefault="00D37CE7" w:rsidP="00D37CE7">
      <w:pPr>
        <w:autoSpaceDE w:val="0"/>
        <w:autoSpaceDN w:val="0"/>
        <w:adjustRightInd w:val="0"/>
        <w:spacing w:after="0" w:line="20" w:lineRule="atLeast"/>
        <w:jc w:val="both"/>
        <w:rPr>
          <w:rFonts w:cstheme="minorHAnsi"/>
          <w:color w:val="000000"/>
        </w:rPr>
      </w:pPr>
      <w:r w:rsidRPr="00C02130">
        <w:rPr>
          <w:rFonts w:cstheme="minorHAnsi"/>
          <w:color w:val="000000"/>
        </w:rPr>
        <w:t>In base al monitoraggio sulle rendicontazioni trasmesse dagli Enti</w:t>
      </w:r>
      <w:r>
        <w:rPr>
          <w:rFonts w:cstheme="minorHAnsi"/>
          <w:color w:val="000000"/>
        </w:rPr>
        <w:t xml:space="preserve"> </w:t>
      </w:r>
      <w:r w:rsidRPr="00C02130">
        <w:rPr>
          <w:rFonts w:cstheme="minorHAnsi"/>
          <w:color w:val="000000"/>
        </w:rPr>
        <w:t>Gestori si prevede l’erogazione di un contributo a parziale copertura</w:t>
      </w:r>
      <w:r>
        <w:rPr>
          <w:rFonts w:cstheme="minorHAnsi"/>
          <w:color w:val="000000"/>
        </w:rPr>
        <w:t xml:space="preserve"> </w:t>
      </w:r>
      <w:r w:rsidRPr="00C02130">
        <w:rPr>
          <w:rFonts w:cstheme="minorHAnsi"/>
          <w:color w:val="000000"/>
        </w:rPr>
        <w:t>delle spese sostenute dagli stessi definito proporzionalmente in base</w:t>
      </w:r>
      <w:r>
        <w:rPr>
          <w:rFonts w:cstheme="minorHAnsi"/>
          <w:color w:val="000000"/>
        </w:rPr>
        <w:t xml:space="preserve"> </w:t>
      </w:r>
      <w:r w:rsidRPr="00C02130">
        <w:rPr>
          <w:rFonts w:cstheme="minorHAnsi"/>
          <w:color w:val="000000"/>
        </w:rPr>
        <w:t>al numero dei casi in carico e all’entità della spesa sostenuta.</w:t>
      </w:r>
    </w:p>
    <w:p w:rsidR="00D37CE7" w:rsidRPr="00C02130" w:rsidRDefault="00D37CE7" w:rsidP="00D37CE7">
      <w:pPr>
        <w:autoSpaceDE w:val="0"/>
        <w:autoSpaceDN w:val="0"/>
        <w:adjustRightInd w:val="0"/>
        <w:spacing w:after="0" w:line="20" w:lineRule="atLeast"/>
        <w:jc w:val="both"/>
        <w:rPr>
          <w:rFonts w:cstheme="minorHAnsi"/>
          <w:color w:val="000000"/>
        </w:rPr>
      </w:pPr>
      <w:r w:rsidRPr="00C02130">
        <w:rPr>
          <w:rFonts w:cstheme="minorHAnsi"/>
          <w:color w:val="000000"/>
        </w:rPr>
        <w:t>-sostegno alle attività di call center ed accoglienza in emergenza di</w:t>
      </w:r>
      <w:r>
        <w:rPr>
          <w:rFonts w:cstheme="minorHAnsi"/>
          <w:color w:val="000000"/>
        </w:rPr>
        <w:t xml:space="preserve"> </w:t>
      </w:r>
      <w:r w:rsidRPr="00C02130">
        <w:rPr>
          <w:rFonts w:cstheme="minorHAnsi"/>
          <w:color w:val="000000"/>
        </w:rPr>
        <w:t>gestanti, madri sole con bambino in situazione di svantaggio e di</w:t>
      </w:r>
      <w:r>
        <w:rPr>
          <w:rFonts w:cstheme="minorHAnsi"/>
          <w:color w:val="000000"/>
        </w:rPr>
        <w:t xml:space="preserve"> </w:t>
      </w:r>
      <w:r w:rsidRPr="00C02130">
        <w:rPr>
          <w:rFonts w:cstheme="minorHAnsi"/>
          <w:color w:val="000000"/>
        </w:rPr>
        <w:t>fragilità attraverso la messa a disposizione del servizio di call center H</w:t>
      </w:r>
      <w:r>
        <w:rPr>
          <w:rFonts w:cstheme="minorHAnsi"/>
          <w:color w:val="000000"/>
        </w:rPr>
        <w:t xml:space="preserve"> </w:t>
      </w:r>
      <w:r w:rsidRPr="00C02130">
        <w:rPr>
          <w:rFonts w:cstheme="minorHAnsi"/>
          <w:color w:val="000000"/>
        </w:rPr>
        <w:t xml:space="preserve">24, ore </w:t>
      </w:r>
      <w:r w:rsidRPr="00C02130">
        <w:rPr>
          <w:rFonts w:cstheme="minorHAnsi"/>
          <w:color w:val="000000"/>
        </w:rPr>
        <w:lastRenderedPageBreak/>
        <w:t>notturne e giorni festivi inclusi, compreso il servizio di</w:t>
      </w:r>
      <w:r>
        <w:rPr>
          <w:rFonts w:cstheme="minorHAnsi"/>
          <w:color w:val="000000"/>
        </w:rPr>
        <w:t xml:space="preserve"> </w:t>
      </w:r>
      <w:r w:rsidRPr="00C02130">
        <w:rPr>
          <w:rFonts w:cstheme="minorHAnsi"/>
          <w:color w:val="000000"/>
        </w:rPr>
        <w:t>mediazione interculturale e di accoglienza di pronto intervento in</w:t>
      </w:r>
      <w:r>
        <w:rPr>
          <w:rFonts w:cstheme="minorHAnsi"/>
          <w:color w:val="000000"/>
        </w:rPr>
        <w:t xml:space="preserve"> </w:t>
      </w:r>
      <w:r w:rsidRPr="00C02130">
        <w:rPr>
          <w:rFonts w:cstheme="minorHAnsi"/>
          <w:color w:val="000000"/>
        </w:rPr>
        <w:t>favore di donne gestanti, nuclei madri con bambini in condizioni di</w:t>
      </w:r>
      <w:r>
        <w:rPr>
          <w:rFonts w:cstheme="minorHAnsi"/>
          <w:color w:val="000000"/>
        </w:rPr>
        <w:t xml:space="preserve"> </w:t>
      </w:r>
      <w:r w:rsidRPr="00C02130">
        <w:rPr>
          <w:rFonts w:cstheme="minorHAnsi"/>
          <w:color w:val="000000"/>
        </w:rPr>
        <w:t>fragilità e svantaggio e a rischio di esclusione sociale.</w:t>
      </w:r>
    </w:p>
    <w:p w:rsidR="00D37CE7" w:rsidRPr="00C02130" w:rsidRDefault="00D37CE7" w:rsidP="00D37CE7">
      <w:pPr>
        <w:autoSpaceDE w:val="0"/>
        <w:autoSpaceDN w:val="0"/>
        <w:adjustRightInd w:val="0"/>
        <w:spacing w:after="0" w:line="20" w:lineRule="atLeast"/>
        <w:jc w:val="both"/>
        <w:rPr>
          <w:rFonts w:cstheme="minorHAnsi"/>
          <w:b/>
          <w:bCs/>
          <w:color w:val="000000"/>
        </w:rPr>
      </w:pPr>
      <w:r w:rsidRPr="00C02130">
        <w:rPr>
          <w:rFonts w:cstheme="minorHAnsi"/>
          <w:b/>
          <w:bCs/>
          <w:color w:val="000000"/>
        </w:rPr>
        <w:t>DESTINATARI DEL</w:t>
      </w:r>
      <w:r>
        <w:rPr>
          <w:rFonts w:cstheme="minorHAnsi"/>
          <w:b/>
          <w:bCs/>
          <w:color w:val="000000"/>
        </w:rPr>
        <w:t xml:space="preserve"> </w:t>
      </w:r>
      <w:r w:rsidRPr="00C02130">
        <w:rPr>
          <w:rFonts w:cstheme="minorHAnsi"/>
          <w:b/>
          <w:bCs/>
          <w:color w:val="000000"/>
        </w:rPr>
        <w:t>FINANZIAMENTO</w:t>
      </w:r>
    </w:p>
    <w:p w:rsidR="00D37CE7" w:rsidRPr="00C02130" w:rsidRDefault="00D37CE7" w:rsidP="00D37CE7">
      <w:pPr>
        <w:autoSpaceDE w:val="0"/>
        <w:autoSpaceDN w:val="0"/>
        <w:adjustRightInd w:val="0"/>
        <w:spacing w:after="0" w:line="20" w:lineRule="atLeast"/>
        <w:jc w:val="both"/>
        <w:rPr>
          <w:rFonts w:cstheme="minorHAnsi"/>
          <w:color w:val="000000"/>
        </w:rPr>
      </w:pPr>
      <w:r w:rsidRPr="00C02130">
        <w:rPr>
          <w:rFonts w:cstheme="minorHAnsi"/>
          <w:color w:val="000000"/>
        </w:rPr>
        <w:t>Il finanziamento è finalizzato al sostegno delle attività in precedenza</w:t>
      </w:r>
      <w:r>
        <w:rPr>
          <w:rFonts w:cstheme="minorHAnsi"/>
          <w:color w:val="000000"/>
        </w:rPr>
        <w:t xml:space="preserve"> </w:t>
      </w:r>
      <w:r w:rsidRPr="00C02130">
        <w:rPr>
          <w:rFonts w:cstheme="minorHAnsi"/>
          <w:color w:val="000000"/>
        </w:rPr>
        <w:t>descritte, svolte rispettivamente da:</w:t>
      </w:r>
    </w:p>
    <w:p w:rsidR="00D37CE7" w:rsidRPr="00C02130" w:rsidRDefault="00D37CE7" w:rsidP="00D37CE7">
      <w:pPr>
        <w:autoSpaceDE w:val="0"/>
        <w:autoSpaceDN w:val="0"/>
        <w:adjustRightInd w:val="0"/>
        <w:spacing w:after="0" w:line="20" w:lineRule="atLeast"/>
        <w:jc w:val="both"/>
        <w:rPr>
          <w:rFonts w:cstheme="minorHAnsi"/>
          <w:color w:val="000000"/>
        </w:rPr>
      </w:pPr>
      <w:r w:rsidRPr="00C02130">
        <w:rPr>
          <w:rFonts w:cstheme="minorHAnsi"/>
          <w:color w:val="000000"/>
        </w:rPr>
        <w:t>- Centri per le Famiglie, ed afferenti all’ambito generale del sostegno</w:t>
      </w:r>
      <w:r>
        <w:rPr>
          <w:rFonts w:cstheme="minorHAnsi"/>
          <w:color w:val="000000"/>
        </w:rPr>
        <w:t xml:space="preserve"> </w:t>
      </w:r>
      <w:r w:rsidRPr="00C02130">
        <w:rPr>
          <w:rFonts w:cstheme="minorHAnsi"/>
          <w:color w:val="000000"/>
        </w:rPr>
        <w:t>alla genitorialità ed alla cura dei legami familiari in ottica preventiva, a</w:t>
      </w:r>
      <w:r>
        <w:rPr>
          <w:rFonts w:cstheme="minorHAnsi"/>
          <w:color w:val="000000"/>
        </w:rPr>
        <w:t xml:space="preserve"> </w:t>
      </w:r>
      <w:r w:rsidRPr="00C02130">
        <w:rPr>
          <w:rFonts w:cstheme="minorHAnsi"/>
          <w:color w:val="000000"/>
        </w:rPr>
        <w:t>sostegno del benessere delle famiglie e di contrasto al disagio</w:t>
      </w:r>
      <w:r>
        <w:rPr>
          <w:rFonts w:cstheme="minorHAnsi"/>
          <w:color w:val="000000"/>
        </w:rPr>
        <w:t xml:space="preserve"> </w:t>
      </w:r>
      <w:r w:rsidRPr="00C02130">
        <w:rPr>
          <w:rFonts w:cstheme="minorHAnsi"/>
          <w:color w:val="000000"/>
        </w:rPr>
        <w:t>minorile.</w:t>
      </w:r>
    </w:p>
    <w:p w:rsidR="00D37CE7" w:rsidRPr="00C02130" w:rsidRDefault="00D37CE7" w:rsidP="00D37CE7">
      <w:pPr>
        <w:autoSpaceDE w:val="0"/>
        <w:autoSpaceDN w:val="0"/>
        <w:adjustRightInd w:val="0"/>
        <w:spacing w:after="0" w:line="20" w:lineRule="atLeast"/>
        <w:jc w:val="both"/>
        <w:rPr>
          <w:rFonts w:cstheme="minorHAnsi"/>
          <w:color w:val="000000"/>
        </w:rPr>
      </w:pPr>
      <w:r w:rsidRPr="00C02130">
        <w:rPr>
          <w:rFonts w:cstheme="minorHAnsi"/>
          <w:color w:val="000000"/>
        </w:rPr>
        <w:t>- Enti gestori delle funzioni socio-assistenziali che abbiano erogato</w:t>
      </w:r>
      <w:r>
        <w:rPr>
          <w:rFonts w:cstheme="minorHAnsi"/>
          <w:color w:val="000000"/>
        </w:rPr>
        <w:t xml:space="preserve"> </w:t>
      </w:r>
      <w:r w:rsidRPr="00C02130">
        <w:rPr>
          <w:rFonts w:cstheme="minorHAnsi"/>
          <w:color w:val="000000"/>
        </w:rPr>
        <w:t>finanziamenti a sostegno delle famiglie adottive di minori di età</w:t>
      </w:r>
      <w:r>
        <w:rPr>
          <w:rFonts w:cstheme="minorHAnsi"/>
          <w:color w:val="000000"/>
        </w:rPr>
        <w:t xml:space="preserve"> </w:t>
      </w:r>
      <w:r w:rsidRPr="00C02130">
        <w:rPr>
          <w:rFonts w:cstheme="minorHAnsi"/>
          <w:color w:val="000000"/>
        </w:rPr>
        <w:t>superiore ai 12 anni e/o con handicap accertato.</w:t>
      </w:r>
    </w:p>
    <w:p w:rsidR="00D37CE7" w:rsidRPr="00C02130" w:rsidRDefault="00D37CE7" w:rsidP="00D37CE7">
      <w:pPr>
        <w:autoSpaceDE w:val="0"/>
        <w:autoSpaceDN w:val="0"/>
        <w:adjustRightInd w:val="0"/>
        <w:spacing w:after="0" w:line="20" w:lineRule="atLeast"/>
        <w:jc w:val="both"/>
        <w:rPr>
          <w:rFonts w:cstheme="minorHAnsi"/>
          <w:color w:val="000000"/>
        </w:rPr>
      </w:pPr>
      <w:r w:rsidRPr="00C02130">
        <w:rPr>
          <w:rFonts w:cstheme="minorHAnsi"/>
          <w:color w:val="000000"/>
        </w:rPr>
        <w:t>- Associazione Gruppi di Volontariato Vincenziano e Comune di Torino</w:t>
      </w:r>
      <w:r>
        <w:rPr>
          <w:rFonts w:cstheme="minorHAnsi"/>
          <w:color w:val="000000"/>
        </w:rPr>
        <w:t xml:space="preserve"> </w:t>
      </w:r>
      <w:r w:rsidRPr="00C02130">
        <w:rPr>
          <w:rFonts w:cstheme="minorHAnsi"/>
          <w:color w:val="000000"/>
        </w:rPr>
        <w:t>che gestiscono tutte le attività inerenti il progetto “Call center ed</w:t>
      </w:r>
      <w:r>
        <w:rPr>
          <w:rFonts w:cstheme="minorHAnsi"/>
          <w:color w:val="000000"/>
        </w:rPr>
        <w:t xml:space="preserve"> </w:t>
      </w:r>
      <w:r w:rsidRPr="00C02130">
        <w:rPr>
          <w:rFonts w:cstheme="minorHAnsi"/>
          <w:color w:val="000000"/>
        </w:rPr>
        <w:t>accoglienza in emergenza di gestanti, madri sole con bambino”.</w:t>
      </w:r>
    </w:p>
    <w:p w:rsidR="00D37CE7" w:rsidRPr="00C02130" w:rsidRDefault="00D37CE7" w:rsidP="00D37CE7">
      <w:pPr>
        <w:autoSpaceDE w:val="0"/>
        <w:autoSpaceDN w:val="0"/>
        <w:adjustRightInd w:val="0"/>
        <w:spacing w:after="0" w:line="20" w:lineRule="atLeast"/>
        <w:jc w:val="both"/>
        <w:rPr>
          <w:rFonts w:cstheme="minorHAnsi"/>
          <w:color w:val="000000"/>
        </w:rPr>
      </w:pPr>
      <w:r w:rsidRPr="00C02130">
        <w:rPr>
          <w:rFonts w:cstheme="minorHAnsi"/>
          <w:color w:val="000000"/>
        </w:rPr>
        <w:t>I destinatari sono:</w:t>
      </w:r>
    </w:p>
    <w:p w:rsidR="00D37CE7" w:rsidRPr="00C02130" w:rsidRDefault="00D37CE7" w:rsidP="00D37CE7">
      <w:pPr>
        <w:autoSpaceDE w:val="0"/>
        <w:autoSpaceDN w:val="0"/>
        <w:adjustRightInd w:val="0"/>
        <w:spacing w:after="0" w:line="20" w:lineRule="atLeast"/>
        <w:jc w:val="both"/>
        <w:rPr>
          <w:rFonts w:cstheme="minorHAnsi"/>
          <w:color w:val="000000"/>
        </w:rPr>
      </w:pPr>
      <w:r w:rsidRPr="00C02130">
        <w:rPr>
          <w:rFonts w:cstheme="minorHAnsi"/>
          <w:color w:val="000000"/>
        </w:rPr>
        <w:t xml:space="preserve">- </w:t>
      </w:r>
      <w:r w:rsidRPr="00C02130">
        <w:rPr>
          <w:rFonts w:cstheme="minorHAnsi"/>
          <w:b/>
          <w:bCs/>
          <w:color w:val="000000"/>
        </w:rPr>
        <w:t>n. 40 Centri per le Famiglie a titolarità pubblica</w:t>
      </w:r>
      <w:r w:rsidRPr="00C02130">
        <w:rPr>
          <w:rFonts w:cstheme="minorHAnsi"/>
          <w:color w:val="000000"/>
        </w:rPr>
        <w:t>, attivati dai</w:t>
      </w:r>
      <w:r>
        <w:rPr>
          <w:rFonts w:cstheme="minorHAnsi"/>
          <w:color w:val="000000"/>
        </w:rPr>
        <w:t xml:space="preserve"> </w:t>
      </w:r>
      <w:r w:rsidRPr="00C02130">
        <w:rPr>
          <w:rFonts w:cstheme="minorHAnsi"/>
          <w:color w:val="000000"/>
        </w:rPr>
        <w:t>Soggetti gestori delle funzioni socio-assistenziali piemontesi, attraverso</w:t>
      </w:r>
      <w:r>
        <w:rPr>
          <w:rFonts w:cstheme="minorHAnsi"/>
          <w:color w:val="000000"/>
        </w:rPr>
        <w:t xml:space="preserve"> </w:t>
      </w:r>
      <w:r w:rsidRPr="00C02130">
        <w:rPr>
          <w:rFonts w:cstheme="minorHAnsi"/>
          <w:color w:val="000000"/>
        </w:rPr>
        <w:t xml:space="preserve">la suddivisione della quota </w:t>
      </w:r>
      <w:proofErr w:type="gramStart"/>
      <w:r w:rsidRPr="00C02130">
        <w:rPr>
          <w:rFonts w:cstheme="minorHAnsi"/>
          <w:color w:val="000000"/>
        </w:rPr>
        <w:t>dell’ 80</w:t>
      </w:r>
      <w:proofErr w:type="gramEnd"/>
      <w:r w:rsidRPr="00C02130">
        <w:rPr>
          <w:rFonts w:cstheme="minorHAnsi"/>
          <w:color w:val="000000"/>
        </w:rPr>
        <w:t>% del budget disponibile tra i</w:t>
      </w:r>
      <w:r>
        <w:rPr>
          <w:rFonts w:cstheme="minorHAnsi"/>
          <w:color w:val="000000"/>
        </w:rPr>
        <w:t xml:space="preserve"> </w:t>
      </w:r>
      <w:r w:rsidRPr="00C02130">
        <w:rPr>
          <w:rFonts w:cstheme="minorHAnsi"/>
          <w:color w:val="000000"/>
        </w:rPr>
        <w:t>soggetti gestori delle funzioni socio-assistenziali che, in base al</w:t>
      </w:r>
      <w:r>
        <w:rPr>
          <w:rFonts w:cstheme="minorHAnsi"/>
          <w:color w:val="000000"/>
        </w:rPr>
        <w:t xml:space="preserve"> </w:t>
      </w:r>
      <w:r w:rsidRPr="00C02130">
        <w:rPr>
          <w:rFonts w:cstheme="minorHAnsi"/>
          <w:color w:val="000000"/>
        </w:rPr>
        <w:t>monitoraggio nazionale attivato a dicembre 2017, risultino titolari di un</w:t>
      </w:r>
      <w:r>
        <w:rPr>
          <w:rFonts w:cstheme="minorHAnsi"/>
          <w:color w:val="000000"/>
        </w:rPr>
        <w:t xml:space="preserve"> </w:t>
      </w:r>
      <w:r w:rsidRPr="00C02130">
        <w:rPr>
          <w:rFonts w:cstheme="minorHAnsi"/>
          <w:color w:val="000000"/>
        </w:rPr>
        <w:t>centro per le famiglie, istituito ed operante ai sensi dell’art. 42 della LR</w:t>
      </w:r>
      <w:r>
        <w:rPr>
          <w:rFonts w:cstheme="minorHAnsi"/>
          <w:color w:val="000000"/>
        </w:rPr>
        <w:t xml:space="preserve"> </w:t>
      </w:r>
      <w:r w:rsidRPr="00C02130">
        <w:rPr>
          <w:rFonts w:cstheme="minorHAnsi"/>
          <w:color w:val="000000"/>
        </w:rPr>
        <w:t>1/2004.</w:t>
      </w:r>
    </w:p>
    <w:p w:rsidR="00D37CE7" w:rsidRPr="00C02130" w:rsidRDefault="00D37CE7" w:rsidP="00D37CE7">
      <w:pPr>
        <w:autoSpaceDE w:val="0"/>
        <w:autoSpaceDN w:val="0"/>
        <w:adjustRightInd w:val="0"/>
        <w:spacing w:after="0" w:line="20" w:lineRule="atLeast"/>
        <w:jc w:val="both"/>
        <w:rPr>
          <w:rFonts w:cstheme="minorHAnsi"/>
          <w:color w:val="000000"/>
        </w:rPr>
      </w:pPr>
      <w:r w:rsidRPr="00C02130">
        <w:rPr>
          <w:rFonts w:cstheme="minorHAnsi"/>
          <w:color w:val="000000"/>
        </w:rPr>
        <w:t>I fondi disponibili saranno suddivisi in quota uguale tra tutti gli enti</w:t>
      </w:r>
      <w:r>
        <w:rPr>
          <w:rFonts w:cstheme="minorHAnsi"/>
          <w:color w:val="000000"/>
        </w:rPr>
        <w:t xml:space="preserve"> </w:t>
      </w:r>
      <w:r w:rsidRPr="00C02130">
        <w:rPr>
          <w:rFonts w:cstheme="minorHAnsi"/>
          <w:color w:val="000000"/>
        </w:rPr>
        <w:t>titolari dei Centri per le Famiglie. Al fine di tener conto della particolare</w:t>
      </w:r>
      <w:r>
        <w:rPr>
          <w:rFonts w:cstheme="minorHAnsi"/>
          <w:color w:val="000000"/>
        </w:rPr>
        <w:t xml:space="preserve"> </w:t>
      </w:r>
      <w:r w:rsidRPr="00C02130">
        <w:rPr>
          <w:rFonts w:cstheme="minorHAnsi"/>
          <w:color w:val="000000"/>
        </w:rPr>
        <w:t>dimensione territoriale e demografica e delle caratteristiche dell’utenza</w:t>
      </w:r>
      <w:r>
        <w:rPr>
          <w:rFonts w:cstheme="minorHAnsi"/>
          <w:color w:val="000000"/>
        </w:rPr>
        <w:t xml:space="preserve"> </w:t>
      </w:r>
      <w:r w:rsidRPr="00C02130">
        <w:rPr>
          <w:rFonts w:cstheme="minorHAnsi"/>
          <w:color w:val="000000"/>
        </w:rPr>
        <w:t>della Città di Torino, la quota da assegnarsi a tale Ente sarà pari alla</w:t>
      </w:r>
      <w:r>
        <w:rPr>
          <w:rFonts w:cstheme="minorHAnsi"/>
          <w:color w:val="000000"/>
        </w:rPr>
        <w:t xml:space="preserve"> </w:t>
      </w:r>
      <w:r w:rsidRPr="00C02130">
        <w:rPr>
          <w:rFonts w:cstheme="minorHAnsi"/>
          <w:color w:val="000000"/>
        </w:rPr>
        <w:t>quota singola moltiplicata per 4.</w:t>
      </w:r>
    </w:p>
    <w:p w:rsidR="00D37CE7" w:rsidRPr="00C02130" w:rsidRDefault="00D37CE7" w:rsidP="00D37CE7">
      <w:pPr>
        <w:autoSpaceDE w:val="0"/>
        <w:autoSpaceDN w:val="0"/>
        <w:adjustRightInd w:val="0"/>
        <w:spacing w:after="0" w:line="20" w:lineRule="atLeast"/>
        <w:jc w:val="both"/>
        <w:rPr>
          <w:rFonts w:cstheme="minorHAnsi"/>
          <w:color w:val="000000"/>
        </w:rPr>
      </w:pPr>
      <w:r w:rsidRPr="00C02130">
        <w:rPr>
          <w:rFonts w:cstheme="minorHAnsi"/>
          <w:color w:val="000000"/>
        </w:rPr>
        <w:t>La restante quota del 20% sarà ripartita tra i soggetti gestori delle</w:t>
      </w:r>
      <w:r>
        <w:rPr>
          <w:rFonts w:cstheme="minorHAnsi"/>
          <w:color w:val="000000"/>
        </w:rPr>
        <w:t xml:space="preserve"> </w:t>
      </w:r>
      <w:r w:rsidRPr="00C02130">
        <w:rPr>
          <w:rFonts w:cstheme="minorHAnsi"/>
          <w:color w:val="000000"/>
        </w:rPr>
        <w:t>funzioni socio-assistenziali che, sia pure in assenza di un centro per le</w:t>
      </w:r>
      <w:r>
        <w:rPr>
          <w:rFonts w:cstheme="minorHAnsi"/>
          <w:color w:val="000000"/>
        </w:rPr>
        <w:t xml:space="preserve"> </w:t>
      </w:r>
      <w:r w:rsidRPr="00C02130">
        <w:rPr>
          <w:rFonts w:cstheme="minorHAnsi"/>
          <w:color w:val="000000"/>
        </w:rPr>
        <w:t>Famiglie, realizzano interventi di sostegno alla natalità.</w:t>
      </w:r>
    </w:p>
    <w:p w:rsidR="00D37CE7" w:rsidRPr="00C02130" w:rsidRDefault="00D37CE7" w:rsidP="00D37CE7">
      <w:pPr>
        <w:autoSpaceDE w:val="0"/>
        <w:autoSpaceDN w:val="0"/>
        <w:adjustRightInd w:val="0"/>
        <w:spacing w:after="0" w:line="20" w:lineRule="atLeast"/>
        <w:jc w:val="both"/>
        <w:rPr>
          <w:rFonts w:cstheme="minorHAnsi"/>
          <w:color w:val="000000"/>
        </w:rPr>
      </w:pPr>
      <w:r w:rsidRPr="00C02130">
        <w:rPr>
          <w:rFonts w:cstheme="minorHAnsi"/>
          <w:b/>
          <w:bCs/>
          <w:color w:val="000000"/>
        </w:rPr>
        <w:t>- gli Enti gestori delle funzioni socio-assistenziali della Regione</w:t>
      </w:r>
      <w:r>
        <w:rPr>
          <w:rFonts w:cstheme="minorHAnsi"/>
          <w:b/>
          <w:bCs/>
          <w:color w:val="000000"/>
        </w:rPr>
        <w:t xml:space="preserve"> </w:t>
      </w:r>
      <w:r w:rsidRPr="00C02130">
        <w:rPr>
          <w:rFonts w:cstheme="minorHAnsi"/>
          <w:b/>
          <w:bCs/>
          <w:color w:val="000000"/>
        </w:rPr>
        <w:t xml:space="preserve">Piemonte </w:t>
      </w:r>
      <w:r w:rsidRPr="00C02130">
        <w:rPr>
          <w:rFonts w:cstheme="minorHAnsi"/>
          <w:color w:val="000000"/>
        </w:rPr>
        <w:t>che abbiano erogato finanziamenti a sostegno delle famiglie</w:t>
      </w:r>
      <w:r>
        <w:rPr>
          <w:rFonts w:cstheme="minorHAnsi"/>
          <w:color w:val="000000"/>
        </w:rPr>
        <w:t xml:space="preserve"> </w:t>
      </w:r>
      <w:r w:rsidRPr="00C02130">
        <w:rPr>
          <w:rFonts w:cstheme="minorHAnsi"/>
          <w:color w:val="000000"/>
        </w:rPr>
        <w:t>adottive di minori di età superiore ai 12 anni e/o con handicap</w:t>
      </w:r>
      <w:r>
        <w:rPr>
          <w:rFonts w:cstheme="minorHAnsi"/>
          <w:color w:val="000000"/>
        </w:rPr>
        <w:t xml:space="preserve"> </w:t>
      </w:r>
      <w:r w:rsidRPr="00C02130">
        <w:rPr>
          <w:rFonts w:cstheme="minorHAnsi"/>
          <w:color w:val="000000"/>
        </w:rPr>
        <w:t>accertato.</w:t>
      </w:r>
    </w:p>
    <w:p w:rsidR="00D37CE7" w:rsidRPr="00C02130" w:rsidRDefault="00D37CE7" w:rsidP="00D37CE7">
      <w:pPr>
        <w:autoSpaceDE w:val="0"/>
        <w:autoSpaceDN w:val="0"/>
        <w:adjustRightInd w:val="0"/>
        <w:spacing w:after="0" w:line="20" w:lineRule="atLeast"/>
        <w:jc w:val="both"/>
        <w:rPr>
          <w:rFonts w:cstheme="minorHAnsi"/>
          <w:color w:val="000000"/>
        </w:rPr>
      </w:pPr>
      <w:r w:rsidRPr="00C02130">
        <w:rPr>
          <w:rFonts w:cstheme="minorHAnsi"/>
          <w:b/>
          <w:bCs/>
          <w:color w:val="000000"/>
        </w:rPr>
        <w:t>- Associazione Gruppi di Volontariato Vincenziano e Comune di</w:t>
      </w:r>
      <w:r>
        <w:rPr>
          <w:rFonts w:cstheme="minorHAnsi"/>
          <w:b/>
          <w:bCs/>
          <w:color w:val="000000"/>
        </w:rPr>
        <w:t xml:space="preserve"> </w:t>
      </w:r>
      <w:r w:rsidRPr="00C02130">
        <w:rPr>
          <w:rFonts w:cstheme="minorHAnsi"/>
          <w:b/>
          <w:bCs/>
          <w:color w:val="000000"/>
        </w:rPr>
        <w:t xml:space="preserve">Torino </w:t>
      </w:r>
      <w:r w:rsidRPr="00C02130">
        <w:rPr>
          <w:rFonts w:cstheme="minorHAnsi"/>
          <w:color w:val="000000"/>
        </w:rPr>
        <w:t>firmatari del protocollo d’intesa sottoscritto nel 2014 in qualità</w:t>
      </w:r>
      <w:r>
        <w:rPr>
          <w:rFonts w:cstheme="minorHAnsi"/>
          <w:color w:val="000000"/>
        </w:rPr>
        <w:t xml:space="preserve"> </w:t>
      </w:r>
      <w:r w:rsidRPr="00C02130">
        <w:rPr>
          <w:rFonts w:cstheme="minorHAnsi"/>
          <w:color w:val="000000"/>
        </w:rPr>
        <w:t>di gestori del servizio di ”Call Center ed accoglienza in emergenza di</w:t>
      </w:r>
      <w:r>
        <w:rPr>
          <w:rFonts w:cstheme="minorHAnsi"/>
          <w:color w:val="000000"/>
        </w:rPr>
        <w:t xml:space="preserve"> </w:t>
      </w:r>
      <w:r w:rsidRPr="00C02130">
        <w:rPr>
          <w:rFonts w:cstheme="minorHAnsi"/>
          <w:color w:val="000000"/>
        </w:rPr>
        <w:t>gestanti, madri sole con bambino”, attraverso il riconoscimento di un</w:t>
      </w:r>
      <w:r>
        <w:rPr>
          <w:rFonts w:cstheme="minorHAnsi"/>
          <w:color w:val="000000"/>
        </w:rPr>
        <w:t xml:space="preserve"> </w:t>
      </w:r>
      <w:r w:rsidRPr="00C02130">
        <w:rPr>
          <w:rFonts w:cstheme="minorHAnsi"/>
          <w:color w:val="000000"/>
        </w:rPr>
        <w:t>contributo economico a sostegno delle spese per lo svolgimento delle</w:t>
      </w:r>
      <w:r>
        <w:rPr>
          <w:rFonts w:cstheme="minorHAnsi"/>
          <w:color w:val="000000"/>
        </w:rPr>
        <w:t xml:space="preserve"> </w:t>
      </w:r>
      <w:r w:rsidRPr="00C02130">
        <w:rPr>
          <w:rFonts w:cstheme="minorHAnsi"/>
          <w:color w:val="000000"/>
        </w:rPr>
        <w:t>funzioni del Servizio di Call Center e di accoglienza in emergenza a</w:t>
      </w:r>
      <w:r>
        <w:rPr>
          <w:rFonts w:cstheme="minorHAnsi"/>
          <w:color w:val="000000"/>
        </w:rPr>
        <w:t xml:space="preserve"> </w:t>
      </w:r>
      <w:r w:rsidRPr="00C02130">
        <w:rPr>
          <w:rFonts w:cstheme="minorHAnsi"/>
          <w:color w:val="000000"/>
        </w:rPr>
        <w:t>favore delle gestanti e delle madri sole con bambino in situazione di</w:t>
      </w:r>
      <w:r>
        <w:rPr>
          <w:rFonts w:cstheme="minorHAnsi"/>
          <w:color w:val="000000"/>
        </w:rPr>
        <w:t xml:space="preserve"> </w:t>
      </w:r>
      <w:r w:rsidRPr="00C02130">
        <w:rPr>
          <w:rFonts w:cstheme="minorHAnsi"/>
          <w:color w:val="000000"/>
        </w:rPr>
        <w:t>difficoltà e a rischio di esclusione.</w:t>
      </w:r>
    </w:p>
    <w:p w:rsidR="00D37CE7" w:rsidRDefault="00D37CE7" w:rsidP="00D37CE7">
      <w:pPr>
        <w:autoSpaceDE w:val="0"/>
        <w:autoSpaceDN w:val="0"/>
        <w:adjustRightInd w:val="0"/>
        <w:spacing w:after="0" w:line="20" w:lineRule="atLeast"/>
        <w:jc w:val="both"/>
        <w:rPr>
          <w:rFonts w:cstheme="minorHAnsi"/>
          <w:color w:val="000000"/>
        </w:rPr>
      </w:pPr>
      <w:r w:rsidRPr="00C02130">
        <w:rPr>
          <w:rFonts w:cstheme="minorHAnsi"/>
          <w:color w:val="000000"/>
        </w:rPr>
        <w:t>SOGGETTI RESPONSABILI DEL</w:t>
      </w:r>
      <w:r>
        <w:rPr>
          <w:rFonts w:cstheme="minorHAnsi"/>
          <w:color w:val="000000"/>
        </w:rPr>
        <w:t xml:space="preserve"> </w:t>
      </w:r>
      <w:r w:rsidRPr="00C02130">
        <w:rPr>
          <w:rFonts w:cstheme="minorHAnsi"/>
          <w:color w:val="000000"/>
        </w:rPr>
        <w:t>MONITORAGGIO E VALUTAZIONE</w:t>
      </w:r>
    </w:p>
    <w:p w:rsidR="00D37CE7" w:rsidRPr="00A97A19" w:rsidRDefault="00D37CE7" w:rsidP="00D37CE7">
      <w:pPr>
        <w:autoSpaceDE w:val="0"/>
        <w:autoSpaceDN w:val="0"/>
        <w:adjustRightInd w:val="0"/>
        <w:spacing w:after="0" w:line="20" w:lineRule="atLeast"/>
        <w:jc w:val="both"/>
        <w:rPr>
          <w:rFonts w:cstheme="minorHAnsi"/>
          <w:b/>
          <w:color w:val="000000"/>
        </w:rPr>
      </w:pPr>
      <w:r w:rsidRPr="00A97A19">
        <w:rPr>
          <w:rFonts w:cstheme="minorHAnsi"/>
          <w:b/>
          <w:color w:val="000000"/>
        </w:rPr>
        <w:t>NB</w:t>
      </w:r>
    </w:p>
    <w:p w:rsidR="00D37CE7" w:rsidRPr="00A97A19" w:rsidRDefault="00D37CE7" w:rsidP="00D37CE7">
      <w:pPr>
        <w:autoSpaceDE w:val="0"/>
        <w:autoSpaceDN w:val="0"/>
        <w:adjustRightInd w:val="0"/>
        <w:spacing w:after="0" w:line="20" w:lineRule="atLeast"/>
        <w:jc w:val="both"/>
        <w:rPr>
          <w:rFonts w:cstheme="minorHAnsi"/>
          <w:b/>
          <w:color w:val="000000"/>
        </w:rPr>
      </w:pPr>
      <w:r w:rsidRPr="00A97A19">
        <w:rPr>
          <w:rFonts w:cstheme="minorHAnsi"/>
          <w:b/>
          <w:color w:val="000000"/>
        </w:rPr>
        <w:t xml:space="preserve">SI FA RNVIO ALLA </w:t>
      </w:r>
      <w:proofErr w:type="gramStart"/>
      <w:r w:rsidRPr="00A97A19">
        <w:rPr>
          <w:rFonts w:cstheme="minorHAnsi"/>
          <w:b/>
          <w:color w:val="000000"/>
        </w:rPr>
        <w:t>LETTURA  INTEGRALE</w:t>
      </w:r>
      <w:proofErr w:type="gramEnd"/>
      <w:r w:rsidRPr="00A97A19">
        <w:rPr>
          <w:rFonts w:cstheme="minorHAnsi"/>
          <w:b/>
          <w:color w:val="000000"/>
        </w:rPr>
        <w:t xml:space="preserve"> DEL TESTO </w:t>
      </w:r>
    </w:p>
    <w:p w:rsidR="00D37CE7" w:rsidRPr="00A97A19" w:rsidRDefault="00D37CE7" w:rsidP="00D37CE7">
      <w:pPr>
        <w:autoSpaceDE w:val="0"/>
        <w:autoSpaceDN w:val="0"/>
        <w:adjustRightInd w:val="0"/>
        <w:spacing w:after="0" w:line="240" w:lineRule="auto"/>
        <w:jc w:val="both"/>
        <w:rPr>
          <w:rFonts w:ascii="Times New Roman" w:hAnsi="Times New Roman" w:cs="Times New Roman"/>
          <w:b/>
          <w:sz w:val="24"/>
          <w:szCs w:val="24"/>
        </w:rPr>
      </w:pPr>
    </w:p>
    <w:p w:rsidR="00D37CE7" w:rsidRPr="00A97A19" w:rsidRDefault="00D37CE7" w:rsidP="00D37CE7">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40" w:lineRule="auto"/>
        <w:jc w:val="center"/>
        <w:rPr>
          <w:rFonts w:cstheme="minorHAnsi"/>
          <w:b/>
        </w:rPr>
      </w:pPr>
      <w:r w:rsidRPr="00A97A19">
        <w:rPr>
          <w:rFonts w:cstheme="minorHAnsi"/>
          <w:b/>
        </w:rPr>
        <w:t>IMMIGRATI</w:t>
      </w:r>
    </w:p>
    <w:p w:rsidR="00D37CE7" w:rsidRDefault="00D37CE7" w:rsidP="00D37CE7">
      <w:pPr>
        <w:autoSpaceDE w:val="0"/>
        <w:autoSpaceDN w:val="0"/>
        <w:adjustRightInd w:val="0"/>
        <w:spacing w:after="0" w:line="240" w:lineRule="auto"/>
        <w:jc w:val="both"/>
        <w:rPr>
          <w:rFonts w:ascii="Times New Roman" w:hAnsi="Times New Roman" w:cs="Times New Roman"/>
          <w:b/>
          <w:sz w:val="24"/>
          <w:szCs w:val="24"/>
        </w:rPr>
      </w:pPr>
    </w:p>
    <w:p w:rsidR="000657D3" w:rsidRDefault="000657D3" w:rsidP="000657D3">
      <w:pPr>
        <w:spacing w:after="0" w:line="20" w:lineRule="atLeast"/>
        <w:jc w:val="both"/>
        <w:rPr>
          <w:rFonts w:cstheme="minorHAnsi"/>
        </w:rPr>
      </w:pPr>
      <w:r w:rsidRPr="00C7249D">
        <w:rPr>
          <w:rFonts w:cstheme="minorHAnsi"/>
          <w:b/>
        </w:rPr>
        <w:t>D.D. 18 giugno 2019, n. 840</w:t>
      </w:r>
      <w:r w:rsidRPr="006B0B81">
        <w:rPr>
          <w:rFonts w:cstheme="minorHAnsi"/>
        </w:rPr>
        <w:t xml:space="preserve"> Progetto “InterAzioni in Piemonte 2” (prog. 2364), finanziato a valere sul Fondo Asilo Migrazione Integrazione (FAMI) 2014/2020 CUP J69F18000640007. Approvazione dell’ampliamento del partenariato, dello schema di Convenzione con gli enti partner, dell’informativa e delle istruzioni ai sensi degli artt. 13 e 28 del RGPD e del riparto fondi tra gli enti partner di progetto. </w:t>
      </w:r>
      <w:r>
        <w:rPr>
          <w:rFonts w:cstheme="minorHAnsi"/>
        </w:rPr>
        <w:t xml:space="preserve">(BUR n, 32 </w:t>
      </w:r>
      <w:proofErr w:type="gramStart"/>
      <w:r>
        <w:rPr>
          <w:rFonts w:cstheme="minorHAnsi"/>
        </w:rPr>
        <w:t>dell’ 8.8.19</w:t>
      </w:r>
      <w:proofErr w:type="gramEnd"/>
      <w:r>
        <w:rPr>
          <w:rFonts w:cstheme="minorHAnsi"/>
        </w:rPr>
        <w:t>)</w:t>
      </w:r>
    </w:p>
    <w:p w:rsidR="000657D3" w:rsidRPr="00C7249D" w:rsidRDefault="000657D3" w:rsidP="000657D3">
      <w:pPr>
        <w:spacing w:after="0" w:line="20" w:lineRule="atLeast"/>
        <w:jc w:val="both"/>
        <w:rPr>
          <w:rFonts w:cstheme="minorHAnsi"/>
          <w:b/>
        </w:rPr>
      </w:pPr>
      <w:r w:rsidRPr="00C7249D">
        <w:rPr>
          <w:rFonts w:cstheme="minorHAnsi"/>
          <w:b/>
        </w:rPr>
        <w:t>Note</w:t>
      </w:r>
    </w:p>
    <w:p w:rsidR="000657D3" w:rsidRDefault="000657D3" w:rsidP="000657D3">
      <w:pPr>
        <w:spacing w:after="0" w:line="20" w:lineRule="atLeast"/>
        <w:jc w:val="both"/>
        <w:rPr>
          <w:rFonts w:cstheme="minorHAnsi"/>
        </w:rPr>
      </w:pPr>
      <w:r>
        <w:rPr>
          <w:rFonts w:cstheme="minorHAnsi"/>
        </w:rPr>
        <w:t xml:space="preserve">Viene </w:t>
      </w:r>
      <w:proofErr w:type="gramStart"/>
      <w:r w:rsidRPr="006B0B81">
        <w:rPr>
          <w:rFonts w:cstheme="minorHAnsi"/>
        </w:rPr>
        <w:t>approva</w:t>
      </w:r>
      <w:r>
        <w:rPr>
          <w:rFonts w:cstheme="minorHAnsi"/>
        </w:rPr>
        <w:t xml:space="preserve">to </w:t>
      </w:r>
      <w:r w:rsidRPr="006B0B81">
        <w:rPr>
          <w:rFonts w:cstheme="minorHAnsi"/>
        </w:rPr>
        <w:t xml:space="preserve"> il</w:t>
      </w:r>
      <w:proofErr w:type="gramEnd"/>
      <w:r w:rsidRPr="006B0B81">
        <w:rPr>
          <w:rFonts w:cstheme="minorHAnsi"/>
        </w:rPr>
        <w:t xml:space="preserve"> riparto fra i partner di progetto,</w:t>
      </w:r>
      <w:r>
        <w:rPr>
          <w:rFonts w:cstheme="minorHAnsi"/>
        </w:rPr>
        <w:t xml:space="preserve"> e </w:t>
      </w:r>
      <w:r w:rsidRPr="006B0B81">
        <w:rPr>
          <w:rFonts w:cstheme="minorHAnsi"/>
        </w:rPr>
        <w:t xml:space="preserve"> liquida</w:t>
      </w:r>
      <w:r>
        <w:rPr>
          <w:rFonts w:cstheme="minorHAnsi"/>
        </w:rPr>
        <w:t xml:space="preserve">ta </w:t>
      </w:r>
      <w:r w:rsidRPr="006B0B81">
        <w:rPr>
          <w:rFonts w:cstheme="minorHAnsi"/>
        </w:rPr>
        <w:t>la somma pari a euro 37.450,00 a favore dei seguenti nuovi partner pubblici: Consorzio Intercomunale Servizi Socio Assistenziali Biella e Consorzio Intercomunale Servizi Socio Assistenziali Borgomanero al fine di avviare le attività progettuali sui territori di loro competenza</w:t>
      </w:r>
      <w:r>
        <w:rPr>
          <w:rFonts w:cstheme="minorHAnsi"/>
        </w:rPr>
        <w:t>.</w:t>
      </w:r>
    </w:p>
    <w:p w:rsidR="000657D3" w:rsidRDefault="000657D3" w:rsidP="000657D3">
      <w:pPr>
        <w:spacing w:after="0" w:line="20" w:lineRule="atLeast"/>
        <w:jc w:val="both"/>
        <w:rPr>
          <w:rFonts w:cstheme="minorHAnsi"/>
        </w:rPr>
      </w:pPr>
      <w:r>
        <w:rPr>
          <w:rFonts w:cstheme="minorHAnsi"/>
        </w:rPr>
        <w:t>Viene altresì l</w:t>
      </w:r>
      <w:r w:rsidRPr="006B0B81">
        <w:rPr>
          <w:rFonts w:cstheme="minorHAnsi"/>
        </w:rPr>
        <w:t>iquida</w:t>
      </w:r>
      <w:r>
        <w:rPr>
          <w:rFonts w:cstheme="minorHAnsi"/>
        </w:rPr>
        <w:t xml:space="preserve">ta </w:t>
      </w:r>
      <w:r w:rsidRPr="006B0B81">
        <w:rPr>
          <w:rFonts w:cstheme="minorHAnsi"/>
        </w:rPr>
        <w:t>la somma pari a euro 125.330,17 a favore dei seguenti partner pubblici Consorzio Monviso Solidale e Ires Piemonte per far fronte alle nuove esigenze emerse</w:t>
      </w:r>
      <w:r>
        <w:rPr>
          <w:rFonts w:cstheme="minorHAnsi"/>
        </w:rPr>
        <w:t>.</w:t>
      </w:r>
    </w:p>
    <w:p w:rsidR="000657D3" w:rsidRDefault="000657D3" w:rsidP="000657D3">
      <w:pPr>
        <w:spacing w:after="0" w:line="20" w:lineRule="atLeast"/>
        <w:jc w:val="both"/>
        <w:rPr>
          <w:rFonts w:cstheme="minorHAnsi"/>
        </w:rPr>
      </w:pPr>
      <w:r>
        <w:rPr>
          <w:rFonts w:cstheme="minorHAnsi"/>
        </w:rPr>
        <w:t xml:space="preserve">Viene </w:t>
      </w:r>
      <w:proofErr w:type="gramStart"/>
      <w:r w:rsidRPr="006B0B81">
        <w:rPr>
          <w:rFonts w:cstheme="minorHAnsi"/>
        </w:rPr>
        <w:t>approva</w:t>
      </w:r>
      <w:r>
        <w:rPr>
          <w:rFonts w:cstheme="minorHAnsi"/>
        </w:rPr>
        <w:t xml:space="preserve">to </w:t>
      </w:r>
      <w:r w:rsidRPr="006B0B81">
        <w:rPr>
          <w:rFonts w:cstheme="minorHAnsi"/>
        </w:rPr>
        <w:t xml:space="preserve"> lo</w:t>
      </w:r>
      <w:proofErr w:type="gramEnd"/>
      <w:r w:rsidRPr="006B0B81">
        <w:rPr>
          <w:rFonts w:cstheme="minorHAnsi"/>
        </w:rPr>
        <w:t xml:space="preserve"> schema di Convenzione, tra la Regione Piemonte e i partner del progetto “InterAzioni in Piemonte 2”</w:t>
      </w:r>
      <w:r>
        <w:rPr>
          <w:rFonts w:cstheme="minorHAnsi"/>
        </w:rPr>
        <w:t>.</w:t>
      </w:r>
    </w:p>
    <w:p w:rsidR="000657D3" w:rsidRDefault="000657D3" w:rsidP="00D37CE7">
      <w:pPr>
        <w:autoSpaceDE w:val="0"/>
        <w:autoSpaceDN w:val="0"/>
        <w:adjustRightInd w:val="0"/>
        <w:spacing w:after="0" w:line="240" w:lineRule="auto"/>
        <w:jc w:val="both"/>
        <w:rPr>
          <w:rFonts w:ascii="Times New Roman" w:hAnsi="Times New Roman" w:cs="Times New Roman"/>
          <w:b/>
          <w:sz w:val="24"/>
          <w:szCs w:val="24"/>
        </w:rPr>
      </w:pPr>
    </w:p>
    <w:p w:rsidR="00625922" w:rsidRPr="00BC079D" w:rsidRDefault="00D37CE7" w:rsidP="00625922">
      <w:pPr>
        <w:autoSpaceDE w:val="0"/>
        <w:autoSpaceDN w:val="0"/>
        <w:adjustRightInd w:val="0"/>
        <w:spacing w:after="0" w:line="20" w:lineRule="atLeast"/>
        <w:jc w:val="both"/>
      </w:pPr>
      <w:r w:rsidRPr="000657D3">
        <w:rPr>
          <w:rFonts w:cstheme="minorHAnsi"/>
          <w:b/>
        </w:rPr>
        <w:t>DGR</w:t>
      </w:r>
      <w:r w:rsidR="000657D3">
        <w:rPr>
          <w:rFonts w:cstheme="minorHAnsi"/>
          <w:b/>
        </w:rPr>
        <w:t xml:space="preserve"> </w:t>
      </w:r>
      <w:r w:rsidRPr="000657D3">
        <w:rPr>
          <w:rFonts w:cstheme="minorHAnsi"/>
          <w:b/>
        </w:rPr>
        <w:t xml:space="preserve"> 9 agosto 2019, n. 12-203</w:t>
      </w:r>
      <w:r w:rsidRPr="00C41928">
        <w:rPr>
          <w:rFonts w:ascii="Times New Roman" w:hAnsi="Times New Roman" w:cs="Times New Roman"/>
          <w:b/>
          <w:sz w:val="24"/>
          <w:szCs w:val="24"/>
        </w:rPr>
        <w:t>,</w:t>
      </w:r>
      <w:r>
        <w:rPr>
          <w:rFonts w:ascii="Times New Roman" w:hAnsi="Times New Roman" w:cs="Times New Roman"/>
          <w:sz w:val="24"/>
          <w:szCs w:val="24"/>
        </w:rPr>
        <w:t xml:space="preserve"> </w:t>
      </w:r>
      <w:r w:rsidRPr="00C41928">
        <w:rPr>
          <w:rFonts w:ascii="Times New Roman" w:hAnsi="Times New Roman" w:cs="Times New Roman"/>
          <w:bCs/>
          <w:sz w:val="24"/>
          <w:szCs w:val="24"/>
        </w:rPr>
        <w:t>D.lgs. 286/98 e Reg. UE 516/2014. Approvazione schema di ccordo di collaborazione tra la Regione Piemonte e le Prefetture piemontesi per le attivita' di raccordo istituzionale nell'ambito delle iniziative volte a favorire il Rimpatrio Volontario Assistito (RVA) dei migranti nel territorio piemontese.</w:t>
      </w:r>
      <w:r w:rsidR="00625922" w:rsidRPr="00625922">
        <w:t xml:space="preserve"> </w:t>
      </w:r>
      <w:r w:rsidR="00625922" w:rsidRPr="00BC079D">
        <w:t>(BUR n. 67 del 20.8.19)</w:t>
      </w:r>
    </w:p>
    <w:p w:rsidR="00D37CE7" w:rsidRPr="00B66976" w:rsidRDefault="00D37CE7" w:rsidP="00D37CE7">
      <w:pPr>
        <w:autoSpaceDE w:val="0"/>
        <w:autoSpaceDN w:val="0"/>
        <w:adjustRightInd w:val="0"/>
        <w:spacing w:after="0" w:line="240" w:lineRule="auto"/>
        <w:jc w:val="both"/>
        <w:rPr>
          <w:rFonts w:cstheme="minorHAnsi"/>
          <w:b/>
        </w:rPr>
      </w:pPr>
      <w:r w:rsidRPr="00B66976">
        <w:rPr>
          <w:rFonts w:cstheme="minorHAnsi"/>
          <w:b/>
        </w:rPr>
        <w:lastRenderedPageBreak/>
        <w:t>Note</w:t>
      </w:r>
    </w:p>
    <w:p w:rsidR="00D37CE7" w:rsidRDefault="00D37CE7" w:rsidP="00D37CE7">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Vengono promosse forme di collaborazione finalizzate a migliorare la gestione migratoria nel territorio piemontese riconoscendo alla Regione il ruolo di governance multilivello in partenariato con le Prefetture piemontesi e gli enti locali interessati al fine di massimizzare l’efficacia degli interventi in materia di Rimpatri Volontari Assistiti;</w:t>
      </w:r>
    </w:p>
    <w:p w:rsidR="00D37CE7" w:rsidRDefault="00D37CE7" w:rsidP="00D37CE7">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Viene </w:t>
      </w:r>
      <w:proofErr w:type="gramStart"/>
      <w:r>
        <w:rPr>
          <w:rFonts w:ascii="Times New Roman" w:hAnsi="Times New Roman" w:cs="Times New Roman"/>
          <w:sz w:val="24"/>
          <w:szCs w:val="24"/>
        </w:rPr>
        <w:t>approvato  lo</w:t>
      </w:r>
      <w:proofErr w:type="gramEnd"/>
      <w:r>
        <w:rPr>
          <w:rFonts w:ascii="Times New Roman" w:hAnsi="Times New Roman" w:cs="Times New Roman"/>
          <w:sz w:val="24"/>
          <w:szCs w:val="24"/>
        </w:rPr>
        <w:t xml:space="preserve"> schema di Accordo di Collaborazione tra la Regione Piemonte e le Prefetture piemontesi per “L’attività di raccordo istituzionale nell’ambito delle iniziative volte a favorire il rimpatrio volontario  assistito dei migranti nel territorio regionale” e che prevede i seguenti obiettivi:</w:t>
      </w:r>
    </w:p>
    <w:p w:rsidR="00D37CE7" w:rsidRDefault="00D37CE7" w:rsidP="00D37CE7">
      <w:pPr>
        <w:autoSpaceDE w:val="0"/>
        <w:autoSpaceDN w:val="0"/>
        <w:adjustRightInd w:val="0"/>
        <w:spacing w:after="0" w:line="240" w:lineRule="auto"/>
        <w:jc w:val="both"/>
        <w:rPr>
          <w:rFonts w:ascii="Times New Roman" w:hAnsi="Times New Roman" w:cs="Times New Roman"/>
          <w:sz w:val="24"/>
          <w:szCs w:val="24"/>
        </w:rPr>
      </w:pPr>
      <w:r>
        <w:rPr>
          <w:rFonts w:ascii="Symbol" w:hAnsi="Symbol" w:cs="Symbol"/>
        </w:rPr>
        <w:t></w:t>
      </w:r>
      <w:r>
        <w:rPr>
          <w:rFonts w:ascii="Symbol" w:hAnsi="Symbol" w:cs="Symbol"/>
        </w:rPr>
        <w:t></w:t>
      </w:r>
      <w:r>
        <w:rPr>
          <w:rFonts w:ascii="Symbol" w:hAnsi="Symbol" w:cs="Symbol"/>
        </w:rPr>
        <w:t></w:t>
      </w:r>
      <w:proofErr w:type="gramStart"/>
      <w:r>
        <w:rPr>
          <w:rFonts w:ascii="Times New Roman" w:hAnsi="Times New Roman" w:cs="Times New Roman"/>
          <w:sz w:val="24"/>
          <w:szCs w:val="24"/>
        </w:rPr>
        <w:t>incentivare</w:t>
      </w:r>
      <w:proofErr w:type="gramEnd"/>
      <w:r>
        <w:rPr>
          <w:rFonts w:ascii="Times New Roman" w:hAnsi="Times New Roman" w:cs="Times New Roman"/>
          <w:sz w:val="24"/>
          <w:szCs w:val="24"/>
        </w:rPr>
        <w:t xml:space="preserve"> i rientri nei paesi di origine per i cittadini di paesi terzi che non hanno o che non hanno più titolo a restare sul territorio italiano ovvero che non hanno più interesse a restare e dei migranti che occupavano le palazzine dell’ex MOI che hanno manifestato intenzione in tal senso;</w:t>
      </w:r>
    </w:p>
    <w:p w:rsidR="00D37CE7" w:rsidRDefault="00D37CE7" w:rsidP="00D37CE7">
      <w:pPr>
        <w:autoSpaceDE w:val="0"/>
        <w:autoSpaceDN w:val="0"/>
        <w:adjustRightInd w:val="0"/>
        <w:spacing w:after="0" w:line="240" w:lineRule="auto"/>
        <w:jc w:val="both"/>
        <w:rPr>
          <w:rFonts w:ascii="Times New Roman" w:hAnsi="Times New Roman" w:cs="Times New Roman"/>
          <w:sz w:val="24"/>
          <w:szCs w:val="24"/>
        </w:rPr>
      </w:pPr>
      <w:r>
        <w:rPr>
          <w:rFonts w:ascii="Symbol" w:hAnsi="Symbol" w:cs="Symbol"/>
        </w:rPr>
        <w:t></w:t>
      </w:r>
      <w:r>
        <w:rPr>
          <w:rFonts w:ascii="Symbol" w:hAnsi="Symbol" w:cs="Symbol"/>
        </w:rPr>
        <w:t></w:t>
      </w:r>
      <w:r>
        <w:rPr>
          <w:rFonts w:ascii="Symbol" w:hAnsi="Symbol" w:cs="Symbol"/>
        </w:rPr>
        <w:t></w:t>
      </w:r>
      <w:proofErr w:type="gramStart"/>
      <w:r>
        <w:rPr>
          <w:rFonts w:ascii="Times New Roman" w:hAnsi="Times New Roman" w:cs="Times New Roman"/>
          <w:sz w:val="24"/>
          <w:szCs w:val="24"/>
        </w:rPr>
        <w:t>collaborare</w:t>
      </w:r>
      <w:proofErr w:type="gramEnd"/>
      <w:r>
        <w:rPr>
          <w:rFonts w:ascii="Times New Roman" w:hAnsi="Times New Roman" w:cs="Times New Roman"/>
          <w:sz w:val="24"/>
          <w:szCs w:val="24"/>
        </w:rPr>
        <w:t xml:space="preserve"> per la definizione del modello regionale di sperimentazione di percorsi innovativi di rimpatrio volontario assistito da presentare per il finanziamento a valere sui Fondi FAMI 2014-2020, ai sensi dell’art. 12 “Misure di rimpatrio”; del Reg. UE 516/2014;</w:t>
      </w:r>
    </w:p>
    <w:p w:rsidR="00D37CE7" w:rsidRDefault="00D37CE7" w:rsidP="00D37CE7">
      <w:pPr>
        <w:autoSpaceDE w:val="0"/>
        <w:autoSpaceDN w:val="0"/>
        <w:adjustRightInd w:val="0"/>
        <w:spacing w:after="0" w:line="240" w:lineRule="auto"/>
        <w:jc w:val="both"/>
        <w:rPr>
          <w:rFonts w:ascii="Times New Roman" w:hAnsi="Times New Roman" w:cs="Times New Roman"/>
          <w:sz w:val="24"/>
          <w:szCs w:val="24"/>
        </w:rPr>
      </w:pPr>
      <w:r>
        <w:rPr>
          <w:rFonts w:ascii="Symbol" w:hAnsi="Symbol" w:cs="Symbol"/>
        </w:rPr>
        <w:t></w:t>
      </w:r>
      <w:r>
        <w:rPr>
          <w:rFonts w:ascii="Symbol" w:hAnsi="Symbol" w:cs="Symbol"/>
        </w:rPr>
        <w:t></w:t>
      </w:r>
      <w:r>
        <w:rPr>
          <w:rFonts w:ascii="Symbol" w:hAnsi="Symbol" w:cs="Symbol"/>
        </w:rPr>
        <w:t></w:t>
      </w:r>
      <w:proofErr w:type="gramStart"/>
      <w:r>
        <w:rPr>
          <w:rFonts w:ascii="Times New Roman" w:hAnsi="Times New Roman" w:cs="Times New Roman"/>
          <w:sz w:val="24"/>
          <w:szCs w:val="24"/>
        </w:rPr>
        <w:t>creazione</w:t>
      </w:r>
      <w:proofErr w:type="gramEnd"/>
      <w:r>
        <w:rPr>
          <w:rFonts w:ascii="Times New Roman" w:hAnsi="Times New Roman" w:cs="Times New Roman"/>
          <w:sz w:val="24"/>
          <w:szCs w:val="24"/>
        </w:rPr>
        <w:t xml:space="preserve"> di una Cabina di regia formata dai soggetti sottoscrittori dell’Accordo di collaborazione e il Comune di Torino;</w:t>
      </w:r>
    </w:p>
    <w:p w:rsidR="00D37CE7" w:rsidRDefault="00D37CE7" w:rsidP="00D37CE7">
      <w:pPr>
        <w:autoSpaceDE w:val="0"/>
        <w:autoSpaceDN w:val="0"/>
        <w:adjustRightInd w:val="0"/>
        <w:spacing w:after="0" w:line="240" w:lineRule="auto"/>
        <w:jc w:val="both"/>
        <w:rPr>
          <w:rFonts w:ascii="Times New Roman" w:hAnsi="Times New Roman" w:cs="Times New Roman"/>
          <w:sz w:val="24"/>
          <w:szCs w:val="24"/>
        </w:rPr>
      </w:pPr>
      <w:r>
        <w:rPr>
          <w:rFonts w:ascii="Symbol" w:hAnsi="Symbol" w:cs="Symbol"/>
        </w:rPr>
        <w:t></w:t>
      </w:r>
      <w:r>
        <w:rPr>
          <w:rFonts w:ascii="Symbol" w:hAnsi="Symbol" w:cs="Symbol"/>
        </w:rPr>
        <w:t></w:t>
      </w:r>
      <w:r>
        <w:rPr>
          <w:rFonts w:ascii="Symbol" w:hAnsi="Symbol" w:cs="Symbol"/>
        </w:rPr>
        <w:t></w:t>
      </w:r>
      <w:proofErr w:type="gramStart"/>
      <w:r>
        <w:rPr>
          <w:rFonts w:ascii="Times New Roman" w:hAnsi="Times New Roman" w:cs="Times New Roman"/>
          <w:sz w:val="24"/>
          <w:szCs w:val="24"/>
        </w:rPr>
        <w:t>creazione</w:t>
      </w:r>
      <w:proofErr w:type="gramEnd"/>
      <w:r>
        <w:rPr>
          <w:rFonts w:ascii="Times New Roman" w:hAnsi="Times New Roman" w:cs="Times New Roman"/>
          <w:sz w:val="24"/>
          <w:szCs w:val="24"/>
        </w:rPr>
        <w:t xml:space="preserve"> di Tavoli Tecnici in ogni provincia con l’obiettivo di un coinvolgimento capillare di tutti gli attori istituzionali e non per un più efficace accesso dei beneficiari agli interventi</w:t>
      </w:r>
    </w:p>
    <w:p w:rsidR="00D37CE7" w:rsidRDefault="00D37CE7" w:rsidP="00D37CE7">
      <w:pPr>
        <w:autoSpaceDE w:val="0"/>
        <w:autoSpaceDN w:val="0"/>
        <w:adjustRightInd w:val="0"/>
        <w:spacing w:after="0"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di</w:t>
      </w:r>
      <w:proofErr w:type="gramEnd"/>
      <w:r>
        <w:rPr>
          <w:rFonts w:ascii="Times New Roman" w:hAnsi="Times New Roman" w:cs="Times New Roman"/>
          <w:sz w:val="24"/>
          <w:szCs w:val="24"/>
        </w:rPr>
        <w:t xml:space="preserve"> RVA;</w:t>
      </w:r>
    </w:p>
    <w:p w:rsidR="00D37CE7" w:rsidRDefault="00D37CE7" w:rsidP="00D37CE7">
      <w:pPr>
        <w:autoSpaceDE w:val="0"/>
        <w:autoSpaceDN w:val="0"/>
        <w:adjustRightInd w:val="0"/>
        <w:spacing w:after="0" w:line="240" w:lineRule="auto"/>
        <w:jc w:val="both"/>
        <w:rPr>
          <w:rFonts w:ascii="Times New Roman" w:hAnsi="Times New Roman" w:cs="Times New Roman"/>
          <w:sz w:val="24"/>
          <w:szCs w:val="24"/>
        </w:rPr>
      </w:pPr>
      <w:r>
        <w:rPr>
          <w:rFonts w:ascii="Symbol" w:hAnsi="Symbol" w:cs="Symbol"/>
        </w:rPr>
        <w:t></w:t>
      </w:r>
      <w:r>
        <w:rPr>
          <w:rFonts w:ascii="Symbol" w:hAnsi="Symbol" w:cs="Symbol"/>
        </w:rPr>
        <w:t></w:t>
      </w:r>
      <w:r>
        <w:rPr>
          <w:rFonts w:ascii="Symbol" w:hAnsi="Symbol" w:cs="Symbol"/>
        </w:rPr>
        <w:t></w:t>
      </w:r>
      <w:proofErr w:type="gramStart"/>
      <w:r>
        <w:rPr>
          <w:rFonts w:ascii="Times New Roman" w:hAnsi="Times New Roman" w:cs="Times New Roman"/>
          <w:sz w:val="24"/>
          <w:szCs w:val="24"/>
        </w:rPr>
        <w:t>di</w:t>
      </w:r>
      <w:proofErr w:type="gramEnd"/>
      <w:r>
        <w:rPr>
          <w:rFonts w:ascii="Times New Roman" w:hAnsi="Times New Roman" w:cs="Times New Roman"/>
          <w:sz w:val="24"/>
          <w:szCs w:val="24"/>
        </w:rPr>
        <w:t xml:space="preserve"> prevedere che il presente Accordo sarà firmato dal Presidente della Regione.</w:t>
      </w:r>
    </w:p>
    <w:p w:rsidR="00D37CE7" w:rsidRPr="00025F31" w:rsidRDefault="00D37CE7" w:rsidP="00D37CE7">
      <w:pPr>
        <w:autoSpaceDE w:val="0"/>
        <w:autoSpaceDN w:val="0"/>
        <w:adjustRightInd w:val="0"/>
        <w:spacing w:after="0" w:line="240" w:lineRule="auto"/>
        <w:jc w:val="both"/>
        <w:rPr>
          <w:rFonts w:cstheme="minorHAnsi"/>
          <w:b/>
          <w:bCs/>
        </w:rPr>
      </w:pPr>
      <w:r w:rsidRPr="00025F31">
        <w:rPr>
          <w:rFonts w:cstheme="minorHAnsi"/>
          <w:b/>
          <w:bCs/>
        </w:rPr>
        <w:t>Allegato</w:t>
      </w:r>
    </w:p>
    <w:p w:rsidR="00D37CE7" w:rsidRPr="00025F31" w:rsidRDefault="00D37CE7" w:rsidP="00D37CE7">
      <w:pPr>
        <w:autoSpaceDE w:val="0"/>
        <w:autoSpaceDN w:val="0"/>
        <w:adjustRightInd w:val="0"/>
        <w:spacing w:after="0" w:line="240" w:lineRule="auto"/>
        <w:jc w:val="both"/>
        <w:rPr>
          <w:rFonts w:cstheme="minorHAnsi"/>
          <w:b/>
          <w:bCs/>
        </w:rPr>
      </w:pPr>
      <w:r w:rsidRPr="00025F31">
        <w:rPr>
          <w:rFonts w:cstheme="minorHAnsi"/>
          <w:b/>
          <w:bCs/>
        </w:rPr>
        <w:t xml:space="preserve">ACCORDO DI COLLABORAZIONE REGIONE PIEMONTE PREFETTURE DI TORINO, ALESSANDRIA, ASTI, BIELLA, CUNEO, </w:t>
      </w:r>
      <w:proofErr w:type="gramStart"/>
      <w:r w:rsidRPr="00025F31">
        <w:rPr>
          <w:rFonts w:cstheme="minorHAnsi"/>
          <w:b/>
          <w:bCs/>
        </w:rPr>
        <w:t>NOVARA,  ERBANO</w:t>
      </w:r>
      <w:proofErr w:type="gramEnd"/>
      <w:r w:rsidRPr="00025F31">
        <w:rPr>
          <w:rFonts w:cstheme="minorHAnsi"/>
          <w:b/>
          <w:bCs/>
        </w:rPr>
        <w:t xml:space="preserve"> CUSIO OSSOLA, VERCELLI PER L’ATTIVITA’ DI RACCORDO  STITUZIONALE NELL’AMBITO</w:t>
      </w:r>
      <w:r>
        <w:rPr>
          <w:rFonts w:cstheme="minorHAnsi"/>
          <w:b/>
          <w:bCs/>
        </w:rPr>
        <w:t xml:space="preserve"> </w:t>
      </w:r>
      <w:r w:rsidRPr="00025F31">
        <w:rPr>
          <w:rFonts w:cstheme="minorHAnsi"/>
          <w:b/>
          <w:bCs/>
        </w:rPr>
        <w:t>DELLE INIZIATIVE VOLTE A FAVORIRE IL RIMPATRIO</w:t>
      </w:r>
      <w:r>
        <w:rPr>
          <w:rFonts w:cstheme="minorHAnsi"/>
          <w:b/>
          <w:bCs/>
        </w:rPr>
        <w:t xml:space="preserve"> </w:t>
      </w:r>
      <w:r w:rsidRPr="00025F31">
        <w:rPr>
          <w:rFonts w:cstheme="minorHAnsi"/>
          <w:b/>
          <w:bCs/>
        </w:rPr>
        <w:t>VOLONTARIO ASSISTITO DEI MIGRANTI NEL TERRITORIO</w:t>
      </w:r>
      <w:r>
        <w:rPr>
          <w:rFonts w:cstheme="minorHAnsi"/>
          <w:b/>
          <w:bCs/>
        </w:rPr>
        <w:t xml:space="preserve"> </w:t>
      </w:r>
      <w:r w:rsidRPr="00025F31">
        <w:rPr>
          <w:rFonts w:cstheme="minorHAnsi"/>
          <w:b/>
          <w:bCs/>
        </w:rPr>
        <w:t>REGIONALE</w:t>
      </w:r>
    </w:p>
    <w:p w:rsidR="00D37CE7" w:rsidRPr="00025F31" w:rsidRDefault="00D37CE7" w:rsidP="00D37CE7">
      <w:pPr>
        <w:autoSpaceDE w:val="0"/>
        <w:autoSpaceDN w:val="0"/>
        <w:adjustRightInd w:val="0"/>
        <w:spacing w:after="0" w:line="240" w:lineRule="auto"/>
        <w:jc w:val="both"/>
        <w:rPr>
          <w:rFonts w:cstheme="minorHAnsi"/>
        </w:rPr>
      </w:pPr>
      <w:r w:rsidRPr="00025F31">
        <w:rPr>
          <w:rFonts w:cstheme="minorHAnsi"/>
          <w:i/>
          <w:iCs/>
        </w:rPr>
        <w:t>Alla presenza del Sottosegretario On.le Nicola Molteni e del Capo Dipartimento per Libertà</w:t>
      </w:r>
      <w:r>
        <w:rPr>
          <w:rFonts w:cstheme="minorHAnsi"/>
          <w:i/>
          <w:iCs/>
        </w:rPr>
        <w:t xml:space="preserve"> </w:t>
      </w:r>
      <w:r w:rsidRPr="00025F31">
        <w:rPr>
          <w:rFonts w:cstheme="minorHAnsi"/>
          <w:i/>
          <w:iCs/>
        </w:rPr>
        <w:t>civili e l’Immigrazione Prefetto Michele di Bari</w:t>
      </w:r>
      <w:r>
        <w:rPr>
          <w:rFonts w:cstheme="minorHAnsi"/>
          <w:i/>
          <w:iCs/>
        </w:rPr>
        <w:t xml:space="preserve"> </w:t>
      </w:r>
      <w:r w:rsidRPr="00025F31">
        <w:rPr>
          <w:rFonts w:cstheme="minorHAnsi"/>
        </w:rPr>
        <w:t>la Regione Piemonte, nella persona del Presidente</w:t>
      </w:r>
    </w:p>
    <w:p w:rsidR="00D37CE7" w:rsidRPr="00025F31" w:rsidRDefault="00D37CE7" w:rsidP="00D37CE7">
      <w:pPr>
        <w:autoSpaceDE w:val="0"/>
        <w:autoSpaceDN w:val="0"/>
        <w:adjustRightInd w:val="0"/>
        <w:spacing w:after="0" w:line="240" w:lineRule="auto"/>
        <w:jc w:val="both"/>
        <w:rPr>
          <w:rFonts w:cstheme="minorHAnsi"/>
        </w:rPr>
      </w:pPr>
      <w:proofErr w:type="gramStart"/>
      <w:r w:rsidRPr="00025F31">
        <w:rPr>
          <w:rFonts w:cstheme="minorHAnsi"/>
        </w:rPr>
        <w:t>le</w:t>
      </w:r>
      <w:proofErr w:type="gramEnd"/>
      <w:r w:rsidRPr="00025F31">
        <w:rPr>
          <w:rFonts w:cstheme="minorHAnsi"/>
        </w:rPr>
        <w:t xml:space="preserve"> Prefetture competenti per territorio rappresentate dai rispettivi Prefetti</w:t>
      </w:r>
    </w:p>
    <w:p w:rsidR="00D37CE7" w:rsidRPr="00025F31" w:rsidRDefault="00D37CE7" w:rsidP="00D37CE7">
      <w:pPr>
        <w:autoSpaceDE w:val="0"/>
        <w:autoSpaceDN w:val="0"/>
        <w:adjustRightInd w:val="0"/>
        <w:spacing w:after="0" w:line="240" w:lineRule="auto"/>
        <w:jc w:val="both"/>
        <w:rPr>
          <w:rFonts w:cstheme="minorHAnsi"/>
        </w:rPr>
      </w:pPr>
      <w:r w:rsidRPr="00025F31">
        <w:rPr>
          <w:rFonts w:cstheme="minorHAnsi"/>
        </w:rPr>
        <w:t>Di seguito denominate le Parti.</w:t>
      </w:r>
    </w:p>
    <w:p w:rsidR="00D37CE7" w:rsidRPr="00025F31" w:rsidRDefault="00D37CE7" w:rsidP="00D37CE7">
      <w:pPr>
        <w:autoSpaceDE w:val="0"/>
        <w:autoSpaceDN w:val="0"/>
        <w:adjustRightInd w:val="0"/>
        <w:spacing w:after="0" w:line="240" w:lineRule="auto"/>
        <w:jc w:val="both"/>
        <w:rPr>
          <w:rFonts w:cstheme="minorHAnsi"/>
          <w:b/>
          <w:bCs/>
        </w:rPr>
      </w:pPr>
      <w:r w:rsidRPr="00025F31">
        <w:rPr>
          <w:rFonts w:cstheme="minorHAnsi"/>
          <w:b/>
          <w:bCs/>
        </w:rPr>
        <w:t>PREMESSO CHE</w:t>
      </w:r>
    </w:p>
    <w:p w:rsidR="00D37CE7" w:rsidRPr="00025F31" w:rsidRDefault="00D37CE7" w:rsidP="00D37CE7">
      <w:pPr>
        <w:autoSpaceDE w:val="0"/>
        <w:autoSpaceDN w:val="0"/>
        <w:adjustRightInd w:val="0"/>
        <w:spacing w:after="0" w:line="240" w:lineRule="auto"/>
        <w:jc w:val="both"/>
        <w:rPr>
          <w:rFonts w:cstheme="minorHAnsi"/>
        </w:rPr>
      </w:pPr>
      <w:r w:rsidRPr="00025F31">
        <w:rPr>
          <w:rFonts w:cstheme="minorHAnsi"/>
        </w:rPr>
        <w:t>- Tra le priorità del Ministero dell’Interno in materia migratoria vi è la garanzia</w:t>
      </w:r>
      <w:r>
        <w:rPr>
          <w:rFonts w:cstheme="minorHAnsi"/>
        </w:rPr>
        <w:t xml:space="preserve"> </w:t>
      </w:r>
      <w:r w:rsidRPr="00025F31">
        <w:rPr>
          <w:rFonts w:cstheme="minorHAnsi"/>
        </w:rPr>
        <w:t>dell’accoglienza per coloro che entrano in modo regolare nel territorio nazionale e per coloro</w:t>
      </w:r>
      <w:r>
        <w:rPr>
          <w:rFonts w:cstheme="minorHAnsi"/>
        </w:rPr>
        <w:t xml:space="preserve"> </w:t>
      </w:r>
      <w:r w:rsidRPr="00025F31">
        <w:rPr>
          <w:rFonts w:cstheme="minorHAnsi"/>
        </w:rPr>
        <w:t>che in ragione della propria condizione hanno diritto a forme di protezione internazionale e</w:t>
      </w:r>
      <w:r>
        <w:rPr>
          <w:rFonts w:cstheme="minorHAnsi"/>
        </w:rPr>
        <w:t xml:space="preserve"> </w:t>
      </w:r>
      <w:r w:rsidRPr="00025F31">
        <w:rPr>
          <w:rFonts w:cstheme="minorHAnsi"/>
        </w:rPr>
        <w:t>nello stesso tempo vi è l’esigenza di provvedere al rimpatrio per coloro che non hanno o non</w:t>
      </w:r>
      <w:r>
        <w:rPr>
          <w:rFonts w:cstheme="minorHAnsi"/>
        </w:rPr>
        <w:t xml:space="preserve"> </w:t>
      </w:r>
      <w:r w:rsidRPr="00025F31">
        <w:rPr>
          <w:rFonts w:cstheme="minorHAnsi"/>
        </w:rPr>
        <w:t>hanno più titolo a restare sul territorio italiano ovvero che non hanno comunque più interesse</w:t>
      </w:r>
      <w:r>
        <w:rPr>
          <w:rFonts w:cstheme="minorHAnsi"/>
        </w:rPr>
        <w:t xml:space="preserve"> </w:t>
      </w:r>
      <w:r w:rsidRPr="00025F31">
        <w:rPr>
          <w:rFonts w:cstheme="minorHAnsi"/>
        </w:rPr>
        <w:t>a restare sul territorio nazionale, manifestando l’intenzione di rientrare nel paese di origine;</w:t>
      </w:r>
    </w:p>
    <w:p w:rsidR="00D37CE7" w:rsidRPr="00025F31" w:rsidRDefault="00D37CE7" w:rsidP="00D37CE7">
      <w:pPr>
        <w:autoSpaceDE w:val="0"/>
        <w:autoSpaceDN w:val="0"/>
        <w:adjustRightInd w:val="0"/>
        <w:spacing w:after="0" w:line="240" w:lineRule="auto"/>
        <w:jc w:val="both"/>
        <w:rPr>
          <w:rFonts w:cstheme="minorHAnsi"/>
        </w:rPr>
      </w:pPr>
      <w:r w:rsidRPr="00025F31">
        <w:rPr>
          <w:rFonts w:cstheme="minorHAnsi"/>
        </w:rPr>
        <w:t>- Per incentivare i rientri nei paesi di origine, l’Amministrazione dell’Interno intende dare</w:t>
      </w:r>
      <w:r>
        <w:rPr>
          <w:rFonts w:cstheme="minorHAnsi"/>
        </w:rPr>
        <w:t xml:space="preserve"> </w:t>
      </w:r>
      <w:r w:rsidRPr="00025F31">
        <w:rPr>
          <w:rFonts w:cstheme="minorHAnsi"/>
        </w:rPr>
        <w:t>forte impulso alla modalità del rimpatrio volontario assistito, già sperimentato a livello</w:t>
      </w:r>
      <w:r>
        <w:rPr>
          <w:rFonts w:cstheme="minorHAnsi"/>
        </w:rPr>
        <w:t xml:space="preserve"> </w:t>
      </w:r>
      <w:r w:rsidRPr="00025F31">
        <w:rPr>
          <w:rFonts w:cstheme="minorHAnsi"/>
        </w:rPr>
        <w:t>nazionale con risultati positivi;</w:t>
      </w:r>
    </w:p>
    <w:p w:rsidR="00D37CE7" w:rsidRPr="00025F31" w:rsidRDefault="00D37CE7" w:rsidP="00D37CE7">
      <w:pPr>
        <w:autoSpaceDE w:val="0"/>
        <w:autoSpaceDN w:val="0"/>
        <w:adjustRightInd w:val="0"/>
        <w:spacing w:after="0" w:line="240" w:lineRule="auto"/>
        <w:jc w:val="both"/>
        <w:rPr>
          <w:rFonts w:cstheme="minorHAnsi"/>
        </w:rPr>
      </w:pPr>
      <w:r w:rsidRPr="00025F31">
        <w:rPr>
          <w:rFonts w:cstheme="minorHAnsi"/>
        </w:rPr>
        <w:t>- Il territorio della regione Piemonte è, inoltre, contraddistinto da numerose zone di confine e</w:t>
      </w:r>
      <w:r>
        <w:rPr>
          <w:rFonts w:cstheme="minorHAnsi"/>
        </w:rPr>
        <w:t xml:space="preserve"> </w:t>
      </w:r>
      <w:r w:rsidRPr="00025F31">
        <w:rPr>
          <w:rFonts w:cstheme="minorHAnsi"/>
        </w:rPr>
        <w:t>da un costante numero di rintracci di cittadini stranieri irregolari;</w:t>
      </w:r>
    </w:p>
    <w:p w:rsidR="00D37CE7" w:rsidRPr="00025F31" w:rsidRDefault="00D37CE7" w:rsidP="00D37CE7">
      <w:pPr>
        <w:autoSpaceDE w:val="0"/>
        <w:autoSpaceDN w:val="0"/>
        <w:adjustRightInd w:val="0"/>
        <w:spacing w:after="0" w:line="240" w:lineRule="auto"/>
        <w:jc w:val="both"/>
        <w:rPr>
          <w:rFonts w:cstheme="minorHAnsi"/>
        </w:rPr>
      </w:pPr>
      <w:r w:rsidRPr="00025F31">
        <w:rPr>
          <w:rFonts w:cstheme="minorHAnsi"/>
        </w:rPr>
        <w:t>- l’intervento di cui al presente Accordo è utile anche per il prosieguo del progetto di</w:t>
      </w:r>
    </w:p>
    <w:p w:rsidR="00D37CE7" w:rsidRPr="00025F31" w:rsidRDefault="00D37CE7" w:rsidP="00D37CE7">
      <w:pPr>
        <w:autoSpaceDE w:val="0"/>
        <w:autoSpaceDN w:val="0"/>
        <w:adjustRightInd w:val="0"/>
        <w:spacing w:after="0" w:line="240" w:lineRule="auto"/>
        <w:jc w:val="both"/>
        <w:rPr>
          <w:rFonts w:cstheme="minorHAnsi"/>
        </w:rPr>
      </w:pPr>
      <w:proofErr w:type="gramStart"/>
      <w:r w:rsidRPr="00025F31">
        <w:rPr>
          <w:rFonts w:cstheme="minorHAnsi"/>
        </w:rPr>
        <w:t>ricollocamento</w:t>
      </w:r>
      <w:proofErr w:type="gramEnd"/>
      <w:r w:rsidRPr="00025F31">
        <w:rPr>
          <w:rFonts w:cstheme="minorHAnsi"/>
        </w:rPr>
        <w:t xml:space="preserve"> dei migranti occupanti le palazzine dell’ex MOI , alcuni dei quali hanno già</w:t>
      </w:r>
      <w:r>
        <w:rPr>
          <w:rFonts w:cstheme="minorHAnsi"/>
        </w:rPr>
        <w:t xml:space="preserve"> </w:t>
      </w:r>
      <w:r w:rsidRPr="00025F31">
        <w:rPr>
          <w:rFonts w:cstheme="minorHAnsi"/>
        </w:rPr>
        <w:t>manifestato intendimento in tal senso;</w:t>
      </w:r>
    </w:p>
    <w:p w:rsidR="00D37CE7" w:rsidRPr="00025F31" w:rsidRDefault="00D37CE7" w:rsidP="00D37CE7">
      <w:pPr>
        <w:autoSpaceDE w:val="0"/>
        <w:autoSpaceDN w:val="0"/>
        <w:adjustRightInd w:val="0"/>
        <w:spacing w:after="0" w:line="240" w:lineRule="auto"/>
        <w:jc w:val="both"/>
        <w:rPr>
          <w:rFonts w:cstheme="minorHAnsi"/>
        </w:rPr>
      </w:pPr>
      <w:r w:rsidRPr="00025F31">
        <w:rPr>
          <w:rFonts w:cstheme="minorHAnsi"/>
        </w:rPr>
        <w:t>- La collaborazione tra Regione, Prefetture, con l’eventuale apporto dei Comuni interessati, è</w:t>
      </w:r>
      <w:r>
        <w:rPr>
          <w:rFonts w:cstheme="minorHAnsi"/>
        </w:rPr>
        <w:t xml:space="preserve"> </w:t>
      </w:r>
      <w:r w:rsidRPr="00025F31">
        <w:rPr>
          <w:rFonts w:cstheme="minorHAnsi"/>
        </w:rPr>
        <w:t>funzionale alla realizzazione dei progetti finanziati con i fondi Fondo Asilo, Migrazione e</w:t>
      </w:r>
      <w:r>
        <w:rPr>
          <w:rFonts w:cstheme="minorHAnsi"/>
        </w:rPr>
        <w:t xml:space="preserve"> </w:t>
      </w:r>
      <w:r w:rsidRPr="00025F31">
        <w:rPr>
          <w:rFonts w:cstheme="minorHAnsi"/>
        </w:rPr>
        <w:t>Integrazione – FAMI - con particolare riferimento a quelli di rimpatrio volontario assistito in</w:t>
      </w:r>
      <w:r>
        <w:rPr>
          <w:rFonts w:cstheme="minorHAnsi"/>
        </w:rPr>
        <w:t xml:space="preserve"> </w:t>
      </w:r>
      <w:r w:rsidRPr="00025F31">
        <w:rPr>
          <w:rFonts w:cstheme="minorHAnsi"/>
        </w:rPr>
        <w:t>complementarietà con i progetti di Rimpatrio Volontario Assistito – RVA - già attivi a livello</w:t>
      </w:r>
    </w:p>
    <w:p w:rsidR="00D37CE7" w:rsidRPr="00025F31" w:rsidRDefault="00D37CE7" w:rsidP="00D37CE7">
      <w:pPr>
        <w:autoSpaceDE w:val="0"/>
        <w:autoSpaceDN w:val="0"/>
        <w:adjustRightInd w:val="0"/>
        <w:spacing w:after="0" w:line="240" w:lineRule="auto"/>
        <w:jc w:val="both"/>
        <w:rPr>
          <w:rFonts w:cstheme="minorHAnsi"/>
        </w:rPr>
      </w:pPr>
      <w:proofErr w:type="gramStart"/>
      <w:r w:rsidRPr="00025F31">
        <w:rPr>
          <w:rFonts w:cstheme="minorHAnsi"/>
        </w:rPr>
        <w:t>nazionale</w:t>
      </w:r>
      <w:proofErr w:type="gramEnd"/>
      <w:r w:rsidRPr="00025F31">
        <w:rPr>
          <w:rFonts w:cstheme="minorHAnsi"/>
        </w:rPr>
        <w:t>.</w:t>
      </w:r>
    </w:p>
    <w:p w:rsidR="00D37CE7" w:rsidRPr="00025F31" w:rsidRDefault="00D37CE7" w:rsidP="00D37CE7">
      <w:pPr>
        <w:autoSpaceDE w:val="0"/>
        <w:autoSpaceDN w:val="0"/>
        <w:adjustRightInd w:val="0"/>
        <w:spacing w:after="0" w:line="240" w:lineRule="auto"/>
        <w:jc w:val="both"/>
        <w:rPr>
          <w:rFonts w:cstheme="minorHAnsi"/>
          <w:b/>
          <w:bCs/>
        </w:rPr>
      </w:pPr>
      <w:r w:rsidRPr="00025F31">
        <w:rPr>
          <w:rFonts w:cstheme="minorHAnsi"/>
          <w:b/>
          <w:bCs/>
        </w:rPr>
        <w:t>CONSIDERATO CHE</w:t>
      </w:r>
    </w:p>
    <w:p w:rsidR="00D37CE7" w:rsidRPr="00025F31" w:rsidRDefault="00D37CE7" w:rsidP="00D37CE7">
      <w:pPr>
        <w:autoSpaceDE w:val="0"/>
        <w:autoSpaceDN w:val="0"/>
        <w:adjustRightInd w:val="0"/>
        <w:spacing w:after="0" w:line="240" w:lineRule="auto"/>
        <w:jc w:val="both"/>
        <w:rPr>
          <w:rFonts w:cstheme="minorHAnsi"/>
        </w:rPr>
      </w:pPr>
      <w:r w:rsidRPr="00025F31">
        <w:rPr>
          <w:rFonts w:cstheme="minorHAnsi"/>
        </w:rPr>
        <w:t>- Nel territorio della Regione Piemonte sarà promossa una specifica progettualità per la</w:t>
      </w:r>
      <w:r>
        <w:rPr>
          <w:rFonts w:cstheme="minorHAnsi"/>
        </w:rPr>
        <w:t xml:space="preserve"> </w:t>
      </w:r>
      <w:r w:rsidRPr="00025F31">
        <w:rPr>
          <w:rFonts w:cstheme="minorHAnsi"/>
        </w:rPr>
        <w:t>sperimentazione di percorsi innovativi di rimpatrio volontario assistito, finanziata con i Fondi</w:t>
      </w:r>
      <w:r>
        <w:rPr>
          <w:rFonts w:cstheme="minorHAnsi"/>
        </w:rPr>
        <w:t xml:space="preserve"> </w:t>
      </w:r>
      <w:r w:rsidRPr="00025F31">
        <w:rPr>
          <w:rFonts w:cstheme="minorHAnsi"/>
        </w:rPr>
        <w:t>FAMI 2014-2020, ai sensi dell’art.12 “Misure di rimpatrio” del Regolamento UE n.</w:t>
      </w:r>
      <w:r>
        <w:rPr>
          <w:rFonts w:cstheme="minorHAnsi"/>
        </w:rPr>
        <w:t xml:space="preserve"> </w:t>
      </w:r>
      <w:r w:rsidRPr="00025F31">
        <w:rPr>
          <w:rFonts w:cstheme="minorHAnsi"/>
        </w:rPr>
        <w:t>516/2014 che istituisce il fondo.</w:t>
      </w:r>
    </w:p>
    <w:p w:rsidR="00D37CE7" w:rsidRPr="00025F31" w:rsidRDefault="00D37CE7" w:rsidP="00D37CE7">
      <w:pPr>
        <w:autoSpaceDE w:val="0"/>
        <w:autoSpaceDN w:val="0"/>
        <w:adjustRightInd w:val="0"/>
        <w:spacing w:after="0" w:line="240" w:lineRule="auto"/>
        <w:jc w:val="both"/>
        <w:rPr>
          <w:rFonts w:cstheme="minorHAnsi"/>
        </w:rPr>
      </w:pPr>
      <w:r w:rsidRPr="00025F31">
        <w:rPr>
          <w:rFonts w:cstheme="minorHAnsi"/>
        </w:rPr>
        <w:lastRenderedPageBreak/>
        <w:t>- Per l’attuazione di tale intervento è indispensabile l’attivazione di sinergie istituzionali tra</w:t>
      </w:r>
      <w:r>
        <w:rPr>
          <w:rFonts w:cstheme="minorHAnsi"/>
        </w:rPr>
        <w:t xml:space="preserve"> </w:t>
      </w:r>
      <w:r w:rsidRPr="00025F31">
        <w:rPr>
          <w:rFonts w:cstheme="minorHAnsi"/>
        </w:rPr>
        <w:t>la Regione Piemonte, in qualità di soggetto istituzionale coordinatore, e le Prefetture del</w:t>
      </w:r>
      <w:r>
        <w:rPr>
          <w:rFonts w:cstheme="minorHAnsi"/>
        </w:rPr>
        <w:t xml:space="preserve"> </w:t>
      </w:r>
      <w:r w:rsidRPr="00025F31">
        <w:rPr>
          <w:rFonts w:cstheme="minorHAnsi"/>
        </w:rPr>
        <w:t>territorio, in qualità di partner, insieme agli enti locali che intenderanno aderirvi, in</w:t>
      </w:r>
      <w:r>
        <w:rPr>
          <w:rFonts w:cstheme="minorHAnsi"/>
        </w:rPr>
        <w:t xml:space="preserve"> </w:t>
      </w:r>
      <w:r w:rsidRPr="00025F31">
        <w:rPr>
          <w:rFonts w:cstheme="minorHAnsi"/>
        </w:rPr>
        <w:t>conformità alla vigente normativa in materia di immigrazione ed in particolare alle</w:t>
      </w:r>
      <w:r>
        <w:rPr>
          <w:rFonts w:cstheme="minorHAnsi"/>
        </w:rPr>
        <w:t xml:space="preserve"> </w:t>
      </w:r>
      <w:r w:rsidRPr="00025F31">
        <w:rPr>
          <w:rFonts w:cstheme="minorHAnsi"/>
        </w:rPr>
        <w:t>disposizioni previste dal decreto ministeriale 27 ottobre 2011: Linee guida per l’attuazione</w:t>
      </w:r>
      <w:r>
        <w:rPr>
          <w:rFonts w:cstheme="minorHAnsi"/>
        </w:rPr>
        <w:t xml:space="preserve"> </w:t>
      </w:r>
      <w:r w:rsidRPr="00025F31">
        <w:rPr>
          <w:rFonts w:cstheme="minorHAnsi"/>
        </w:rPr>
        <w:t>dei programmi di rimpatrio volontario e assistito, di cui all’art.14-ter del decreto legislativo</w:t>
      </w:r>
      <w:r>
        <w:rPr>
          <w:rFonts w:cstheme="minorHAnsi"/>
        </w:rPr>
        <w:t xml:space="preserve"> </w:t>
      </w:r>
      <w:r w:rsidRPr="00025F31">
        <w:rPr>
          <w:rFonts w:cstheme="minorHAnsi"/>
        </w:rPr>
        <w:t>25 luglio 1998, n.286.</w:t>
      </w:r>
    </w:p>
    <w:p w:rsidR="00D37CE7" w:rsidRPr="00025F31" w:rsidRDefault="00D37CE7" w:rsidP="00D37CE7">
      <w:pPr>
        <w:autoSpaceDE w:val="0"/>
        <w:autoSpaceDN w:val="0"/>
        <w:adjustRightInd w:val="0"/>
        <w:spacing w:after="0" w:line="240" w:lineRule="auto"/>
        <w:jc w:val="both"/>
        <w:rPr>
          <w:rFonts w:cstheme="minorHAnsi"/>
        </w:rPr>
      </w:pPr>
      <w:r w:rsidRPr="00025F31">
        <w:rPr>
          <w:rFonts w:cstheme="minorHAnsi"/>
        </w:rPr>
        <w:t>- Tale interrelazione potrà consentire di stabilire un meccanismo stabile di coordinamento</w:t>
      </w:r>
      <w:r>
        <w:rPr>
          <w:rFonts w:cstheme="minorHAnsi"/>
        </w:rPr>
        <w:t xml:space="preserve"> </w:t>
      </w:r>
      <w:r w:rsidRPr="00025F31">
        <w:rPr>
          <w:rFonts w:cstheme="minorHAnsi"/>
        </w:rPr>
        <w:t>idoneo alla creazione di un dispositivo a regime da attivare anche in futuro per analoghe</w:t>
      </w:r>
      <w:r>
        <w:rPr>
          <w:rFonts w:cstheme="minorHAnsi"/>
        </w:rPr>
        <w:t xml:space="preserve"> </w:t>
      </w:r>
      <w:r w:rsidRPr="00025F31">
        <w:rPr>
          <w:rFonts w:cstheme="minorHAnsi"/>
        </w:rPr>
        <w:t>progettualità.</w:t>
      </w:r>
    </w:p>
    <w:p w:rsidR="00D37CE7" w:rsidRPr="00025F31" w:rsidRDefault="00D37CE7" w:rsidP="00D37CE7">
      <w:pPr>
        <w:autoSpaceDE w:val="0"/>
        <w:autoSpaceDN w:val="0"/>
        <w:adjustRightInd w:val="0"/>
        <w:spacing w:after="0" w:line="240" w:lineRule="auto"/>
        <w:jc w:val="both"/>
        <w:rPr>
          <w:rFonts w:cstheme="minorHAnsi"/>
          <w:b/>
          <w:bCs/>
        </w:rPr>
      </w:pPr>
      <w:r w:rsidRPr="00025F31">
        <w:rPr>
          <w:rFonts w:cstheme="minorHAnsi"/>
          <w:b/>
          <w:bCs/>
        </w:rPr>
        <w:t>Art. 1</w:t>
      </w:r>
    </w:p>
    <w:p w:rsidR="00D37CE7" w:rsidRPr="00025F31" w:rsidRDefault="00D37CE7" w:rsidP="00D37CE7">
      <w:pPr>
        <w:autoSpaceDE w:val="0"/>
        <w:autoSpaceDN w:val="0"/>
        <w:adjustRightInd w:val="0"/>
        <w:spacing w:after="0" w:line="240" w:lineRule="auto"/>
        <w:jc w:val="both"/>
        <w:rPr>
          <w:rFonts w:cstheme="minorHAnsi"/>
          <w:b/>
          <w:bCs/>
        </w:rPr>
      </w:pPr>
      <w:r w:rsidRPr="00025F31">
        <w:rPr>
          <w:rFonts w:cstheme="minorHAnsi"/>
          <w:b/>
          <w:bCs/>
        </w:rPr>
        <w:t>Oggetto</w:t>
      </w:r>
    </w:p>
    <w:p w:rsidR="00D37CE7" w:rsidRPr="00025F31" w:rsidRDefault="00D37CE7" w:rsidP="00D37CE7">
      <w:pPr>
        <w:autoSpaceDE w:val="0"/>
        <w:autoSpaceDN w:val="0"/>
        <w:adjustRightInd w:val="0"/>
        <w:spacing w:after="0" w:line="240" w:lineRule="auto"/>
        <w:jc w:val="both"/>
        <w:rPr>
          <w:rFonts w:cstheme="minorHAnsi"/>
        </w:rPr>
      </w:pPr>
      <w:r w:rsidRPr="00025F31">
        <w:rPr>
          <w:rFonts w:cstheme="minorHAnsi"/>
        </w:rPr>
        <w:t>Oggetto del presente Accordo è la realizzazione di utili forme di coordinamento tra le Parti al</w:t>
      </w:r>
      <w:r>
        <w:rPr>
          <w:rFonts w:cstheme="minorHAnsi"/>
        </w:rPr>
        <w:t xml:space="preserve"> </w:t>
      </w:r>
      <w:r w:rsidRPr="00025F31">
        <w:rPr>
          <w:rFonts w:cstheme="minorHAnsi"/>
        </w:rPr>
        <w:t>fine di assicurare l’attuazione degli interventi in materia di rimpatrio volontario assistito,</w:t>
      </w:r>
      <w:r>
        <w:rPr>
          <w:rFonts w:cstheme="minorHAnsi"/>
        </w:rPr>
        <w:t xml:space="preserve"> </w:t>
      </w:r>
      <w:r w:rsidRPr="00025F31">
        <w:rPr>
          <w:rFonts w:cstheme="minorHAnsi"/>
        </w:rPr>
        <w:t>ponendo in essere adeguate modalità organizzative tra le stesse e con i soggetti che verranno</w:t>
      </w:r>
      <w:r>
        <w:rPr>
          <w:rFonts w:cstheme="minorHAnsi"/>
        </w:rPr>
        <w:t xml:space="preserve"> </w:t>
      </w:r>
      <w:r w:rsidRPr="00025F31">
        <w:rPr>
          <w:rFonts w:cstheme="minorHAnsi"/>
        </w:rPr>
        <w:t>chiamati a sviluppare le fasi operative del progetto, con procedure a norma di legge.</w:t>
      </w:r>
    </w:p>
    <w:p w:rsidR="00D37CE7" w:rsidRPr="00025F31" w:rsidRDefault="00D37CE7" w:rsidP="00D37CE7">
      <w:pPr>
        <w:autoSpaceDE w:val="0"/>
        <w:autoSpaceDN w:val="0"/>
        <w:adjustRightInd w:val="0"/>
        <w:spacing w:after="0" w:line="240" w:lineRule="auto"/>
        <w:jc w:val="both"/>
        <w:rPr>
          <w:rFonts w:cstheme="minorHAnsi"/>
        </w:rPr>
      </w:pPr>
      <w:r w:rsidRPr="00025F31">
        <w:rPr>
          <w:rFonts w:cstheme="minorHAnsi"/>
        </w:rPr>
        <w:t>A tal fine, la Regione, in qualità di soggetto coordinatore e le Prefetture, in qualità di partner,</w:t>
      </w:r>
      <w:r>
        <w:rPr>
          <w:rFonts w:cstheme="minorHAnsi"/>
        </w:rPr>
        <w:t xml:space="preserve"> </w:t>
      </w:r>
      <w:r w:rsidRPr="00025F31">
        <w:rPr>
          <w:rFonts w:cstheme="minorHAnsi"/>
        </w:rPr>
        <w:t>garantiranno l’efficace raccordo con i soggetti che beneficeranno del finanziamento, allo</w:t>
      </w:r>
      <w:r>
        <w:rPr>
          <w:rFonts w:cstheme="minorHAnsi"/>
        </w:rPr>
        <w:t xml:space="preserve"> </w:t>
      </w:r>
      <w:r w:rsidRPr="00025F31">
        <w:rPr>
          <w:rFonts w:cstheme="minorHAnsi"/>
        </w:rPr>
        <w:t>scopo di verificare il puntuale adempimento delle fasi progettuali degli impegni contrattuali,</w:t>
      </w:r>
      <w:r>
        <w:rPr>
          <w:rFonts w:cstheme="minorHAnsi"/>
        </w:rPr>
        <w:t xml:space="preserve"> </w:t>
      </w:r>
      <w:r w:rsidRPr="00025F31">
        <w:rPr>
          <w:rFonts w:cstheme="minorHAnsi"/>
        </w:rPr>
        <w:t>informando costantemente il Dipartimento per le Libertà civili e l’Immigrazione presso cui è</w:t>
      </w:r>
      <w:r>
        <w:rPr>
          <w:rFonts w:cstheme="minorHAnsi"/>
        </w:rPr>
        <w:t xml:space="preserve"> </w:t>
      </w:r>
      <w:r w:rsidRPr="00025F31">
        <w:rPr>
          <w:rFonts w:cstheme="minorHAnsi"/>
        </w:rPr>
        <w:t>incardinata l’Autorità responsabile del FAMI, erogatrice del finanziamento.</w:t>
      </w:r>
    </w:p>
    <w:p w:rsidR="00D37CE7" w:rsidRPr="00025F31" w:rsidRDefault="00D37CE7" w:rsidP="00D37CE7">
      <w:pPr>
        <w:autoSpaceDE w:val="0"/>
        <w:autoSpaceDN w:val="0"/>
        <w:adjustRightInd w:val="0"/>
        <w:spacing w:after="0" w:line="240" w:lineRule="auto"/>
        <w:jc w:val="both"/>
        <w:rPr>
          <w:rFonts w:cstheme="minorHAnsi"/>
          <w:b/>
          <w:bCs/>
        </w:rPr>
      </w:pPr>
      <w:r w:rsidRPr="00025F31">
        <w:rPr>
          <w:rFonts w:cstheme="minorHAnsi"/>
          <w:b/>
          <w:bCs/>
        </w:rPr>
        <w:t>Art. 2</w:t>
      </w:r>
    </w:p>
    <w:p w:rsidR="00D37CE7" w:rsidRPr="00025F31" w:rsidRDefault="00D37CE7" w:rsidP="00D37CE7">
      <w:pPr>
        <w:autoSpaceDE w:val="0"/>
        <w:autoSpaceDN w:val="0"/>
        <w:adjustRightInd w:val="0"/>
        <w:spacing w:after="0" w:line="240" w:lineRule="auto"/>
        <w:jc w:val="both"/>
        <w:rPr>
          <w:rFonts w:cstheme="minorHAnsi"/>
          <w:b/>
          <w:bCs/>
        </w:rPr>
      </w:pPr>
      <w:r w:rsidRPr="00025F31">
        <w:rPr>
          <w:rFonts w:cstheme="minorHAnsi"/>
          <w:b/>
          <w:bCs/>
        </w:rPr>
        <w:t>Impegni delle Parti</w:t>
      </w:r>
    </w:p>
    <w:p w:rsidR="00D37CE7" w:rsidRPr="00025F31" w:rsidRDefault="00D37CE7" w:rsidP="00D37CE7">
      <w:pPr>
        <w:autoSpaceDE w:val="0"/>
        <w:autoSpaceDN w:val="0"/>
        <w:adjustRightInd w:val="0"/>
        <w:spacing w:after="0" w:line="240" w:lineRule="auto"/>
        <w:jc w:val="both"/>
        <w:rPr>
          <w:rFonts w:cstheme="minorHAnsi"/>
        </w:rPr>
      </w:pPr>
      <w:r w:rsidRPr="00025F31">
        <w:rPr>
          <w:rFonts w:cstheme="minorHAnsi"/>
        </w:rPr>
        <w:t>La Regione Piemonte, in qualità di soggetto istituzionale coordinatore garantisce:</w:t>
      </w:r>
    </w:p>
    <w:p w:rsidR="00D37CE7" w:rsidRPr="00025F31" w:rsidRDefault="00D37CE7" w:rsidP="00D37CE7">
      <w:pPr>
        <w:autoSpaceDE w:val="0"/>
        <w:autoSpaceDN w:val="0"/>
        <w:adjustRightInd w:val="0"/>
        <w:spacing w:after="0" w:line="240" w:lineRule="auto"/>
        <w:jc w:val="both"/>
        <w:rPr>
          <w:rFonts w:cstheme="minorHAnsi"/>
        </w:rPr>
      </w:pPr>
      <w:r w:rsidRPr="00025F31">
        <w:rPr>
          <w:rFonts w:cstheme="minorHAnsi"/>
        </w:rPr>
        <w:t>- la governance del progetto attraverso l’istituzione di un Tavolo di concertazione e di</w:t>
      </w:r>
      <w:r>
        <w:rPr>
          <w:rFonts w:cstheme="minorHAnsi"/>
        </w:rPr>
        <w:t xml:space="preserve"> </w:t>
      </w:r>
      <w:r w:rsidRPr="00025F31">
        <w:rPr>
          <w:rFonts w:cstheme="minorHAnsi"/>
        </w:rPr>
        <w:t>programmazione territoriale;</w:t>
      </w:r>
    </w:p>
    <w:p w:rsidR="00D37CE7" w:rsidRPr="00025F31" w:rsidRDefault="00D37CE7" w:rsidP="00D37CE7">
      <w:pPr>
        <w:autoSpaceDE w:val="0"/>
        <w:autoSpaceDN w:val="0"/>
        <w:adjustRightInd w:val="0"/>
        <w:spacing w:after="0" w:line="240" w:lineRule="auto"/>
        <w:jc w:val="both"/>
        <w:rPr>
          <w:rFonts w:cstheme="minorHAnsi"/>
        </w:rPr>
      </w:pPr>
      <w:r w:rsidRPr="00025F31">
        <w:rPr>
          <w:rFonts w:cstheme="minorHAnsi"/>
        </w:rPr>
        <w:t>- la promozione sul territorio di interventi mirati a favorire il coinvolgimento di tutti i</w:t>
      </w:r>
      <w:r>
        <w:rPr>
          <w:rFonts w:cstheme="minorHAnsi"/>
        </w:rPr>
        <w:t xml:space="preserve"> </w:t>
      </w:r>
      <w:r w:rsidRPr="00025F31">
        <w:rPr>
          <w:rFonts w:cstheme="minorHAnsi"/>
        </w:rPr>
        <w:t>soggetti operanti nel settore di riferimento al fine di delineare un circuito operativo efficace a</w:t>
      </w:r>
      <w:r>
        <w:rPr>
          <w:rFonts w:cstheme="minorHAnsi"/>
        </w:rPr>
        <w:t xml:space="preserve"> </w:t>
      </w:r>
      <w:r w:rsidRPr="00025F31">
        <w:rPr>
          <w:rFonts w:cstheme="minorHAnsi"/>
        </w:rPr>
        <w:t>partire dalla fase di segnalazione fino alla reintegrazione nel Paese di origine.</w:t>
      </w:r>
    </w:p>
    <w:p w:rsidR="00D37CE7" w:rsidRPr="00025F31" w:rsidRDefault="00D37CE7" w:rsidP="00D37CE7">
      <w:pPr>
        <w:autoSpaceDE w:val="0"/>
        <w:autoSpaceDN w:val="0"/>
        <w:adjustRightInd w:val="0"/>
        <w:spacing w:after="0" w:line="240" w:lineRule="auto"/>
        <w:jc w:val="both"/>
        <w:rPr>
          <w:rFonts w:cstheme="minorHAnsi"/>
        </w:rPr>
      </w:pPr>
      <w:r w:rsidRPr="00025F31">
        <w:rPr>
          <w:rFonts w:cstheme="minorHAnsi"/>
        </w:rPr>
        <w:t>Le Prefetture, in qualità di partner, in stretto raccordo con la Regione, assicurano:</w:t>
      </w:r>
    </w:p>
    <w:p w:rsidR="00D37CE7" w:rsidRPr="00025F31" w:rsidRDefault="00D37CE7" w:rsidP="00D37CE7">
      <w:pPr>
        <w:autoSpaceDE w:val="0"/>
        <w:autoSpaceDN w:val="0"/>
        <w:adjustRightInd w:val="0"/>
        <w:spacing w:after="0" w:line="240" w:lineRule="auto"/>
        <w:jc w:val="both"/>
        <w:rPr>
          <w:rFonts w:cstheme="minorHAnsi"/>
        </w:rPr>
      </w:pPr>
      <w:r w:rsidRPr="00025F31">
        <w:rPr>
          <w:rFonts w:cstheme="minorHAnsi"/>
        </w:rPr>
        <w:t>- il sostegno alla governance territoriale, in sinergia con le Questure, a garanzia della</w:t>
      </w:r>
      <w:r>
        <w:rPr>
          <w:rFonts w:cstheme="minorHAnsi"/>
        </w:rPr>
        <w:t xml:space="preserve"> </w:t>
      </w:r>
      <w:r w:rsidRPr="00025F31">
        <w:rPr>
          <w:rFonts w:cstheme="minorHAnsi"/>
        </w:rPr>
        <w:t>sicurezza e dell’emersione di casi di cittadini in condizione di irregolarità, potenzialmente</w:t>
      </w:r>
      <w:r>
        <w:rPr>
          <w:rFonts w:cstheme="minorHAnsi"/>
        </w:rPr>
        <w:t xml:space="preserve"> </w:t>
      </w:r>
      <w:r w:rsidRPr="00025F31">
        <w:rPr>
          <w:rFonts w:cstheme="minorHAnsi"/>
        </w:rPr>
        <w:t>interessati dalla misura RVA, attivando i necessari tavoli di concertazione, anche per</w:t>
      </w:r>
      <w:r>
        <w:rPr>
          <w:rFonts w:cstheme="minorHAnsi"/>
        </w:rPr>
        <w:t xml:space="preserve"> </w:t>
      </w:r>
      <w:r w:rsidRPr="00025F31">
        <w:rPr>
          <w:rFonts w:cstheme="minorHAnsi"/>
        </w:rPr>
        <w:t>facilitare l’iter procedurale dei rimpatri e per adottare le iniziative necessarie alla soluzione</w:t>
      </w:r>
      <w:r>
        <w:rPr>
          <w:rFonts w:cstheme="minorHAnsi"/>
        </w:rPr>
        <w:t xml:space="preserve"> </w:t>
      </w:r>
      <w:r w:rsidRPr="00025F31">
        <w:rPr>
          <w:rFonts w:cstheme="minorHAnsi"/>
        </w:rPr>
        <w:t>di eventuali problematiche connesse all’attuazione degli interventi;</w:t>
      </w:r>
    </w:p>
    <w:p w:rsidR="00D37CE7" w:rsidRPr="00025F31" w:rsidRDefault="00D37CE7" w:rsidP="00D37CE7">
      <w:pPr>
        <w:autoSpaceDE w:val="0"/>
        <w:autoSpaceDN w:val="0"/>
        <w:adjustRightInd w:val="0"/>
        <w:spacing w:after="0" w:line="240" w:lineRule="auto"/>
        <w:jc w:val="both"/>
        <w:rPr>
          <w:rFonts w:cstheme="minorHAnsi"/>
        </w:rPr>
      </w:pPr>
      <w:r w:rsidRPr="00025F31">
        <w:rPr>
          <w:rFonts w:cstheme="minorHAnsi"/>
        </w:rPr>
        <w:t>- il rafforzamento delle attività di propria competenza relative alle autorizzazioni dei casi di</w:t>
      </w:r>
      <w:r>
        <w:rPr>
          <w:rFonts w:cstheme="minorHAnsi"/>
        </w:rPr>
        <w:t xml:space="preserve"> </w:t>
      </w:r>
      <w:r w:rsidRPr="00025F31">
        <w:rPr>
          <w:rFonts w:cstheme="minorHAnsi"/>
        </w:rPr>
        <w:t>rimpatrio;</w:t>
      </w:r>
    </w:p>
    <w:p w:rsidR="00D37CE7" w:rsidRPr="00025F31" w:rsidRDefault="00D37CE7" w:rsidP="00D37CE7">
      <w:pPr>
        <w:autoSpaceDE w:val="0"/>
        <w:autoSpaceDN w:val="0"/>
        <w:adjustRightInd w:val="0"/>
        <w:spacing w:after="0" w:line="240" w:lineRule="auto"/>
        <w:jc w:val="both"/>
        <w:rPr>
          <w:rFonts w:cstheme="minorHAnsi"/>
        </w:rPr>
      </w:pPr>
      <w:r w:rsidRPr="00025F31">
        <w:rPr>
          <w:rFonts w:cstheme="minorHAnsi"/>
        </w:rPr>
        <w:t>Al fine di assicurare la migliore realizzazione degli obiettivi specificati nel presente accordo</w:t>
      </w:r>
      <w:r>
        <w:rPr>
          <w:rFonts w:cstheme="minorHAnsi"/>
        </w:rPr>
        <w:t xml:space="preserve"> </w:t>
      </w:r>
      <w:r w:rsidRPr="00025F31">
        <w:rPr>
          <w:rFonts w:cstheme="minorHAnsi"/>
        </w:rPr>
        <w:t>verranno istituite una Cabina di Regia di cui faranno parte i soggetti sottoscrittori ed il</w:t>
      </w:r>
      <w:r>
        <w:rPr>
          <w:rFonts w:cstheme="minorHAnsi"/>
        </w:rPr>
        <w:t xml:space="preserve"> </w:t>
      </w:r>
      <w:r w:rsidRPr="00025F31">
        <w:rPr>
          <w:rFonts w:cstheme="minorHAnsi"/>
        </w:rPr>
        <w:t>Comune capoluogo di Regione, nonché Tavoli Tecnici per ogni provincia.</w:t>
      </w:r>
    </w:p>
    <w:p w:rsidR="00D37CE7" w:rsidRPr="00025F31" w:rsidRDefault="00D37CE7" w:rsidP="00D37CE7">
      <w:pPr>
        <w:autoSpaceDE w:val="0"/>
        <w:autoSpaceDN w:val="0"/>
        <w:adjustRightInd w:val="0"/>
        <w:spacing w:after="0" w:line="240" w:lineRule="auto"/>
        <w:jc w:val="both"/>
        <w:rPr>
          <w:rFonts w:cstheme="minorHAnsi"/>
        </w:rPr>
      </w:pPr>
      <w:r w:rsidRPr="00025F31">
        <w:rPr>
          <w:rFonts w:cstheme="minorHAnsi"/>
        </w:rPr>
        <w:t>Le Parti si impegnano a concordare, in uno spirito di reciproca collaborazione, eventuali</w:t>
      </w:r>
      <w:r>
        <w:rPr>
          <w:rFonts w:cstheme="minorHAnsi"/>
        </w:rPr>
        <w:t xml:space="preserve"> </w:t>
      </w:r>
      <w:r w:rsidRPr="00025F31">
        <w:rPr>
          <w:rFonts w:cstheme="minorHAnsi"/>
        </w:rPr>
        <w:t>procedure ed adempimenti non specificati nel presente Accordo, ma necessari per un</w:t>
      </w:r>
      <w:r>
        <w:rPr>
          <w:rFonts w:cstheme="minorHAnsi"/>
        </w:rPr>
        <w:t xml:space="preserve"> </w:t>
      </w:r>
      <w:r w:rsidRPr="00025F31">
        <w:rPr>
          <w:rFonts w:cstheme="minorHAnsi"/>
        </w:rPr>
        <w:t>ottimale conseguimento dei reciproci obiettivi.</w:t>
      </w:r>
    </w:p>
    <w:p w:rsidR="00D37CE7" w:rsidRPr="00025F31" w:rsidRDefault="00D37CE7" w:rsidP="00D37CE7">
      <w:pPr>
        <w:autoSpaceDE w:val="0"/>
        <w:autoSpaceDN w:val="0"/>
        <w:adjustRightInd w:val="0"/>
        <w:spacing w:after="0" w:line="240" w:lineRule="auto"/>
        <w:jc w:val="both"/>
        <w:rPr>
          <w:rFonts w:cstheme="minorHAnsi"/>
        </w:rPr>
      </w:pPr>
      <w:r w:rsidRPr="00025F31">
        <w:rPr>
          <w:rFonts w:cstheme="minorHAnsi"/>
        </w:rPr>
        <w:t>Torino,</w:t>
      </w:r>
    </w:p>
    <w:p w:rsidR="00D37CE7" w:rsidRPr="00025F31" w:rsidRDefault="00D37CE7" w:rsidP="00D37CE7">
      <w:pPr>
        <w:autoSpaceDE w:val="0"/>
        <w:autoSpaceDN w:val="0"/>
        <w:adjustRightInd w:val="0"/>
        <w:spacing w:after="0" w:line="240" w:lineRule="auto"/>
        <w:jc w:val="both"/>
        <w:rPr>
          <w:rFonts w:cstheme="minorHAnsi"/>
        </w:rPr>
      </w:pPr>
      <w:r w:rsidRPr="00025F31">
        <w:rPr>
          <w:rFonts w:cstheme="minorHAnsi"/>
        </w:rPr>
        <w:t>IL PRESIDENTE DELLA REGIONE PIEMONTE</w:t>
      </w:r>
    </w:p>
    <w:p w:rsidR="00D37CE7" w:rsidRPr="00025F31" w:rsidRDefault="00D37CE7" w:rsidP="00D37CE7">
      <w:pPr>
        <w:autoSpaceDE w:val="0"/>
        <w:autoSpaceDN w:val="0"/>
        <w:adjustRightInd w:val="0"/>
        <w:spacing w:after="0" w:line="240" w:lineRule="auto"/>
        <w:jc w:val="both"/>
        <w:rPr>
          <w:rFonts w:cstheme="minorHAnsi"/>
        </w:rPr>
      </w:pPr>
      <w:r w:rsidRPr="00025F31">
        <w:rPr>
          <w:rFonts w:cstheme="minorHAnsi"/>
        </w:rPr>
        <w:t>_______________________</w:t>
      </w:r>
    </w:p>
    <w:p w:rsidR="00D37CE7" w:rsidRPr="00025F31" w:rsidRDefault="00D37CE7" w:rsidP="00D37CE7">
      <w:pPr>
        <w:autoSpaceDE w:val="0"/>
        <w:autoSpaceDN w:val="0"/>
        <w:adjustRightInd w:val="0"/>
        <w:spacing w:after="0" w:line="240" w:lineRule="auto"/>
        <w:jc w:val="both"/>
        <w:rPr>
          <w:rFonts w:cstheme="minorHAnsi"/>
        </w:rPr>
      </w:pPr>
      <w:r w:rsidRPr="00025F31">
        <w:rPr>
          <w:rFonts w:cstheme="minorHAnsi"/>
        </w:rPr>
        <w:t>IL PREFETTO DI TORINO</w:t>
      </w:r>
    </w:p>
    <w:p w:rsidR="00D37CE7" w:rsidRPr="00025F31" w:rsidRDefault="00D37CE7" w:rsidP="00D37CE7">
      <w:pPr>
        <w:autoSpaceDE w:val="0"/>
        <w:autoSpaceDN w:val="0"/>
        <w:adjustRightInd w:val="0"/>
        <w:spacing w:after="0" w:line="240" w:lineRule="auto"/>
        <w:jc w:val="both"/>
        <w:rPr>
          <w:rFonts w:cstheme="minorHAnsi"/>
        </w:rPr>
      </w:pPr>
      <w:r w:rsidRPr="00025F31">
        <w:rPr>
          <w:rFonts w:cstheme="minorHAnsi"/>
        </w:rPr>
        <w:t>_______________________</w:t>
      </w:r>
    </w:p>
    <w:p w:rsidR="00D37CE7" w:rsidRPr="00025F31" w:rsidRDefault="00D37CE7" w:rsidP="00D37CE7">
      <w:pPr>
        <w:autoSpaceDE w:val="0"/>
        <w:autoSpaceDN w:val="0"/>
        <w:adjustRightInd w:val="0"/>
        <w:spacing w:after="0" w:line="240" w:lineRule="auto"/>
        <w:jc w:val="both"/>
        <w:rPr>
          <w:rFonts w:cstheme="minorHAnsi"/>
        </w:rPr>
      </w:pPr>
      <w:r w:rsidRPr="00025F31">
        <w:rPr>
          <w:rFonts w:cstheme="minorHAnsi"/>
        </w:rPr>
        <w:t>IL PREFETTO DI ALESSANDRIA</w:t>
      </w:r>
    </w:p>
    <w:p w:rsidR="00D37CE7" w:rsidRPr="00025F31" w:rsidRDefault="00D37CE7" w:rsidP="00D37CE7">
      <w:pPr>
        <w:autoSpaceDE w:val="0"/>
        <w:autoSpaceDN w:val="0"/>
        <w:adjustRightInd w:val="0"/>
        <w:spacing w:after="0" w:line="240" w:lineRule="auto"/>
        <w:jc w:val="both"/>
        <w:rPr>
          <w:rFonts w:cstheme="minorHAnsi"/>
        </w:rPr>
      </w:pPr>
      <w:r w:rsidRPr="00025F31">
        <w:rPr>
          <w:rFonts w:cstheme="minorHAnsi"/>
        </w:rPr>
        <w:t>_______________________</w:t>
      </w:r>
    </w:p>
    <w:p w:rsidR="00D37CE7" w:rsidRPr="00025F31" w:rsidRDefault="00D37CE7" w:rsidP="00D37CE7">
      <w:pPr>
        <w:autoSpaceDE w:val="0"/>
        <w:autoSpaceDN w:val="0"/>
        <w:adjustRightInd w:val="0"/>
        <w:spacing w:after="0" w:line="240" w:lineRule="auto"/>
        <w:jc w:val="both"/>
        <w:rPr>
          <w:rFonts w:cstheme="minorHAnsi"/>
        </w:rPr>
      </w:pPr>
      <w:r w:rsidRPr="00025F31">
        <w:rPr>
          <w:rFonts w:cstheme="minorHAnsi"/>
        </w:rPr>
        <w:t>IL PREFETTO DI ASTI</w:t>
      </w:r>
    </w:p>
    <w:p w:rsidR="00D37CE7" w:rsidRPr="00025F31" w:rsidRDefault="00D37CE7" w:rsidP="00D37CE7">
      <w:pPr>
        <w:autoSpaceDE w:val="0"/>
        <w:autoSpaceDN w:val="0"/>
        <w:adjustRightInd w:val="0"/>
        <w:spacing w:after="0" w:line="240" w:lineRule="auto"/>
        <w:jc w:val="both"/>
        <w:rPr>
          <w:rFonts w:cstheme="minorHAnsi"/>
        </w:rPr>
      </w:pPr>
      <w:r w:rsidRPr="00025F31">
        <w:rPr>
          <w:rFonts w:cstheme="minorHAnsi"/>
        </w:rPr>
        <w:t>____________________</w:t>
      </w:r>
    </w:p>
    <w:p w:rsidR="00D37CE7" w:rsidRPr="00025F31" w:rsidRDefault="00D37CE7" w:rsidP="00D37CE7">
      <w:pPr>
        <w:autoSpaceDE w:val="0"/>
        <w:autoSpaceDN w:val="0"/>
        <w:adjustRightInd w:val="0"/>
        <w:spacing w:after="0" w:line="240" w:lineRule="auto"/>
        <w:jc w:val="both"/>
        <w:rPr>
          <w:rFonts w:cstheme="minorHAnsi"/>
        </w:rPr>
      </w:pPr>
      <w:r w:rsidRPr="00025F31">
        <w:rPr>
          <w:rFonts w:cstheme="minorHAnsi"/>
        </w:rPr>
        <w:t>IL PREFETTO DI BIELLA</w:t>
      </w:r>
    </w:p>
    <w:p w:rsidR="00D37CE7" w:rsidRPr="00025F31" w:rsidRDefault="00D37CE7" w:rsidP="00D37CE7">
      <w:pPr>
        <w:autoSpaceDE w:val="0"/>
        <w:autoSpaceDN w:val="0"/>
        <w:adjustRightInd w:val="0"/>
        <w:spacing w:after="0" w:line="240" w:lineRule="auto"/>
        <w:jc w:val="both"/>
        <w:rPr>
          <w:rFonts w:cstheme="minorHAnsi"/>
        </w:rPr>
      </w:pPr>
      <w:r w:rsidRPr="00025F31">
        <w:rPr>
          <w:rFonts w:cstheme="minorHAnsi"/>
        </w:rPr>
        <w:t>______________________</w:t>
      </w:r>
    </w:p>
    <w:p w:rsidR="00D37CE7" w:rsidRPr="00025F31" w:rsidRDefault="00D37CE7" w:rsidP="00D37CE7">
      <w:pPr>
        <w:autoSpaceDE w:val="0"/>
        <w:autoSpaceDN w:val="0"/>
        <w:adjustRightInd w:val="0"/>
        <w:spacing w:after="0" w:line="240" w:lineRule="auto"/>
        <w:jc w:val="both"/>
        <w:rPr>
          <w:rFonts w:cstheme="minorHAnsi"/>
        </w:rPr>
      </w:pPr>
      <w:r w:rsidRPr="00025F31">
        <w:rPr>
          <w:rFonts w:cstheme="minorHAnsi"/>
        </w:rPr>
        <w:t>IL PREFETTO DI CUNEO</w:t>
      </w:r>
    </w:p>
    <w:p w:rsidR="00D37CE7" w:rsidRPr="00025F31" w:rsidRDefault="00D37CE7" w:rsidP="00D37CE7">
      <w:pPr>
        <w:autoSpaceDE w:val="0"/>
        <w:autoSpaceDN w:val="0"/>
        <w:adjustRightInd w:val="0"/>
        <w:spacing w:after="0" w:line="240" w:lineRule="auto"/>
        <w:jc w:val="both"/>
        <w:rPr>
          <w:rFonts w:cstheme="minorHAnsi"/>
        </w:rPr>
      </w:pPr>
      <w:r w:rsidRPr="00025F31">
        <w:rPr>
          <w:rFonts w:cstheme="minorHAnsi"/>
        </w:rPr>
        <w:t>_______________________</w:t>
      </w:r>
    </w:p>
    <w:p w:rsidR="00D37CE7" w:rsidRPr="00025F31" w:rsidRDefault="00D37CE7" w:rsidP="00D37CE7">
      <w:pPr>
        <w:autoSpaceDE w:val="0"/>
        <w:autoSpaceDN w:val="0"/>
        <w:adjustRightInd w:val="0"/>
        <w:spacing w:after="0" w:line="240" w:lineRule="auto"/>
        <w:jc w:val="both"/>
        <w:rPr>
          <w:rFonts w:cstheme="minorHAnsi"/>
        </w:rPr>
      </w:pPr>
      <w:r w:rsidRPr="00025F31">
        <w:rPr>
          <w:rFonts w:cstheme="minorHAnsi"/>
        </w:rPr>
        <w:t>IL PREFETTO DI NOVARA</w:t>
      </w:r>
    </w:p>
    <w:p w:rsidR="00D37CE7" w:rsidRPr="00025F31" w:rsidRDefault="00D37CE7" w:rsidP="00D37CE7">
      <w:pPr>
        <w:autoSpaceDE w:val="0"/>
        <w:autoSpaceDN w:val="0"/>
        <w:adjustRightInd w:val="0"/>
        <w:spacing w:after="0" w:line="240" w:lineRule="auto"/>
        <w:jc w:val="both"/>
        <w:rPr>
          <w:rFonts w:cstheme="minorHAnsi"/>
        </w:rPr>
      </w:pPr>
      <w:r w:rsidRPr="00025F31">
        <w:rPr>
          <w:rFonts w:cstheme="minorHAnsi"/>
        </w:rPr>
        <w:lastRenderedPageBreak/>
        <w:t>________________________</w:t>
      </w:r>
    </w:p>
    <w:p w:rsidR="00D37CE7" w:rsidRPr="00025F31" w:rsidRDefault="00D37CE7" w:rsidP="00D37CE7">
      <w:pPr>
        <w:autoSpaceDE w:val="0"/>
        <w:autoSpaceDN w:val="0"/>
        <w:adjustRightInd w:val="0"/>
        <w:spacing w:after="0" w:line="240" w:lineRule="auto"/>
        <w:jc w:val="both"/>
        <w:rPr>
          <w:rFonts w:cstheme="minorHAnsi"/>
        </w:rPr>
      </w:pPr>
      <w:r w:rsidRPr="00025F31">
        <w:rPr>
          <w:rFonts w:cstheme="minorHAnsi"/>
        </w:rPr>
        <w:t>IL PREFETTO DI VERBANO CUSIO OSSOLA</w:t>
      </w:r>
    </w:p>
    <w:p w:rsidR="00D37CE7" w:rsidRPr="00025F31" w:rsidRDefault="00D37CE7" w:rsidP="00D37CE7">
      <w:pPr>
        <w:autoSpaceDE w:val="0"/>
        <w:autoSpaceDN w:val="0"/>
        <w:adjustRightInd w:val="0"/>
        <w:spacing w:after="0" w:line="240" w:lineRule="auto"/>
        <w:jc w:val="both"/>
        <w:rPr>
          <w:rFonts w:cstheme="minorHAnsi"/>
        </w:rPr>
      </w:pPr>
      <w:r w:rsidRPr="00025F31">
        <w:rPr>
          <w:rFonts w:cstheme="minorHAnsi"/>
        </w:rPr>
        <w:t>____________________________</w:t>
      </w:r>
    </w:p>
    <w:p w:rsidR="00D37CE7" w:rsidRDefault="000954B2" w:rsidP="00D37CE7">
      <w:pPr>
        <w:pBdr>
          <w:bottom w:val="single" w:sz="12" w:space="1" w:color="auto"/>
        </w:pBdr>
        <w:autoSpaceDE w:val="0"/>
        <w:autoSpaceDN w:val="0"/>
        <w:adjustRightInd w:val="0"/>
        <w:spacing w:after="0" w:line="240" w:lineRule="auto"/>
        <w:jc w:val="both"/>
        <w:rPr>
          <w:rFonts w:cstheme="minorHAnsi"/>
        </w:rPr>
      </w:pPr>
      <w:r>
        <w:rPr>
          <w:rFonts w:cstheme="minorHAnsi"/>
        </w:rPr>
        <w:t>IL PREFETTO DI VERCELLI</w:t>
      </w:r>
    </w:p>
    <w:p w:rsidR="00B66976" w:rsidRDefault="00B66976" w:rsidP="00D37CE7">
      <w:pPr>
        <w:pBdr>
          <w:bottom w:val="single" w:sz="12" w:space="1" w:color="auto"/>
        </w:pBdr>
        <w:autoSpaceDE w:val="0"/>
        <w:autoSpaceDN w:val="0"/>
        <w:adjustRightInd w:val="0"/>
        <w:spacing w:after="0" w:line="240" w:lineRule="auto"/>
        <w:jc w:val="both"/>
        <w:rPr>
          <w:rFonts w:cstheme="minorHAnsi"/>
        </w:rPr>
      </w:pPr>
    </w:p>
    <w:p w:rsidR="00B66976" w:rsidRPr="00B66976" w:rsidRDefault="00B66976" w:rsidP="00B66976">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40" w:lineRule="auto"/>
        <w:jc w:val="center"/>
        <w:rPr>
          <w:rFonts w:cstheme="minorHAnsi"/>
          <w:b/>
        </w:rPr>
      </w:pPr>
      <w:r w:rsidRPr="00B66976">
        <w:rPr>
          <w:rFonts w:cstheme="minorHAnsi"/>
          <w:b/>
        </w:rPr>
        <w:t>MINORI</w:t>
      </w:r>
    </w:p>
    <w:p w:rsidR="00B66976" w:rsidRDefault="00B66976" w:rsidP="00D37CE7">
      <w:pPr>
        <w:pBdr>
          <w:bottom w:val="single" w:sz="12" w:space="1" w:color="auto"/>
        </w:pBdr>
        <w:autoSpaceDE w:val="0"/>
        <w:autoSpaceDN w:val="0"/>
        <w:adjustRightInd w:val="0"/>
        <w:spacing w:after="0" w:line="240" w:lineRule="auto"/>
        <w:jc w:val="both"/>
        <w:rPr>
          <w:rFonts w:cstheme="minorHAnsi"/>
        </w:rPr>
      </w:pPr>
    </w:p>
    <w:p w:rsidR="00B66976" w:rsidRDefault="00B66976" w:rsidP="00B66976">
      <w:pPr>
        <w:spacing w:after="0" w:line="20" w:lineRule="atLeast"/>
        <w:jc w:val="both"/>
        <w:rPr>
          <w:rFonts w:cstheme="minorHAnsi"/>
        </w:rPr>
      </w:pPr>
      <w:r w:rsidRPr="00C7249D">
        <w:rPr>
          <w:rFonts w:cstheme="minorHAnsi"/>
          <w:b/>
        </w:rPr>
        <w:t>D.D. 2 agosto 2019, n. 1115</w:t>
      </w:r>
      <w:r w:rsidRPr="006B0B81">
        <w:rPr>
          <w:rFonts w:cstheme="minorHAnsi"/>
        </w:rPr>
        <w:t xml:space="preserve"> Indizione procedura di selezione pubblica per titoli finalizzata al conferimento di un incarico professionale di psicologo/a per l'ulteriore implementazione, diffusione e disseminazione del progetto "Da bambino a bambino: l'esperienza dell'adozione raccontata dai coetanei che l'hanno vissuta". </w:t>
      </w:r>
      <w:r>
        <w:rPr>
          <w:rFonts w:cstheme="minorHAnsi"/>
        </w:rPr>
        <w:t xml:space="preserve">(BUR n. 32 </w:t>
      </w:r>
      <w:proofErr w:type="gramStart"/>
      <w:r>
        <w:rPr>
          <w:rFonts w:cstheme="minorHAnsi"/>
        </w:rPr>
        <w:t>dell’ 8.8.19</w:t>
      </w:r>
      <w:proofErr w:type="gramEnd"/>
      <w:r>
        <w:rPr>
          <w:rFonts w:cstheme="minorHAnsi"/>
        </w:rPr>
        <w:t>)</w:t>
      </w:r>
    </w:p>
    <w:p w:rsidR="00B66976" w:rsidRPr="00A8290E" w:rsidRDefault="00B66976" w:rsidP="00B66976">
      <w:pPr>
        <w:spacing w:after="0" w:line="20" w:lineRule="atLeast"/>
        <w:jc w:val="both"/>
        <w:rPr>
          <w:rFonts w:cstheme="minorHAnsi"/>
          <w:b/>
        </w:rPr>
      </w:pPr>
      <w:r w:rsidRPr="00A8290E">
        <w:rPr>
          <w:rFonts w:cstheme="minorHAnsi"/>
          <w:b/>
        </w:rPr>
        <w:t>Note</w:t>
      </w:r>
    </w:p>
    <w:p w:rsidR="00B66976" w:rsidRDefault="00B66976" w:rsidP="00B66976">
      <w:pPr>
        <w:spacing w:after="0" w:line="20" w:lineRule="atLeast"/>
        <w:jc w:val="both"/>
        <w:rPr>
          <w:rFonts w:cstheme="minorHAnsi"/>
        </w:rPr>
      </w:pPr>
      <w:r>
        <w:rPr>
          <w:rFonts w:cstheme="minorHAnsi"/>
        </w:rPr>
        <w:t>T</w:t>
      </w:r>
      <w:r w:rsidRPr="006B0B81">
        <w:rPr>
          <w:rFonts w:cstheme="minorHAnsi"/>
        </w:rPr>
        <w:t>ra le funzioni indispensabili per una corretta ed efficace prosecuzione delle attività in materia di adozioni internazionali già in capo all’ARAI, risulta esservi quella relativa alla preparazione dei bambini all’adozione, avviata attraverso il progetto denominato “Da bambino a bambino: l’esperienza dell’adozione raccontata dai coetanei che l’hanno vissuta”, la cui prima fase è stata realizzata dall’Agenzia regionale per le adozioni internazionali nel 2017-2018, offrendo uno strumento innovativo per accompagnare i minori adottabili nei vari delicati passaggi della procedura adottiva attraverso il vissuto di altri bambini realizzando uno strumento multimediale, fruibile e multilingue</w:t>
      </w:r>
      <w:r>
        <w:rPr>
          <w:rFonts w:cstheme="minorHAnsi"/>
        </w:rPr>
        <w:t>.</w:t>
      </w:r>
    </w:p>
    <w:p w:rsidR="00B66976" w:rsidRDefault="00B66976" w:rsidP="00B66976">
      <w:pPr>
        <w:spacing w:after="0" w:line="20" w:lineRule="atLeast"/>
        <w:jc w:val="both"/>
        <w:rPr>
          <w:rFonts w:cstheme="minorHAnsi"/>
        </w:rPr>
      </w:pPr>
      <w:r>
        <w:rPr>
          <w:rFonts w:cstheme="minorHAnsi"/>
        </w:rPr>
        <w:t>Viene ritenuto op</w:t>
      </w:r>
      <w:r w:rsidRPr="006B0B81">
        <w:rPr>
          <w:rFonts w:cstheme="minorHAnsi"/>
        </w:rPr>
        <w:t>portuno, pertanto, investire sulla ulteriore implementazione, diffusione e disseminazione, sia in Italia che all’estero, anche per promuovere la riflessione sulla preparazione dei bambini ed avviare uno scambio professionale sul tema al fine di migliorare la conoscenza e le prassi relative a questo delicato passaggio, contribuendo alla riduzione di un importante fattore di rischio per le crisi adottive dei minori accolti attraverso l’adozione nazionale ed internazionale</w:t>
      </w:r>
    </w:p>
    <w:p w:rsidR="00B66976" w:rsidRDefault="00B66976" w:rsidP="00B66976">
      <w:pPr>
        <w:spacing w:after="0" w:line="20" w:lineRule="atLeast"/>
        <w:jc w:val="both"/>
        <w:rPr>
          <w:rFonts w:cstheme="minorHAnsi"/>
        </w:rPr>
      </w:pPr>
      <w:proofErr w:type="gramStart"/>
      <w:r>
        <w:rPr>
          <w:rFonts w:cstheme="minorHAnsi"/>
        </w:rPr>
        <w:t xml:space="preserve">Viene  </w:t>
      </w:r>
      <w:r w:rsidRPr="006B0B81">
        <w:rPr>
          <w:rFonts w:cstheme="minorHAnsi"/>
        </w:rPr>
        <w:t>ind</w:t>
      </w:r>
      <w:r>
        <w:rPr>
          <w:rFonts w:cstheme="minorHAnsi"/>
        </w:rPr>
        <w:t>etta</w:t>
      </w:r>
      <w:proofErr w:type="gramEnd"/>
      <w:r>
        <w:rPr>
          <w:rFonts w:cstheme="minorHAnsi"/>
        </w:rPr>
        <w:t xml:space="preserve"> </w:t>
      </w:r>
      <w:r w:rsidRPr="006B0B81">
        <w:rPr>
          <w:rFonts w:cstheme="minorHAnsi"/>
        </w:rPr>
        <w:t>una selezione pubblica per titoli basata sulla valutazione comparativa dei curricula ed eventuale successivo colloquio finalizzata al conferimento di un incarico professionale di psicologo/a per l’ulteriore implementazione, diffusione e disseminazione del progetto “Da bambino a bambino: l’esperienza dell’adozione raccontata dai coetanei che l’hanno vissuta”</w:t>
      </w:r>
      <w:r>
        <w:rPr>
          <w:rFonts w:cstheme="minorHAnsi"/>
        </w:rPr>
        <w:t>.</w:t>
      </w:r>
    </w:p>
    <w:p w:rsidR="003648B2" w:rsidRDefault="003648B2" w:rsidP="00B66976">
      <w:pPr>
        <w:spacing w:after="0" w:line="20" w:lineRule="atLeast"/>
        <w:jc w:val="both"/>
        <w:rPr>
          <w:rFonts w:cstheme="minorHAnsi"/>
        </w:rPr>
      </w:pPr>
    </w:p>
    <w:p w:rsidR="003648B2" w:rsidRPr="003648B2" w:rsidRDefault="003648B2" w:rsidP="003648B2">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3648B2">
        <w:rPr>
          <w:rFonts w:cstheme="minorHAnsi"/>
          <w:b/>
        </w:rPr>
        <w:t>PERSONE CON DISABILITÀ</w:t>
      </w:r>
    </w:p>
    <w:p w:rsidR="00E40239" w:rsidRDefault="00E40239" w:rsidP="00B66976">
      <w:pPr>
        <w:spacing w:after="0" w:line="20" w:lineRule="atLeast"/>
        <w:jc w:val="both"/>
        <w:rPr>
          <w:rFonts w:cstheme="minorHAnsi"/>
        </w:rPr>
      </w:pPr>
    </w:p>
    <w:p w:rsidR="00E40239" w:rsidRPr="003648B2" w:rsidRDefault="00E40239" w:rsidP="00E40239">
      <w:pPr>
        <w:tabs>
          <w:tab w:val="left" w:pos="3420"/>
        </w:tabs>
        <w:spacing w:after="0" w:line="20" w:lineRule="atLeast"/>
        <w:jc w:val="both"/>
      </w:pPr>
      <w:r w:rsidRPr="003648B2">
        <w:rPr>
          <w:b/>
        </w:rPr>
        <w:t>DGR 2 agosto 2019, n. 4-</w:t>
      </w:r>
      <w:proofErr w:type="gramStart"/>
      <w:r w:rsidRPr="003648B2">
        <w:rPr>
          <w:b/>
        </w:rPr>
        <w:t>148</w:t>
      </w:r>
      <w:r w:rsidRPr="003648B2">
        <w:t>,  Legge</w:t>
      </w:r>
      <w:proofErr w:type="gramEnd"/>
      <w:r w:rsidRPr="003648B2">
        <w:t xml:space="preserve"> 22 giugno 2016, n. 112. Fondo per l'assistenza alle persone con disabilit</w:t>
      </w:r>
      <w:r w:rsidR="00625922">
        <w:t>à</w:t>
      </w:r>
      <w:r w:rsidRPr="003648B2">
        <w:t xml:space="preserve"> grave prive del sostegno familiare. Approvazione Programma attuativo anno 2018 e criteri di riparto delle risorse ministeriali agli Enti gestori delle funzioni socio-assistenziali. </w:t>
      </w:r>
      <w:r w:rsidR="003648B2">
        <w:t>(BUR n. 34 del 22.8.19)</w:t>
      </w:r>
    </w:p>
    <w:p w:rsidR="00E40239" w:rsidRPr="003648B2" w:rsidRDefault="00E40239" w:rsidP="00E40239">
      <w:pPr>
        <w:tabs>
          <w:tab w:val="left" w:pos="3420"/>
        </w:tabs>
        <w:spacing w:after="0" w:line="20" w:lineRule="atLeast"/>
        <w:jc w:val="both"/>
        <w:rPr>
          <w:b/>
        </w:rPr>
      </w:pPr>
      <w:r w:rsidRPr="003648B2">
        <w:rPr>
          <w:b/>
        </w:rPr>
        <w:t xml:space="preserve">PREMESSA </w:t>
      </w:r>
    </w:p>
    <w:p w:rsidR="003648B2" w:rsidRDefault="003648B2" w:rsidP="00E40239">
      <w:pPr>
        <w:tabs>
          <w:tab w:val="left" w:pos="3420"/>
        </w:tabs>
        <w:spacing w:after="0" w:line="20" w:lineRule="atLeast"/>
        <w:jc w:val="both"/>
      </w:pPr>
      <w:r>
        <w:t>L</w:t>
      </w:r>
      <w:r w:rsidR="00E40239" w:rsidRPr="003648B2">
        <w:t xml:space="preserve">a legge 22 giugno 2016, n. 112, comunemente denominata “Dopo di noi”, disciplina le misure di assistenza, cura e protezione delle persone con disabilità grave prive del sostegno familiare in quanto mancanti di entrambi i genitori o perché gli stessi non sono in grado di fornire l’adeguato sostegno genitoriale, nonché in vista del venire meno del sostegno familiare, attraverso la progressiva presa in carico della persona interessata già durante l’esistenza in vita dei genitori; - l’art. 3, comma 1) della suddetta legge istituisce il Fondo per l’assistenza alle persone con disabilità grave prive del sostegno familiare prevedendo la dotazione finanziaria per gli anni 2016, 2017 e 2018 ed il comma 3) del medesimo articolo prevede che le regioni adottino indirizzi di programmazione e definiscano i criteri e le modalità per l’erogazione dei finanziamenti ministeriali; - il successivo Decreto Ministeriale del 23 novembre 2016 ha individuato gli interventi ed i servizi finanziabili con il Fondo ministeriale nonché i criteri di accesso a tali interventi. </w:t>
      </w:r>
    </w:p>
    <w:p w:rsidR="003648B2" w:rsidRDefault="003648B2" w:rsidP="00E40239">
      <w:pPr>
        <w:tabs>
          <w:tab w:val="left" w:pos="3420"/>
        </w:tabs>
        <w:spacing w:after="0" w:line="20" w:lineRule="atLeast"/>
        <w:jc w:val="both"/>
      </w:pPr>
      <w:r>
        <w:t>C</w:t>
      </w:r>
      <w:r w:rsidR="00E40239" w:rsidRPr="003648B2">
        <w:t>on il Decreto ministeriale del 15 novembre 2018 sono state assegnate alle Regioni le risorse relative all’anno 2018 che per la Regione Piemonte sono pari ad Euro 3.679.200,00;</w:t>
      </w:r>
    </w:p>
    <w:p w:rsidR="003648B2" w:rsidRDefault="003648B2" w:rsidP="00E40239">
      <w:pPr>
        <w:tabs>
          <w:tab w:val="left" w:pos="3420"/>
        </w:tabs>
        <w:spacing w:after="0" w:line="20" w:lineRule="atLeast"/>
        <w:jc w:val="both"/>
      </w:pPr>
      <w:r>
        <w:t>A</w:t>
      </w:r>
      <w:r w:rsidR="00E40239" w:rsidRPr="003648B2">
        <w:t xml:space="preserve">i sensi dell’art. 6 del suddetto decreto, ai fini dell’erogazione delle risorse è necessario che le Regioni adottino gli indirizzi di programmazione per l’attuazione degli interventi e dei servizi finanziabili per la corrispondente annualità e che tali indirizzi siano comunicati al Ministero del Lavoro e delle Politiche sociali che provvederà, entro trenta giorni dalla ricezione del Programma attuativo, a valutare la coerenza con le finalità di cui all’art. 3 del decreto medesimo; </w:t>
      </w:r>
    </w:p>
    <w:p w:rsidR="003648B2" w:rsidRDefault="003648B2" w:rsidP="00E40239">
      <w:pPr>
        <w:tabs>
          <w:tab w:val="left" w:pos="3420"/>
        </w:tabs>
        <w:spacing w:after="0" w:line="20" w:lineRule="atLeast"/>
        <w:jc w:val="both"/>
      </w:pPr>
      <w:proofErr w:type="gramStart"/>
      <w:r>
        <w:lastRenderedPageBreak/>
        <w:t xml:space="preserve">A </w:t>
      </w:r>
      <w:r w:rsidR="00E40239" w:rsidRPr="003648B2">
        <w:t xml:space="preserve"> decorrere</w:t>
      </w:r>
      <w:proofErr w:type="gramEnd"/>
      <w:r w:rsidR="00E40239" w:rsidRPr="003648B2">
        <w:t xml:space="preserve"> dal 2018 l’erogazione delle risorse deve essere preceduta dalla rendicontazione sull’effettiva attribuzione ai beneficiari delle risorse trasferite dal Ministero nell’anno 2016. </w:t>
      </w:r>
    </w:p>
    <w:p w:rsidR="00736817" w:rsidRDefault="003648B2" w:rsidP="00E40239">
      <w:pPr>
        <w:tabs>
          <w:tab w:val="left" w:pos="3420"/>
        </w:tabs>
        <w:spacing w:after="0" w:line="20" w:lineRule="atLeast"/>
        <w:jc w:val="both"/>
      </w:pPr>
      <w:r>
        <w:t>L</w:t>
      </w:r>
      <w:r w:rsidR="00E40239" w:rsidRPr="003648B2">
        <w:t>a Regione Piemonte, con nota del 18 gennaio 2019, ha trasmesso il proprio Programma attuativo anno 2018 mentre alla trasmissione della rendicontazione sull’effettiva attribuzione delle risorse trasferite nell’anno 2016 aveva già provveduto con nota del 27 novembre 2018;</w:t>
      </w:r>
    </w:p>
    <w:p w:rsidR="00736817" w:rsidRDefault="00736817" w:rsidP="00E40239">
      <w:pPr>
        <w:tabs>
          <w:tab w:val="left" w:pos="3420"/>
        </w:tabs>
        <w:spacing w:after="0" w:line="20" w:lineRule="atLeast"/>
        <w:jc w:val="both"/>
      </w:pPr>
      <w:r>
        <w:t>I</w:t>
      </w:r>
      <w:r w:rsidR="00E40239" w:rsidRPr="003648B2">
        <w:t xml:space="preserve">l Ministero del Lavoro e delle Politiche Sociali, con nota del 10 aprile 2019, prot. n. 3040, ha riconosciuto la coerenza del Programma regionale 2018 con le indicazioni contenute nell’art. 3 del Decreto ministeriale del 23.11.2016. </w:t>
      </w:r>
    </w:p>
    <w:p w:rsidR="00E40239" w:rsidRPr="00736817" w:rsidRDefault="00E40239" w:rsidP="00E40239">
      <w:pPr>
        <w:tabs>
          <w:tab w:val="left" w:pos="3420"/>
        </w:tabs>
        <w:spacing w:after="0" w:line="20" w:lineRule="atLeast"/>
        <w:jc w:val="both"/>
        <w:rPr>
          <w:b/>
        </w:rPr>
      </w:pPr>
      <w:r w:rsidRPr="00736817">
        <w:rPr>
          <w:b/>
        </w:rPr>
        <w:t>LA DISPOSIZIONE</w:t>
      </w:r>
    </w:p>
    <w:p w:rsidR="00736817" w:rsidRDefault="00736817" w:rsidP="00736817">
      <w:pPr>
        <w:tabs>
          <w:tab w:val="left" w:pos="3420"/>
        </w:tabs>
        <w:spacing w:after="0" w:line="20" w:lineRule="atLeast"/>
        <w:jc w:val="both"/>
      </w:pPr>
      <w:r>
        <w:t>S</w:t>
      </w:r>
      <w:r w:rsidRPr="003648B2">
        <w:t xml:space="preserve">ulla base della valutazione positiva del </w:t>
      </w:r>
      <w:proofErr w:type="gramStart"/>
      <w:r w:rsidRPr="003648B2">
        <w:t xml:space="preserve">Ministero, </w:t>
      </w:r>
      <w:r>
        <w:t xml:space="preserve"> viene</w:t>
      </w:r>
      <w:proofErr w:type="gramEnd"/>
      <w:r>
        <w:t xml:space="preserve"> </w:t>
      </w:r>
      <w:r w:rsidRPr="003648B2">
        <w:t xml:space="preserve"> approvare il suddetto Programma attuativo anno 2018 (allegato A), facente parte integrante e sostanziale del presente provvedimento. </w:t>
      </w:r>
    </w:p>
    <w:p w:rsidR="00736817" w:rsidRPr="003648B2" w:rsidRDefault="00736817" w:rsidP="00736817">
      <w:pPr>
        <w:tabs>
          <w:tab w:val="left" w:pos="3420"/>
        </w:tabs>
        <w:spacing w:after="0" w:line="20" w:lineRule="atLeast"/>
        <w:jc w:val="both"/>
        <w:rPr>
          <w:b/>
        </w:rPr>
      </w:pPr>
      <w:r>
        <w:t>L</w:t>
      </w:r>
      <w:r w:rsidRPr="003648B2">
        <w:t>a somma di Euro 3.679.200,</w:t>
      </w:r>
      <w:proofErr w:type="gramStart"/>
      <w:r w:rsidRPr="003648B2">
        <w:t xml:space="preserve">00 </w:t>
      </w:r>
      <w:r>
        <w:t xml:space="preserve"> viene</w:t>
      </w:r>
      <w:proofErr w:type="gramEnd"/>
      <w:r>
        <w:t xml:space="preserve"> </w:t>
      </w:r>
      <w:r w:rsidRPr="003648B2">
        <w:t xml:space="preserve"> destinata agli interventi ed ai servizi alle persone di cui alle lettere a), b), c) ed e), comma 4, art. 5 del D.M. 23.11.2016, così come previsto nel Programma attuativo anno 2018 (allegato A), da realizzarsi in conformità alle “Linee di indirizzo in materia di assistenza in favore delle persone con disabilità grave prive del sostengo familiare”</w:t>
      </w:r>
      <w:r>
        <w:t xml:space="preserve"> .</w:t>
      </w:r>
    </w:p>
    <w:p w:rsidR="00E40239" w:rsidRDefault="00736817" w:rsidP="00736817">
      <w:pPr>
        <w:tabs>
          <w:tab w:val="left" w:pos="3420"/>
        </w:tabs>
        <w:spacing w:after="0" w:line="20" w:lineRule="atLeast"/>
        <w:jc w:val="both"/>
      </w:pPr>
      <w:r>
        <w:t xml:space="preserve">La somma </w:t>
      </w:r>
      <w:proofErr w:type="gramStart"/>
      <w:r>
        <w:t>v</w:t>
      </w:r>
      <w:r w:rsidR="00E40239" w:rsidRPr="003648B2">
        <w:t>iene  ripartita</w:t>
      </w:r>
      <w:proofErr w:type="gramEnd"/>
      <w:r w:rsidR="00E40239" w:rsidRPr="003648B2">
        <w:t xml:space="preserve"> a favore dei singoli Enti gestori delle funzioni socio-assistenziali sulla base della quota di popolazione residente nella fascia d’età 18 – 64 anni</w:t>
      </w:r>
      <w:r>
        <w:t>.</w:t>
      </w:r>
    </w:p>
    <w:p w:rsidR="00E40239" w:rsidRDefault="00E40239" w:rsidP="00E40239">
      <w:pPr>
        <w:tabs>
          <w:tab w:val="left" w:pos="3420"/>
        </w:tabs>
        <w:spacing w:after="0" w:line="20" w:lineRule="atLeast"/>
        <w:jc w:val="both"/>
      </w:pPr>
      <w:r>
        <w:t xml:space="preserve">PROGRAMMA ATTUATIVO ANNUALITA’ 2018 Scheda 1 Premessa </w:t>
      </w:r>
      <w:proofErr w:type="gramStart"/>
      <w:r>
        <w:t>metodologica  alle</w:t>
      </w:r>
      <w:proofErr w:type="gramEnd"/>
      <w:r>
        <w:t xml:space="preserve"> attività(art.2deldecreto23.11.2016) </w:t>
      </w:r>
    </w:p>
    <w:p w:rsidR="00E40239" w:rsidRDefault="00E40239" w:rsidP="00E40239">
      <w:pPr>
        <w:tabs>
          <w:tab w:val="left" w:pos="3420"/>
        </w:tabs>
        <w:spacing w:after="0" w:line="20" w:lineRule="atLeast"/>
        <w:jc w:val="both"/>
      </w:pPr>
      <w:r>
        <w:t xml:space="preserve">1. Indicazione della normativa regionale e/o delle modalità di regolamentazione prescelte per l’individuazione delle equipe multiprofessionali, senza nuovi o maggiori oneri per la finanza pubblica. Descrizione delle procedure relative alla valutazione multidimensionale effettuata dalle equipe multiprofessionali, secondo i principi della valutazione bio-psico-sociale e in coerenza con il sistema di classificazione ICF. In merito alle diverse dimensioni del funzionamento della persona con disabilità prendere in considerazione almeno le seguenti aree: </w:t>
      </w:r>
    </w:p>
    <w:p w:rsidR="00E40239" w:rsidRDefault="00E40239" w:rsidP="00E40239">
      <w:pPr>
        <w:tabs>
          <w:tab w:val="left" w:pos="3420"/>
        </w:tabs>
        <w:spacing w:after="0" w:line="20" w:lineRule="atLeast"/>
        <w:jc w:val="both"/>
      </w:pPr>
      <w:r>
        <w:t>- cura della propria persona; - mobilità; - comunicazione e altre attività cognitive;</w:t>
      </w:r>
    </w:p>
    <w:p w:rsidR="00E40239" w:rsidRDefault="00E40239" w:rsidP="00E40239">
      <w:pPr>
        <w:tabs>
          <w:tab w:val="left" w:pos="3420"/>
        </w:tabs>
        <w:spacing w:after="0" w:line="20" w:lineRule="atLeast"/>
        <w:jc w:val="both"/>
      </w:pPr>
      <w:r>
        <w:t xml:space="preserve"> - attività strumentali e relazionali per la vita quotidiana </w:t>
      </w:r>
    </w:p>
    <w:p w:rsidR="00E40239" w:rsidRDefault="00E40239" w:rsidP="00E40239">
      <w:pPr>
        <w:tabs>
          <w:tab w:val="left" w:pos="3420"/>
        </w:tabs>
        <w:spacing w:after="0" w:line="20" w:lineRule="atLeast"/>
        <w:jc w:val="both"/>
      </w:pPr>
      <w:r>
        <w:t xml:space="preserve">La deliberazione della Giunta Regionale n. 26-13680 del 29 marzo 2010 “Approvazione delle Linee guida sul funzionamento delle Unità multidisciplinari di valutazione della disabilità (UMVD)” definisce, oltre alla composizione che prevede figure professionali sanitarie e sociali, il percorso di presa in carico della persona con disabilità che necessita di interventi sanitari e socio-assistenziali. </w:t>
      </w:r>
    </w:p>
    <w:p w:rsidR="00E40239" w:rsidRDefault="00E40239" w:rsidP="00E40239">
      <w:pPr>
        <w:tabs>
          <w:tab w:val="left" w:pos="3420"/>
        </w:tabs>
        <w:spacing w:after="0" w:line="20" w:lineRule="atLeast"/>
        <w:jc w:val="both"/>
      </w:pPr>
      <w:r>
        <w:t xml:space="preserve">La deliberazione stabilisce il percorso operativo per la valutazione multidimensionale, per la definizione del progetto individuale e per la verifica periodica della progettualità. </w:t>
      </w:r>
    </w:p>
    <w:p w:rsidR="00E40239" w:rsidRDefault="00E40239" w:rsidP="00E40239">
      <w:pPr>
        <w:tabs>
          <w:tab w:val="left" w:pos="3420"/>
        </w:tabs>
        <w:spacing w:after="0" w:line="20" w:lineRule="atLeast"/>
        <w:jc w:val="both"/>
      </w:pPr>
      <w:r>
        <w:t xml:space="preserve">La valutazione si basa sul sistema di classificazione ICF, così come specificato nell’allegato alla suddetta deliberazione della Giunta Regionale n. 26-13680 del 29 marzo 2010. </w:t>
      </w:r>
    </w:p>
    <w:p w:rsidR="00E40239" w:rsidRDefault="00E40239" w:rsidP="00E40239">
      <w:pPr>
        <w:tabs>
          <w:tab w:val="left" w:pos="3420"/>
        </w:tabs>
        <w:spacing w:after="0" w:line="20" w:lineRule="atLeast"/>
        <w:jc w:val="both"/>
      </w:pPr>
      <w:r>
        <w:t xml:space="preserve">Le Unità Multidisciplinari di Valutazione della Disabilità sono presenti in ogni distretto sanitario della Regione Piemonte. </w:t>
      </w:r>
    </w:p>
    <w:p w:rsidR="00E40239" w:rsidRDefault="00E40239" w:rsidP="00E40239">
      <w:pPr>
        <w:tabs>
          <w:tab w:val="left" w:pos="3420"/>
        </w:tabs>
        <w:spacing w:after="0" w:line="20" w:lineRule="atLeast"/>
        <w:jc w:val="both"/>
      </w:pPr>
      <w:r>
        <w:t xml:space="preserve">2. Progetto personalizzato </w:t>
      </w:r>
    </w:p>
    <w:p w:rsidR="00E40239" w:rsidRDefault="00E40239" w:rsidP="00E40239">
      <w:pPr>
        <w:tabs>
          <w:tab w:val="left" w:pos="3420"/>
        </w:tabs>
        <w:spacing w:after="0" w:line="20" w:lineRule="atLeast"/>
        <w:jc w:val="both"/>
      </w:pPr>
      <w:r>
        <w:t xml:space="preserve">Descrizione dei processi di definizione </w:t>
      </w:r>
      <w:r w:rsidRPr="003E2D9D">
        <w:t>dei progetti</w:t>
      </w:r>
      <w:r>
        <w:t xml:space="preserve"> personalizzati nelle modalità di cui all’art. 2, commi 2,3,4 </w:t>
      </w:r>
      <w:proofErr w:type="gramStart"/>
      <w:r>
        <w:t>e  5</w:t>
      </w:r>
      <w:proofErr w:type="gramEnd"/>
      <w:r>
        <w:t xml:space="preserve"> </w:t>
      </w:r>
      <w:r w:rsidR="00736817">
        <w:t xml:space="preserve"> </w:t>
      </w:r>
      <w:r>
        <w:t>del decreto</w:t>
      </w:r>
      <w:r w:rsidR="00736817">
        <w:t>.</w:t>
      </w:r>
      <w:r>
        <w:t xml:space="preserve"> </w:t>
      </w:r>
    </w:p>
    <w:p w:rsidR="00E40239" w:rsidRDefault="00E40239" w:rsidP="00E40239">
      <w:pPr>
        <w:tabs>
          <w:tab w:val="left" w:pos="3420"/>
        </w:tabs>
        <w:spacing w:after="0" w:line="20" w:lineRule="atLeast"/>
        <w:jc w:val="both"/>
      </w:pPr>
      <w:r>
        <w:t xml:space="preserve">Per poter dare attuazione a quanto previsto nel Decreto Ministeriale 23.11.2016 con la deliberazione della Giunta regionale n. 47-5478 del 3 agosto 2017 sono state approvate le “Linee di indirizzo in materia di assistenza in favore delle persone con disabilità grave prive del sostegno familiare” relative ai beneficiari degli interventi, alle modalità ed alle priorità di accesso, al progetto personalizzato ed al relativo budget nonché agli interventi e servizi alla persona finanziabili con le risorse ministeriali. </w:t>
      </w:r>
    </w:p>
    <w:p w:rsidR="00E40239" w:rsidRDefault="00E40239" w:rsidP="00E40239">
      <w:pPr>
        <w:tabs>
          <w:tab w:val="left" w:pos="3420"/>
        </w:tabs>
        <w:spacing w:after="0" w:line="20" w:lineRule="atLeast"/>
        <w:jc w:val="both"/>
      </w:pPr>
      <w:r>
        <w:t xml:space="preserve">Relativamente al progetto personalizzato la precitata deliberazione prevede quanto segue. </w:t>
      </w:r>
    </w:p>
    <w:p w:rsidR="00E40239" w:rsidRDefault="00E40239" w:rsidP="00E40239">
      <w:pPr>
        <w:tabs>
          <w:tab w:val="left" w:pos="3420"/>
        </w:tabs>
        <w:spacing w:after="0" w:line="20" w:lineRule="atLeast"/>
        <w:jc w:val="both"/>
      </w:pPr>
      <w:r>
        <w:t>La valutazione multidimensionale da parte dell’UMVD, così come previsto nella DGR n. 26-13680 del 29 marzo 2010, è finalizzata alla definizione di un progetto personalizzato che individui gli specifici sostegni di cui la persona con disabilità ha bisogno, quali le prestazioni sanitarie, sociali e socio sanitarie e gli interventi ed i servizi previsti all’art. 3 del D.M. 23.11.2016, in coerenza con la valutazione multidimensionale e con le risorse disponibili, in funzione del miglioramento della qualità di vita e della corretta allocazione delle risorse medesime.</w:t>
      </w:r>
    </w:p>
    <w:p w:rsidR="00E40239" w:rsidRDefault="00E40239" w:rsidP="00E40239">
      <w:pPr>
        <w:tabs>
          <w:tab w:val="left" w:pos="3420"/>
        </w:tabs>
        <w:spacing w:after="0" w:line="20" w:lineRule="atLeast"/>
        <w:jc w:val="both"/>
      </w:pPr>
      <w:r>
        <w:lastRenderedPageBreak/>
        <w:t xml:space="preserve">Il progetto personalizzato deve contenere il “budget di progetto” che comprende tutte le risorse umane, economiche e strumentali necessarie per la sua attuazione. </w:t>
      </w:r>
    </w:p>
    <w:p w:rsidR="00E40239" w:rsidRDefault="00E40239" w:rsidP="00E40239">
      <w:pPr>
        <w:tabs>
          <w:tab w:val="left" w:pos="3420"/>
        </w:tabs>
        <w:spacing w:after="0" w:line="20" w:lineRule="atLeast"/>
        <w:jc w:val="both"/>
      </w:pPr>
      <w:r>
        <w:t xml:space="preserve">La persona interessata o chi la rappresenta viene coinvolta nella definizione del Progetto e nel successivo monitoraggio. </w:t>
      </w:r>
    </w:p>
    <w:p w:rsidR="00E40239" w:rsidRDefault="00E40239" w:rsidP="00E40239">
      <w:pPr>
        <w:tabs>
          <w:tab w:val="left" w:pos="3420"/>
        </w:tabs>
        <w:spacing w:after="0" w:line="20" w:lineRule="atLeast"/>
        <w:jc w:val="both"/>
      </w:pPr>
      <w:r>
        <w:t xml:space="preserve">Nella predisposizione del progetto personalizzato viene individuato il responsabile del progetto (case manager) che eserciterà il ruolo di riferimento per la persona disabile nella realizzazione e nel monitoraggio del progetto stesso; garantisce il coordinamento tra le figure professionali che concorrono all’attuazione degli interventi e la coerenza degli interventi stessi con il progetto definito dall’UMVD. </w:t>
      </w:r>
    </w:p>
    <w:p w:rsidR="00E40239" w:rsidRDefault="00E40239" w:rsidP="00E40239">
      <w:pPr>
        <w:tabs>
          <w:tab w:val="left" w:pos="3420"/>
        </w:tabs>
        <w:spacing w:after="0" w:line="20" w:lineRule="atLeast"/>
        <w:jc w:val="both"/>
      </w:pPr>
      <w:r>
        <w:t xml:space="preserve">3. Descrizione delle modalità di definizione e di articolazione del budget di progetto per le attività di cui all’art. 5, co. 4, lett. a) b) e c) del decreto, sottolineando l’importanza di favorire il passaggio da una programmazione basata esclusivamente sulla certificazione della disabilità grave, alla centralità del bisogno emergente in cui il progetto e il relativo budget, vengono costruiti attorno al bisogno concreto della persona. In base alla DGR n. 47-5478 del 3.8.2018 la definizione e l’articolazione del budget del progetto devono essere finalizzate alla realizzazione di programmi di accrescimento della consapevolezza, di abilitazione e di sviluppo delle competenze per la gestione della vita quotidiana e per il raggiungimento del maggior livello di autonomia possibile. </w:t>
      </w:r>
    </w:p>
    <w:p w:rsidR="00E40239" w:rsidRDefault="00E40239" w:rsidP="00E40239">
      <w:pPr>
        <w:tabs>
          <w:tab w:val="left" w:pos="3420"/>
        </w:tabs>
        <w:spacing w:after="0" w:line="20" w:lineRule="atLeast"/>
        <w:jc w:val="both"/>
      </w:pPr>
      <w:r>
        <w:t xml:space="preserve">Tali programmi devono: </w:t>
      </w:r>
    </w:p>
    <w:p w:rsidR="00E40239" w:rsidRDefault="00E40239" w:rsidP="00E40239">
      <w:pPr>
        <w:tabs>
          <w:tab w:val="left" w:pos="3420"/>
        </w:tabs>
        <w:spacing w:after="0" w:line="20" w:lineRule="atLeast"/>
        <w:jc w:val="both"/>
      </w:pPr>
      <w:r>
        <w:t xml:space="preserve">• favorire il protagonismo e l’autodeterminazione delle persone con disabilità o di chi le rappresenta per la realizzazione del proprio progetto di vita adulta; </w:t>
      </w:r>
    </w:p>
    <w:p w:rsidR="00E40239" w:rsidRDefault="00E40239" w:rsidP="00E40239">
      <w:pPr>
        <w:tabs>
          <w:tab w:val="left" w:pos="3420"/>
        </w:tabs>
        <w:spacing w:after="0" w:line="20" w:lineRule="atLeast"/>
        <w:jc w:val="both"/>
      </w:pPr>
      <w:r>
        <w:t xml:space="preserve">• favorire la costruzione di percorsi partecipati con le famiglie e le associazioni che le rappresentano; </w:t>
      </w:r>
    </w:p>
    <w:p w:rsidR="00E40239" w:rsidRDefault="00E40239" w:rsidP="00E40239">
      <w:pPr>
        <w:tabs>
          <w:tab w:val="left" w:pos="3420"/>
        </w:tabs>
        <w:spacing w:after="0" w:line="20" w:lineRule="atLeast"/>
        <w:jc w:val="both"/>
      </w:pPr>
      <w:r>
        <w:t xml:space="preserve">• favorire percorsi di accompagnamento dei genitori al “durante noi per il dopo di noi”; </w:t>
      </w:r>
    </w:p>
    <w:p w:rsidR="00E40239" w:rsidRDefault="00E40239" w:rsidP="00E40239">
      <w:pPr>
        <w:tabs>
          <w:tab w:val="left" w:pos="3420"/>
        </w:tabs>
        <w:spacing w:after="0" w:line="20" w:lineRule="atLeast"/>
        <w:jc w:val="both"/>
      </w:pPr>
      <w:r>
        <w:t xml:space="preserve">• promuovere un lavoro di comunità per favorire l’inclusione sociale. </w:t>
      </w:r>
    </w:p>
    <w:p w:rsidR="00E40239" w:rsidRDefault="00E40239" w:rsidP="00E40239">
      <w:pPr>
        <w:tabs>
          <w:tab w:val="left" w:pos="3420"/>
        </w:tabs>
        <w:spacing w:after="0" w:line="20" w:lineRule="atLeast"/>
        <w:jc w:val="both"/>
      </w:pPr>
    </w:p>
    <w:p w:rsidR="00E40239" w:rsidRDefault="00E40239" w:rsidP="00E40239">
      <w:pPr>
        <w:tabs>
          <w:tab w:val="left" w:pos="3420"/>
        </w:tabs>
        <w:spacing w:after="0" w:line="20" w:lineRule="atLeast"/>
        <w:jc w:val="both"/>
      </w:pPr>
      <w:r>
        <w:t xml:space="preserve">Scheda 2 Progetto personalizzato </w:t>
      </w:r>
    </w:p>
    <w:p w:rsidR="00E40239" w:rsidRDefault="00E40239" w:rsidP="00E40239">
      <w:pPr>
        <w:tabs>
          <w:tab w:val="left" w:pos="3420"/>
        </w:tabs>
        <w:spacing w:after="0" w:line="20" w:lineRule="atLeast"/>
        <w:jc w:val="both"/>
      </w:pPr>
      <w:r>
        <w:t xml:space="preserve">- Budget di progetto </w:t>
      </w:r>
    </w:p>
    <w:p w:rsidR="00E40239" w:rsidRDefault="00E40239" w:rsidP="00E40239">
      <w:pPr>
        <w:tabs>
          <w:tab w:val="left" w:pos="3420"/>
        </w:tabs>
        <w:spacing w:after="0" w:line="20" w:lineRule="atLeast"/>
        <w:jc w:val="both"/>
      </w:pPr>
      <w:r>
        <w:t xml:space="preserve">Attività finanziabili con risorse del fondo di cui all’art. 5 del decreto </w:t>
      </w:r>
    </w:p>
    <w:p w:rsidR="00E40239" w:rsidRDefault="00E40239" w:rsidP="00E40239">
      <w:pPr>
        <w:tabs>
          <w:tab w:val="left" w:pos="3420"/>
        </w:tabs>
        <w:spacing w:after="0" w:line="20" w:lineRule="atLeast"/>
        <w:jc w:val="both"/>
      </w:pPr>
      <w:r>
        <w:t>a.</w:t>
      </w:r>
    </w:p>
    <w:p w:rsidR="00E40239" w:rsidRDefault="00E40239" w:rsidP="00E40239">
      <w:pPr>
        <w:tabs>
          <w:tab w:val="left" w:pos="3420"/>
        </w:tabs>
        <w:spacing w:after="0" w:line="20" w:lineRule="atLeast"/>
        <w:jc w:val="both"/>
      </w:pPr>
      <w:r>
        <w:t xml:space="preserve">Percorsi programmati di accompagnamento per l’uscita dal nucleo familiare di origine ovvero per la deistituzionalizzazione, di cui all’articolo 3, commi 2 e 3. </w:t>
      </w:r>
    </w:p>
    <w:p w:rsidR="00E40239" w:rsidRDefault="00E40239" w:rsidP="00E40239">
      <w:pPr>
        <w:tabs>
          <w:tab w:val="left" w:pos="3420"/>
        </w:tabs>
        <w:spacing w:after="0" w:line="20" w:lineRule="atLeast"/>
        <w:jc w:val="both"/>
      </w:pPr>
      <w:r>
        <w:t xml:space="preserve">Le azioni di cui al presente punto e alla successiva lettera b) devono riprodurre e ricercare soluzioni e condizioni abitative, quanto più possibile, proprie dell’ambiente familiare. </w:t>
      </w:r>
    </w:p>
    <w:p w:rsidR="00E40239" w:rsidRDefault="00E40239" w:rsidP="00E40239">
      <w:pPr>
        <w:tabs>
          <w:tab w:val="left" w:pos="3420"/>
        </w:tabs>
        <w:spacing w:after="0" w:line="20" w:lineRule="atLeast"/>
        <w:jc w:val="both"/>
      </w:pPr>
      <w:r>
        <w:t xml:space="preserve">DESCRIZIONE DEGLI INTERVENTI </w:t>
      </w:r>
    </w:p>
    <w:p w:rsidR="00E40239" w:rsidRDefault="00E40239" w:rsidP="00E40239">
      <w:pPr>
        <w:tabs>
          <w:tab w:val="left" w:pos="3420"/>
        </w:tabs>
        <w:spacing w:after="0" w:line="20" w:lineRule="atLeast"/>
        <w:jc w:val="both"/>
      </w:pPr>
      <w:r>
        <w:t xml:space="preserve">Rientrano in questo ambito i seguenti interventi: </w:t>
      </w:r>
    </w:p>
    <w:p w:rsidR="00E40239" w:rsidRDefault="00E40239" w:rsidP="00E40239">
      <w:pPr>
        <w:tabs>
          <w:tab w:val="left" w:pos="3420"/>
        </w:tabs>
        <w:spacing w:after="0" w:line="20" w:lineRule="atLeast"/>
        <w:jc w:val="both"/>
      </w:pPr>
      <w:r>
        <w:t>1) prestazioni rese da operatori professionali per accompagnamenti personalizzati mirati a sostenere processi di consapevolezza e di avvio all’autonomia che prevedono diverse fasi:</w:t>
      </w:r>
    </w:p>
    <w:p w:rsidR="00E40239" w:rsidRDefault="00E40239" w:rsidP="00E40239">
      <w:pPr>
        <w:tabs>
          <w:tab w:val="left" w:pos="3420"/>
        </w:tabs>
        <w:spacing w:after="0" w:line="20" w:lineRule="atLeast"/>
        <w:jc w:val="both"/>
      </w:pPr>
      <w:r>
        <w:t xml:space="preserve"> - graduale conoscenza della persona disabile, della famiglia e del suo contesto sociale </w:t>
      </w:r>
    </w:p>
    <w:p w:rsidR="00E40239" w:rsidRDefault="00E40239" w:rsidP="00E40239">
      <w:pPr>
        <w:tabs>
          <w:tab w:val="left" w:pos="3420"/>
        </w:tabs>
        <w:spacing w:after="0" w:line="20" w:lineRule="atLeast"/>
        <w:jc w:val="both"/>
      </w:pPr>
      <w:r>
        <w:t xml:space="preserve">- individuazione in condivisione con i diversi soggetti di un percorso di graduale raggiungimento dell’autonomia dal nucleo familiare - avvicinamenti progettuali ad altre esperienze di convivenza con altri soggetti; </w:t>
      </w:r>
    </w:p>
    <w:p w:rsidR="00E40239" w:rsidRDefault="00E40239" w:rsidP="00E40239">
      <w:pPr>
        <w:tabs>
          <w:tab w:val="left" w:pos="3420"/>
        </w:tabs>
        <w:spacing w:after="0" w:line="20" w:lineRule="atLeast"/>
        <w:jc w:val="both"/>
      </w:pPr>
      <w:r>
        <w:t xml:space="preserve">2) percorsi finalizzati ad esperienze di accoglienza in appartamenti appositamente destinati a esperienze di autonomia dal nucleo familiare in collaborazione con le famiglie ed il terzo settore; </w:t>
      </w:r>
    </w:p>
    <w:p w:rsidR="00E40239" w:rsidRDefault="00E40239" w:rsidP="00E40239">
      <w:pPr>
        <w:tabs>
          <w:tab w:val="left" w:pos="3420"/>
        </w:tabs>
        <w:spacing w:after="0" w:line="20" w:lineRule="atLeast"/>
        <w:jc w:val="both"/>
      </w:pPr>
      <w:r>
        <w:t xml:space="preserve">3) corresponsione della quota sociale della retta relativa alle prestazioni socio sanitarie erogate sia durante il periodo di accompagnamento all’uscita dal nucleo familiare che nel periodo successivo della stabilizzazione del percorso in soluzioni e condizioni abitative proprie dell’ambiente familiare, anche in ambito residenziale; </w:t>
      </w:r>
    </w:p>
    <w:p w:rsidR="00E40239" w:rsidRDefault="00E40239" w:rsidP="00E40239">
      <w:pPr>
        <w:tabs>
          <w:tab w:val="left" w:pos="3420"/>
        </w:tabs>
        <w:spacing w:after="0" w:line="20" w:lineRule="atLeast"/>
        <w:jc w:val="both"/>
      </w:pPr>
      <w:r>
        <w:t xml:space="preserve">4) sostegno all’autonomia in soluzioni alloggiative che riproducano ambienti e relazioni di tipo familiare con le caratteristiche di cui all’art. 3 comma 4 del Decreto. </w:t>
      </w:r>
    </w:p>
    <w:p w:rsidR="00E40239" w:rsidRDefault="00E40239" w:rsidP="00E40239">
      <w:pPr>
        <w:tabs>
          <w:tab w:val="left" w:pos="3420"/>
        </w:tabs>
        <w:spacing w:after="0" w:line="20" w:lineRule="atLeast"/>
        <w:jc w:val="both"/>
      </w:pPr>
      <w:r>
        <w:t xml:space="preserve">Si premette che la spesa è indicativa in quanto dipende dalla progettualità individuale: 27% pari a € 993.384,00 </w:t>
      </w:r>
    </w:p>
    <w:p w:rsidR="00E40239" w:rsidRDefault="00E40239" w:rsidP="00E40239">
      <w:pPr>
        <w:tabs>
          <w:tab w:val="left" w:pos="3420"/>
        </w:tabs>
        <w:spacing w:after="0" w:line="20" w:lineRule="atLeast"/>
        <w:jc w:val="both"/>
      </w:pPr>
    </w:p>
    <w:p w:rsidR="00E40239" w:rsidRDefault="00E40239" w:rsidP="00E40239">
      <w:pPr>
        <w:tabs>
          <w:tab w:val="left" w:pos="3420"/>
        </w:tabs>
        <w:spacing w:after="0" w:line="20" w:lineRule="atLeast"/>
        <w:jc w:val="both"/>
      </w:pPr>
      <w:r>
        <w:t xml:space="preserve">b. </w:t>
      </w:r>
    </w:p>
    <w:p w:rsidR="00E40239" w:rsidRDefault="00E40239" w:rsidP="00E40239">
      <w:pPr>
        <w:tabs>
          <w:tab w:val="left" w:pos="3420"/>
        </w:tabs>
        <w:spacing w:after="0" w:line="20" w:lineRule="atLeast"/>
        <w:jc w:val="both"/>
      </w:pPr>
      <w:r>
        <w:t>Interventi di supporto alla domiciliarità in soluzioni alloggiative dalle caratteristiche di cui all’articolo 3, comma 4;</w:t>
      </w:r>
    </w:p>
    <w:p w:rsidR="00E40239" w:rsidRDefault="00E40239" w:rsidP="00E40239">
      <w:pPr>
        <w:tabs>
          <w:tab w:val="left" w:pos="3420"/>
        </w:tabs>
        <w:spacing w:after="0" w:line="20" w:lineRule="atLeast"/>
        <w:jc w:val="both"/>
      </w:pPr>
      <w:r>
        <w:t xml:space="preserve">DESCRIZIONE DEGLI INTERVENTI </w:t>
      </w:r>
    </w:p>
    <w:p w:rsidR="00E40239" w:rsidRDefault="00E40239" w:rsidP="00E40239">
      <w:pPr>
        <w:tabs>
          <w:tab w:val="left" w:pos="3420"/>
        </w:tabs>
        <w:spacing w:after="0" w:line="20" w:lineRule="atLeast"/>
        <w:jc w:val="both"/>
      </w:pPr>
      <w:r>
        <w:lastRenderedPageBreak/>
        <w:t xml:space="preserve">Rientrano in questo ambito i seguenti interventi: </w:t>
      </w:r>
    </w:p>
    <w:p w:rsidR="00E40239" w:rsidRDefault="00E40239" w:rsidP="00E40239">
      <w:pPr>
        <w:tabs>
          <w:tab w:val="left" w:pos="3420"/>
        </w:tabs>
        <w:spacing w:after="0" w:line="20" w:lineRule="atLeast"/>
        <w:jc w:val="both"/>
      </w:pPr>
      <w:r>
        <w:t xml:space="preserve">1) prestazioni di accompagnamento giornaliere mediante operatori con qualifica di Educatore/OSS e con il coinvolgimento di altre professionalità necessarie; </w:t>
      </w:r>
    </w:p>
    <w:p w:rsidR="00E40239" w:rsidRDefault="00E40239" w:rsidP="00E40239">
      <w:pPr>
        <w:tabs>
          <w:tab w:val="left" w:pos="3420"/>
        </w:tabs>
        <w:spacing w:after="0" w:line="20" w:lineRule="atLeast"/>
        <w:jc w:val="both"/>
      </w:pPr>
      <w:r>
        <w:t xml:space="preserve">2) erogazione dell’assegno di cura per l’assunzione di assistente familiare ed eventuale supporto amministrativo al ruolo di datore di lavoro del beneficiario; </w:t>
      </w:r>
    </w:p>
    <w:p w:rsidR="00E40239" w:rsidRDefault="00E40239" w:rsidP="00E40239">
      <w:pPr>
        <w:tabs>
          <w:tab w:val="left" w:pos="3420"/>
        </w:tabs>
        <w:spacing w:after="0" w:line="20" w:lineRule="atLeast"/>
        <w:jc w:val="both"/>
      </w:pPr>
      <w:r>
        <w:t xml:space="preserve">3) rimborsi di spese documentate a volontari anche attraverso la collaborazione con associazioni di volontariato; </w:t>
      </w:r>
    </w:p>
    <w:p w:rsidR="00E40239" w:rsidRDefault="00E40239" w:rsidP="00E40239">
      <w:pPr>
        <w:tabs>
          <w:tab w:val="left" w:pos="3420"/>
        </w:tabs>
        <w:spacing w:after="0" w:line="20" w:lineRule="atLeast"/>
        <w:jc w:val="both"/>
      </w:pPr>
      <w:r>
        <w:t xml:space="preserve">4) rimborsi forfettari a volontari residenti con le persone con disabilità o ai singoli o famiglie disponibili ad ospitare la persona con disabilità presso il proprio domicilio; </w:t>
      </w:r>
    </w:p>
    <w:p w:rsidR="00E40239" w:rsidRDefault="00E40239" w:rsidP="00E40239">
      <w:pPr>
        <w:tabs>
          <w:tab w:val="left" w:pos="3420"/>
        </w:tabs>
        <w:spacing w:after="0" w:line="20" w:lineRule="atLeast"/>
        <w:jc w:val="both"/>
      </w:pPr>
      <w:r>
        <w:t xml:space="preserve">5) sperimentazione di accoglienze supportate con le modalità sopra indicate, nelle seguenti soluzioni abitative: </w:t>
      </w:r>
    </w:p>
    <w:p w:rsidR="00E40239" w:rsidRDefault="00E40239" w:rsidP="00E40239">
      <w:pPr>
        <w:tabs>
          <w:tab w:val="left" w:pos="3420"/>
        </w:tabs>
        <w:spacing w:after="0" w:line="20" w:lineRule="atLeast"/>
        <w:jc w:val="both"/>
      </w:pPr>
      <w:r>
        <w:t xml:space="preserve">- accoglienze in housing sociale o co-housing, </w:t>
      </w:r>
    </w:p>
    <w:p w:rsidR="00E40239" w:rsidRDefault="00E40239" w:rsidP="00E40239">
      <w:pPr>
        <w:tabs>
          <w:tab w:val="left" w:pos="3420"/>
        </w:tabs>
        <w:spacing w:after="0" w:line="20" w:lineRule="atLeast"/>
        <w:jc w:val="both"/>
      </w:pPr>
      <w:r>
        <w:t xml:space="preserve">- accoglienza presso la residenza di una singola persona o famiglia volontaria disponibile ad ospitare la persona con disabilità, </w:t>
      </w:r>
    </w:p>
    <w:p w:rsidR="00E40239" w:rsidRDefault="00E40239" w:rsidP="00E40239">
      <w:pPr>
        <w:tabs>
          <w:tab w:val="left" w:pos="3420"/>
        </w:tabs>
        <w:spacing w:after="0" w:line="20" w:lineRule="atLeast"/>
        <w:jc w:val="both"/>
      </w:pPr>
      <w:r>
        <w:t xml:space="preserve">- alloggi di autonomia con massimo 5 posti. </w:t>
      </w:r>
    </w:p>
    <w:p w:rsidR="00E40239" w:rsidRDefault="00E40239" w:rsidP="00E40239">
      <w:pPr>
        <w:tabs>
          <w:tab w:val="left" w:pos="3420"/>
        </w:tabs>
        <w:spacing w:after="0" w:line="20" w:lineRule="atLeast"/>
        <w:jc w:val="both"/>
      </w:pPr>
      <w:r>
        <w:t xml:space="preserve">Si premette che la spesa è indicativa in quanto dipende dalla progettualità individuale: 25% pari ad € 919.800,00 </w:t>
      </w:r>
    </w:p>
    <w:p w:rsidR="00E40239" w:rsidRDefault="00E40239" w:rsidP="00E40239">
      <w:pPr>
        <w:tabs>
          <w:tab w:val="left" w:pos="3420"/>
        </w:tabs>
        <w:spacing w:after="0" w:line="20" w:lineRule="atLeast"/>
        <w:jc w:val="both"/>
      </w:pPr>
    </w:p>
    <w:p w:rsidR="00E40239" w:rsidRDefault="00E40239" w:rsidP="00E40239">
      <w:pPr>
        <w:tabs>
          <w:tab w:val="left" w:pos="3420"/>
        </w:tabs>
        <w:spacing w:after="0" w:line="20" w:lineRule="atLeast"/>
        <w:jc w:val="both"/>
      </w:pPr>
      <w:r>
        <w:t xml:space="preserve">c. </w:t>
      </w:r>
    </w:p>
    <w:p w:rsidR="00E40239" w:rsidRDefault="00E40239" w:rsidP="00E40239">
      <w:pPr>
        <w:tabs>
          <w:tab w:val="left" w:pos="3420"/>
        </w:tabs>
        <w:spacing w:after="0" w:line="20" w:lineRule="atLeast"/>
        <w:jc w:val="both"/>
      </w:pPr>
      <w:proofErr w:type="gramStart"/>
      <w:r>
        <w:t>programmi</w:t>
      </w:r>
      <w:proofErr w:type="gramEnd"/>
      <w:r>
        <w:t xml:space="preserve"> di accrescimento della consapevolezza, di abilitazione e di sviluppo delle competenze per la gestione della vita quotidiana e per il raggiungimento del maggior livello di autonomia possibile programmi di accrescimento della consapevolezza abilitazione e lo sviluppo delle competenze per favorire l’autonomia (art. 3, comma 5), anche attraverso tirocini per l’inclusione sociale (art. 3, comma 6) Progetto pers Totale 3.679.200,00 </w:t>
      </w:r>
    </w:p>
    <w:p w:rsidR="00E40239" w:rsidRDefault="00E40239" w:rsidP="00E40239">
      <w:pPr>
        <w:tabs>
          <w:tab w:val="left" w:pos="3420"/>
        </w:tabs>
        <w:spacing w:after="0" w:line="20" w:lineRule="atLeast"/>
        <w:jc w:val="both"/>
      </w:pPr>
    </w:p>
    <w:p w:rsidR="00E40239" w:rsidRDefault="00E40239" w:rsidP="00E40239">
      <w:pPr>
        <w:tabs>
          <w:tab w:val="left" w:pos="3420"/>
        </w:tabs>
        <w:spacing w:after="0" w:line="20" w:lineRule="atLeast"/>
        <w:jc w:val="both"/>
      </w:pPr>
      <w:r>
        <w:t xml:space="preserve">Scheda 3 Interventi Infrastrutturali </w:t>
      </w:r>
    </w:p>
    <w:p w:rsidR="00E40239" w:rsidRDefault="00E40239" w:rsidP="00E40239">
      <w:pPr>
        <w:tabs>
          <w:tab w:val="left" w:pos="3420"/>
        </w:tabs>
        <w:spacing w:after="0" w:line="20" w:lineRule="atLeast"/>
        <w:jc w:val="both"/>
      </w:pPr>
    </w:p>
    <w:p w:rsidR="00E40239" w:rsidRDefault="00E40239" w:rsidP="00E40239">
      <w:pPr>
        <w:tabs>
          <w:tab w:val="left" w:pos="3420"/>
        </w:tabs>
        <w:spacing w:after="0" w:line="20" w:lineRule="atLeast"/>
        <w:jc w:val="both"/>
      </w:pPr>
      <w:r>
        <w:t xml:space="preserve">DESCRIZIONE DEGLI INTERVENTI </w:t>
      </w:r>
    </w:p>
    <w:p w:rsidR="00E40239" w:rsidRDefault="00E40239" w:rsidP="00E40239">
      <w:pPr>
        <w:tabs>
          <w:tab w:val="left" w:pos="3420"/>
        </w:tabs>
        <w:spacing w:after="0" w:line="20" w:lineRule="atLeast"/>
        <w:jc w:val="both"/>
      </w:pPr>
      <w:r>
        <w:t xml:space="preserve">Rientrano in questo ambito i seguenti interventi: </w:t>
      </w:r>
    </w:p>
    <w:p w:rsidR="00E40239" w:rsidRDefault="00E40239" w:rsidP="00E40239">
      <w:pPr>
        <w:tabs>
          <w:tab w:val="left" w:pos="3420"/>
        </w:tabs>
        <w:spacing w:after="0" w:line="20" w:lineRule="atLeast"/>
        <w:jc w:val="both"/>
      </w:pPr>
      <w:r>
        <w:t xml:space="preserve">1) attivazione di PASS (percorsi di attivazione sociale sostenibile, normati dalla Deliberazione della Giunta Regionale n. 22-2521 del 30 novembre 2015) che favoriscono l’inclusione sociale delle persone disabili attraverso lo svolgimento di attività in contesti di vita quotidiana o in ambienti di servizio collocati anche in contesti lavorativi; </w:t>
      </w:r>
    </w:p>
    <w:p w:rsidR="00E40239" w:rsidRDefault="00E40239" w:rsidP="00E40239">
      <w:pPr>
        <w:tabs>
          <w:tab w:val="left" w:pos="3420"/>
        </w:tabs>
        <w:spacing w:after="0" w:line="20" w:lineRule="atLeast"/>
        <w:jc w:val="both"/>
      </w:pPr>
      <w:r>
        <w:t xml:space="preserve">2) promozione di inserimenti lavorativi ai sensi della L. 68/99 attraverso percorsi individualizzati di abilitazione; 3) gruppi di sostegno ai genitori/fratelli per affrontare le tematiche legate alla disabilità e all’autonomia dei figli/fratelli; </w:t>
      </w:r>
    </w:p>
    <w:p w:rsidR="00E40239" w:rsidRDefault="00E40239" w:rsidP="00E40239">
      <w:pPr>
        <w:tabs>
          <w:tab w:val="left" w:pos="3420"/>
        </w:tabs>
        <w:spacing w:after="0" w:line="20" w:lineRule="atLeast"/>
        <w:jc w:val="both"/>
      </w:pPr>
      <w:r>
        <w:t xml:space="preserve">4) gruppi di sostegno con soggetti disabili con l’obiettivo di accrescere e migliorare la consapevolezza del proprio appartenere al mondo adulto e la conseguente acquisizione di strumenti per avere una maggior autonomia possibile; </w:t>
      </w:r>
    </w:p>
    <w:p w:rsidR="00E40239" w:rsidRDefault="00E40239" w:rsidP="00E40239">
      <w:pPr>
        <w:tabs>
          <w:tab w:val="left" w:pos="3420"/>
        </w:tabs>
        <w:spacing w:after="0" w:line="20" w:lineRule="atLeast"/>
        <w:jc w:val="both"/>
      </w:pPr>
      <w:r>
        <w:t xml:space="preserve">5) gruppi di auto mutuo aiuto per valorizzare la solidarietà ed il sostegno reciproco anche tra famiglie; </w:t>
      </w:r>
    </w:p>
    <w:p w:rsidR="00E40239" w:rsidRDefault="00E40239" w:rsidP="00E40239">
      <w:pPr>
        <w:tabs>
          <w:tab w:val="left" w:pos="3420"/>
        </w:tabs>
        <w:spacing w:after="0" w:line="20" w:lineRule="atLeast"/>
        <w:jc w:val="both"/>
      </w:pPr>
      <w:r>
        <w:t>6) promozioni, accordi e forme di collaborazione con le associazioni, il volontariato e gruppi attivi nell’area della disabilità per la sperimentazione di esperienze di autonomia e socializzanti per una concreta partecipazione alla vita della comunità;</w:t>
      </w:r>
    </w:p>
    <w:p w:rsidR="00E40239" w:rsidRDefault="00E40239" w:rsidP="00E40239">
      <w:pPr>
        <w:tabs>
          <w:tab w:val="left" w:pos="3420"/>
        </w:tabs>
        <w:spacing w:after="0" w:line="20" w:lineRule="atLeast"/>
        <w:jc w:val="both"/>
      </w:pPr>
      <w:r>
        <w:t xml:space="preserve"> 7) promozione di percorsi innovativi condivisi con le associazioni di tutela, culturali, sportive e di promozione del territorio finalizzati ad un maggior protagonismo e ruolo attivo da parte delle persone con disabilità nell’ambito della comunità di appartenenza, avviando un processo di cambiamento culturale dove la disabilità diventa risorsa per il territorio. </w:t>
      </w:r>
    </w:p>
    <w:p w:rsidR="00E40239" w:rsidRDefault="00E40239" w:rsidP="00E40239">
      <w:pPr>
        <w:tabs>
          <w:tab w:val="left" w:pos="3420"/>
        </w:tabs>
        <w:spacing w:after="0" w:line="20" w:lineRule="atLeast"/>
        <w:jc w:val="both"/>
      </w:pPr>
      <w:r>
        <w:t xml:space="preserve">Si premette che la spesa è indicativa in quanto dipende dalla progettualità individuale: 35% pari ad € 1.287.720,00 e. in via residuale, interventi di permanenza temporanea in una soluzione abitativa extra-familiare, di cui all’articolo 3, </w:t>
      </w:r>
      <w:proofErr w:type="gramStart"/>
      <w:r>
        <w:t>comma  7</w:t>
      </w:r>
      <w:proofErr w:type="gramEnd"/>
      <w:r>
        <w:t xml:space="preserve">. </w:t>
      </w:r>
    </w:p>
    <w:p w:rsidR="00E40239" w:rsidRDefault="00E40239" w:rsidP="00E40239">
      <w:pPr>
        <w:tabs>
          <w:tab w:val="left" w:pos="3420"/>
        </w:tabs>
        <w:spacing w:after="0" w:line="20" w:lineRule="atLeast"/>
        <w:jc w:val="both"/>
      </w:pPr>
      <w:r>
        <w:t xml:space="preserve">DESCRIZIONE DEGLI INTERVENTI </w:t>
      </w:r>
    </w:p>
    <w:p w:rsidR="00E40239" w:rsidRDefault="00E40239" w:rsidP="00E40239">
      <w:pPr>
        <w:tabs>
          <w:tab w:val="left" w:pos="3420"/>
        </w:tabs>
        <w:spacing w:after="0" w:line="20" w:lineRule="atLeast"/>
        <w:jc w:val="both"/>
      </w:pPr>
      <w:r>
        <w:t xml:space="preserve">Rientrano in questo ambito i seguenti interventi: </w:t>
      </w:r>
    </w:p>
    <w:p w:rsidR="00E40239" w:rsidRDefault="00E40239" w:rsidP="00E40239">
      <w:pPr>
        <w:tabs>
          <w:tab w:val="left" w:pos="3420"/>
        </w:tabs>
        <w:spacing w:after="0" w:line="20" w:lineRule="atLeast"/>
        <w:jc w:val="both"/>
      </w:pPr>
      <w:r>
        <w:lastRenderedPageBreak/>
        <w:t xml:space="preserve">1) accoglienze temporanee nelle strutture innovative di cui all’art. 3 comma 4 del decreto o, in assenza di soluzioni in tali strutture, in strutture residenziali tipo RAF, Comunità Alloggio, Gruppi appartamento, Comunità socio assistenziali per disabili gravi, per periodi ben definiti; </w:t>
      </w:r>
    </w:p>
    <w:p w:rsidR="00E40239" w:rsidRDefault="00E40239" w:rsidP="00E40239">
      <w:pPr>
        <w:tabs>
          <w:tab w:val="left" w:pos="3420"/>
        </w:tabs>
        <w:spacing w:after="0" w:line="20" w:lineRule="atLeast"/>
        <w:jc w:val="both"/>
      </w:pPr>
      <w:r>
        <w:t xml:space="preserve">2) accoglienze di brevi periodi di sollievo organizzati in soggiorni vacanze presso strutture già attrezzate all’accoglienza presso località anche extra territorio. </w:t>
      </w:r>
    </w:p>
    <w:p w:rsidR="00E40239" w:rsidRDefault="00E40239" w:rsidP="00E40239">
      <w:pPr>
        <w:tabs>
          <w:tab w:val="left" w:pos="3420"/>
        </w:tabs>
        <w:spacing w:after="0" w:line="20" w:lineRule="atLeast"/>
        <w:jc w:val="both"/>
      </w:pPr>
      <w:r>
        <w:t xml:space="preserve">Si premette che la spesa è indicativa in quanto dipende dalla progettualità individuale: 13% pari ad € 478.296,00 d. Interventi di realizzazione di innovative soluzioni alloggiative dalle caratteristiche di cui all’articolo 3, comma 4, mediante il possibile pagamento degli oneri di acquisto, di locazione, di ristrutturazione e di messa in opera degli impianti e delle attrezzature necessari per il funzionamento degli alloggi medesimi, anche sostenendo forme di mutuo aiuto tra persone con disabilità non sono destinate risorse </w:t>
      </w:r>
    </w:p>
    <w:p w:rsidR="00E40239" w:rsidRDefault="00E40239" w:rsidP="00E40239">
      <w:pPr>
        <w:tabs>
          <w:tab w:val="left" w:pos="3420"/>
        </w:tabs>
        <w:spacing w:after="0" w:line="20" w:lineRule="atLeast"/>
        <w:jc w:val="both"/>
      </w:pPr>
      <w:r>
        <w:t xml:space="preserve">DESCRIZIONE DEGLI INTERVENTI </w:t>
      </w:r>
    </w:p>
    <w:p w:rsidR="00E40239" w:rsidRDefault="00E40239" w:rsidP="00E40239">
      <w:pPr>
        <w:tabs>
          <w:tab w:val="left" w:pos="3420"/>
        </w:tabs>
        <w:spacing w:after="0" w:line="20" w:lineRule="atLeast"/>
        <w:jc w:val="both"/>
      </w:pPr>
      <w:r>
        <w:t xml:space="preserve">Con la D.G.R. n. 18-6836 del 11.5.2018 è stata istituita la nuova tipologia “Gruppo Appartamento per disabili” e sono stati approvati i criteri per il finanziamento di soluzioni alloggiative, ai sensi degli artt. 3, comma 4 e 5, lett. d) del D.M. 23.11.2016, destinate all’accoglienza di persone con disabilità grave prive del sostegno familiare. Allo scopo è stata destinata la somma di 2.730.000 dalle risorse dell’annualità € 2016. Con la successiva determinazione dirigenziale n. 720 del 9 luglio 2018 è stato approvato il bando di finanziamento di Gruppi Appartamento ed Alloggi di Autonomia. E’ attualmente in corso l’istruttoria delle domande pervenute. </w:t>
      </w:r>
    </w:p>
    <w:p w:rsidR="00E40239" w:rsidRDefault="00E40239" w:rsidP="00E40239">
      <w:pPr>
        <w:tabs>
          <w:tab w:val="left" w:pos="3420"/>
        </w:tabs>
        <w:spacing w:after="0" w:line="20" w:lineRule="atLeast"/>
        <w:jc w:val="both"/>
      </w:pPr>
    </w:p>
    <w:p w:rsidR="00E40239" w:rsidRDefault="00E40239" w:rsidP="00E40239">
      <w:pPr>
        <w:tabs>
          <w:tab w:val="left" w:pos="3420"/>
        </w:tabs>
        <w:spacing w:after="0" w:line="20" w:lineRule="atLeast"/>
        <w:jc w:val="both"/>
      </w:pPr>
      <w:r>
        <w:t xml:space="preserve">Scheda 4 ADEMPIMENTIDELLEREGIONI </w:t>
      </w:r>
    </w:p>
    <w:p w:rsidR="00E40239" w:rsidRDefault="00E40239" w:rsidP="00E40239">
      <w:pPr>
        <w:tabs>
          <w:tab w:val="left" w:pos="3420"/>
        </w:tabs>
        <w:spacing w:after="0" w:line="20" w:lineRule="atLeast"/>
        <w:jc w:val="both"/>
      </w:pPr>
      <w:r>
        <w:t xml:space="preserve">• criteri e modalità per l’erogazione dei finanziamenti: </w:t>
      </w:r>
    </w:p>
    <w:p w:rsidR="00E40239" w:rsidRDefault="00E40239" w:rsidP="00E40239">
      <w:pPr>
        <w:tabs>
          <w:tab w:val="left" w:pos="3420"/>
        </w:tabs>
        <w:spacing w:after="0" w:line="20" w:lineRule="atLeast"/>
        <w:jc w:val="both"/>
      </w:pPr>
      <w:r>
        <w:t xml:space="preserve">• modalità per la pubblicizzazione dei finanziamenti erogati: </w:t>
      </w:r>
    </w:p>
    <w:p w:rsidR="00E40239" w:rsidRDefault="00E40239" w:rsidP="00E40239">
      <w:pPr>
        <w:tabs>
          <w:tab w:val="left" w:pos="3420"/>
        </w:tabs>
        <w:spacing w:after="0" w:line="20" w:lineRule="atLeast"/>
        <w:jc w:val="both"/>
      </w:pPr>
      <w:r>
        <w:t xml:space="preserve">• verifica dell’attuazione delle attività svolte e della eventuale revoca dei finanziamenti: </w:t>
      </w:r>
    </w:p>
    <w:p w:rsidR="00E40239" w:rsidRDefault="00E40239" w:rsidP="00E40239">
      <w:pPr>
        <w:tabs>
          <w:tab w:val="left" w:pos="3420"/>
        </w:tabs>
        <w:spacing w:after="0" w:line="20" w:lineRule="atLeast"/>
        <w:jc w:val="both"/>
      </w:pPr>
      <w:r>
        <w:t xml:space="preserve">Ai sensi dell’art 6, co.1, del DM, descrivere le modalità attraverso le quali sono stati programmati gli interventi e i servizi di cui all’art. 3 del DM, in particolare: Sono stati adottati dalla Giunta regionale i provvedimenti deliberativi di approvazione dei criteri e delle modalità di assegnazione delle risorse, annualità 2016 e 2017, a favore degli Enti gestori dei servizi socio-assistenziali per l’attuazione degli interventi di cui all’art. 5, comma 4, lettere a), b), c) ed e) </w:t>
      </w:r>
    </w:p>
    <w:p w:rsidR="00E40239" w:rsidRDefault="00E40239" w:rsidP="00E40239">
      <w:pPr>
        <w:tabs>
          <w:tab w:val="left" w:pos="3420"/>
        </w:tabs>
        <w:spacing w:after="0" w:line="20" w:lineRule="atLeast"/>
        <w:jc w:val="both"/>
      </w:pPr>
      <w:r>
        <w:t xml:space="preserve">Le risorse sono state ripartite tra gli Enti gestori in base alla popolazione residente compresa nella fascia di età 18-64 anni. Le risorse del Fondo Dopo di noi sono aggiuntive rispetto alle risorse regionali destinate alle prestazioni ed ai servizi a favore delle persone con disabilità grave prive del sostegno familiare. Con la D.G.R n. 18-6836 del 11.5.2018 è stato approvato il bando di finanziamento per la realizzazione di innovative soluzioni alloggiative dalle caratteristiche di cui all’articolo 3, comma 4. </w:t>
      </w:r>
    </w:p>
    <w:p w:rsidR="00E40239" w:rsidRDefault="00E40239" w:rsidP="00E40239">
      <w:pPr>
        <w:tabs>
          <w:tab w:val="left" w:pos="3420"/>
        </w:tabs>
        <w:spacing w:after="0" w:line="20" w:lineRule="atLeast"/>
        <w:jc w:val="both"/>
      </w:pPr>
      <w:r>
        <w:t xml:space="preserve">I suddetti provvedimenti deliberativi sono stati pubblicati sul B.U. della Regione Piemonte ai sensi dell’art. 61 dello Statuto e dell’art. 5 della l.r. 22/2010; nonché ai sensi dell’articolo 26 del d.lgs. 33/2013 sul sito istituzionale dell’Ente nella sezione “Amministrazione trasparente” </w:t>
      </w:r>
    </w:p>
    <w:p w:rsidR="00E40239" w:rsidRDefault="00E40239" w:rsidP="00E40239">
      <w:pPr>
        <w:tabs>
          <w:tab w:val="left" w:pos="3420"/>
        </w:tabs>
        <w:spacing w:after="0" w:line="20" w:lineRule="atLeast"/>
        <w:jc w:val="both"/>
      </w:pPr>
      <w:r>
        <w:t xml:space="preserve">E’ stato previsto con la D.G.R n. 47-5478 del 3.8.2017 un monitoraggio annuale sull’attuazione da parte degli Enti gestori dei servizi socio-assistenziali degli interventi di cui all’art. 5, comma 4, lettere a), b), c) ed e). Per l’annualità 2016 è già stato effettuato il monitoraggio sulla base dello schema ministeriale. Per gli interventi strutturali nel bando regionale di finanziamento sono stati previsti i tempi di inizio e di conclusione dei lavori nonché, nel caso di mancata realizzazione dell’intervento, la revoca del contributo. </w:t>
      </w:r>
    </w:p>
    <w:p w:rsidR="00E40239" w:rsidRDefault="00E40239" w:rsidP="00E40239">
      <w:pPr>
        <w:tabs>
          <w:tab w:val="left" w:pos="3420"/>
        </w:tabs>
        <w:spacing w:after="0" w:line="20" w:lineRule="atLeast"/>
        <w:jc w:val="both"/>
      </w:pPr>
      <w:r>
        <w:t xml:space="preserve">• monitoraggio dei flussi finanziari, dei trasferimenti effettuati, del numero dei beneficiari e delle diverse tipologie d’intervento nei differenti ambiti previsti, con particolare riguardo alle diverse soluzioni alloggiative innovative: E’ già stato effettuato e trasmesso il monitoraggio sull’attuazione da parte degli Enti gestori dei servizi socio-assistenziali degli interventi di cui all’art. 5, comma 4, lettere a), b), c) ed e) relativamente all’annualità 2016 sulla base dello schema ministeriale. </w:t>
      </w:r>
    </w:p>
    <w:p w:rsidR="00E40239" w:rsidRDefault="00E40239" w:rsidP="00E40239">
      <w:pPr>
        <w:tabs>
          <w:tab w:val="left" w:pos="3420"/>
        </w:tabs>
        <w:spacing w:after="0" w:line="20" w:lineRule="atLeast"/>
        <w:jc w:val="both"/>
      </w:pPr>
      <w:r>
        <w:t xml:space="preserve">• integrazione con i programmi del FNPS e del FNA, con particolare attenzione al Programma per l’attuazione della Vita Indipendente, per tutte le attività che riguardano lo stesso target di beneficiari e che presentano finalità coincidenti Gli interventi previsti dal D.M. 23.11.2016 possono essere complementari agli interventi previsti nel programma per l’attuazione della Vita indipendente nell’ottica della costruzione di un budget di progetto per la realizzazione di un progetto individualizzato che preveda un insieme di interventi finalizzati </w:t>
      </w:r>
      <w:r>
        <w:lastRenderedPageBreak/>
        <w:t xml:space="preserve">alla maggior autonomia e piena integrazione sociale della persona con disabilità grave priva del sostegno familiare, così come previsto nella D.G.R. N. 47-5478 del 3.8.2017. </w:t>
      </w:r>
    </w:p>
    <w:p w:rsidR="00E40239" w:rsidRDefault="00E40239" w:rsidP="00E40239">
      <w:pPr>
        <w:tabs>
          <w:tab w:val="left" w:pos="3420"/>
        </w:tabs>
        <w:spacing w:after="0" w:line="20" w:lineRule="atLeast"/>
        <w:jc w:val="both"/>
      </w:pPr>
      <w:r>
        <w:t>Descrivere le modalità con le quali si è inteso indirizzare la selezione dei beneficiari per garantire l’accesso ai servizi secondo il criterio di maggiore urgenza ai sensi dei commi 2 e 3 dell’art. 4 del DM N.B.</w:t>
      </w:r>
    </w:p>
    <w:p w:rsidR="00E40239" w:rsidRDefault="00E40239" w:rsidP="00E40239">
      <w:pPr>
        <w:tabs>
          <w:tab w:val="left" w:pos="3420"/>
        </w:tabs>
        <w:spacing w:after="0" w:line="20" w:lineRule="atLeast"/>
        <w:jc w:val="both"/>
      </w:pPr>
      <w:r>
        <w:t xml:space="preserve">E’ possibile sostenere la continuità degli interventi, anche in deroga all’età, tenendo sempre in considerazione che i beneficiari, di norma, sono persone con disabilità grave non dovuta al naturale invecchiamento o a patologie connesse all’età. Relativamente alle priorità di accesso nell’allegato A) alla DGR 47/2017 è stato stabilito che “L’accesso alle misure a carico del Fondo nazionale per </w:t>
      </w:r>
      <w:proofErr w:type="gramStart"/>
      <w:r>
        <w:t>il ”Dopo</w:t>
      </w:r>
      <w:proofErr w:type="gramEnd"/>
      <w:r>
        <w:t xml:space="preserve"> di noi” è prioritariamente garantito alle persone con disabilità grave prive del sostegno familiare che in esito alla valutazione multidimensionale da parte delle UMVD competenti necessitino con maggiore urgenza degli interventi previsti dal D.M. 23.11.2016. </w:t>
      </w:r>
    </w:p>
    <w:p w:rsidR="00E40239" w:rsidRDefault="00E40239" w:rsidP="00E40239">
      <w:pPr>
        <w:tabs>
          <w:tab w:val="left" w:pos="3420"/>
        </w:tabs>
        <w:spacing w:after="0" w:line="20" w:lineRule="atLeast"/>
        <w:jc w:val="both"/>
      </w:pPr>
      <w:r>
        <w:t xml:space="preserve">Nel valutare l’urgenza si tiene conto delle limitazioni dell’autonomia, dei sostegni che la famiglia è in grado di fornire, della condizione abitativa ed ambientale, nonché delle condizioni economiche della persona con disabilità e della sua famiglia. E’ in ogni caso garantita una priorità di accesso alle: </w:t>
      </w:r>
    </w:p>
    <w:p w:rsidR="00E40239" w:rsidRDefault="00E40239" w:rsidP="00E40239">
      <w:pPr>
        <w:tabs>
          <w:tab w:val="left" w:pos="3420"/>
        </w:tabs>
        <w:spacing w:after="0" w:line="20" w:lineRule="atLeast"/>
        <w:jc w:val="both"/>
      </w:pPr>
      <w:r>
        <w:t xml:space="preserve">a) persone con disabilità grave mancanti di entrambi i genitori, del tutto prive di risorse economiche reddituali e patrimoniali, che non siano i trattamenti percepiti in ragione della condizione di disabilità; </w:t>
      </w:r>
    </w:p>
    <w:p w:rsidR="00E40239" w:rsidRDefault="00E40239" w:rsidP="00E40239">
      <w:pPr>
        <w:tabs>
          <w:tab w:val="left" w:pos="3420"/>
        </w:tabs>
        <w:spacing w:after="0" w:line="20" w:lineRule="atLeast"/>
        <w:jc w:val="both"/>
      </w:pPr>
      <w:r>
        <w:t xml:space="preserve">b) persone con disabilità grave i cui genitori, per ragioni connesse, in particolare all’età ovvero alla propria situazione di disabilità, non sono più nella condizione di continuare a garantire loro nel futuro prossimo il sostegno genitoriale necessario ad una vita dignitosa; </w:t>
      </w:r>
    </w:p>
    <w:p w:rsidR="00E40239" w:rsidRDefault="00E40239" w:rsidP="00E40239">
      <w:pPr>
        <w:tabs>
          <w:tab w:val="left" w:pos="3420"/>
        </w:tabs>
        <w:spacing w:after="0" w:line="20" w:lineRule="atLeast"/>
        <w:jc w:val="both"/>
      </w:pPr>
      <w:r>
        <w:t xml:space="preserve">c) persone con disabilità grave inserite in strutture residenziali dalle caratteristiche molto lontane da quelle che riproducono le condizioni abitative e relazionali della casa familiare, come individuate all’articolo 3, comma 4, del Decreto medesimo. </w:t>
      </w:r>
    </w:p>
    <w:p w:rsidR="00E40239" w:rsidRDefault="00E40239" w:rsidP="00E40239">
      <w:pPr>
        <w:tabs>
          <w:tab w:val="left" w:pos="3420"/>
        </w:tabs>
        <w:spacing w:after="0" w:line="20" w:lineRule="atLeast"/>
        <w:jc w:val="both"/>
      </w:pPr>
      <w:r>
        <w:t xml:space="preserve">Per le persone con disabilità grave già inserite in un percorso di residenzialità extra- familiare, particolare attenzione è riservata alla rivalutazione delle caratteristiche di tali residenze ai sensi dell’articolo 3, comma 3, del Decreto Ministeriale.” </w:t>
      </w:r>
    </w:p>
    <w:p w:rsidR="00E40239" w:rsidRDefault="00E40239" w:rsidP="00E40239">
      <w:pPr>
        <w:tabs>
          <w:tab w:val="left" w:pos="3420"/>
        </w:tabs>
        <w:spacing w:after="0" w:line="20" w:lineRule="atLeast"/>
        <w:jc w:val="both"/>
      </w:pPr>
      <w:r>
        <w:t xml:space="preserve">Descrivere le modalità di coinvolgimento dei soggetti interessati, nel rispetto della volontà delle persone con disabilità grave, ove possibile dei loro genitori o di chi ne tutela gli interessi. </w:t>
      </w:r>
    </w:p>
    <w:p w:rsidR="00E40239" w:rsidRDefault="00E40239" w:rsidP="00E40239">
      <w:pPr>
        <w:tabs>
          <w:tab w:val="left" w:pos="3420"/>
        </w:tabs>
        <w:spacing w:after="0" w:line="20" w:lineRule="atLeast"/>
        <w:jc w:val="both"/>
      </w:pPr>
      <w:r>
        <w:t>L’interessato, o chi lo rappresenta viene coinvolto direttamente nella valutazione e nella definizione del progetto individuale da parte della rispettiva Unità Multidisciplinare di Valutazione della Disabilità, così come definito nella deliberazione della Giunta Regionale n. 26-13680 del 29.3.2010. Inoltre, nella predisposizione del progetto personalizzato vine individuato il responsabile del progetto (case manager) che eserciterà il ruolo di riferimento per la persona disabile nella realizzazione e nel monitoraggio del progetto stesso; garantisce il coordinamento tra le figure professionali che concorrono all’attuazione degli interventi e la coerenza degli interventi stessi con il progetto definito dall’UMVD</w:t>
      </w:r>
    </w:p>
    <w:p w:rsidR="00E40239" w:rsidRDefault="00E40239" w:rsidP="00E40239">
      <w:pPr>
        <w:tabs>
          <w:tab w:val="left" w:pos="3420"/>
        </w:tabs>
        <w:spacing w:after="0" w:line="20" w:lineRule="atLeast"/>
        <w:jc w:val="both"/>
      </w:pPr>
    </w:p>
    <w:p w:rsidR="00E27F3D" w:rsidRDefault="00C23109" w:rsidP="00C23109">
      <w:pPr>
        <w:tabs>
          <w:tab w:val="left" w:pos="1635"/>
        </w:tabs>
        <w:spacing w:after="0" w:line="20" w:lineRule="atLeast"/>
        <w:jc w:val="both"/>
      </w:pPr>
      <w:r>
        <w:rPr>
          <w:rFonts w:cstheme="minorHAnsi"/>
        </w:rPr>
        <w:tab/>
      </w:r>
    </w:p>
    <w:p w:rsidR="00E27F3D" w:rsidRDefault="00E40239" w:rsidP="00B66976">
      <w:pPr>
        <w:spacing w:after="0" w:line="20" w:lineRule="atLeast"/>
        <w:jc w:val="both"/>
      </w:pPr>
      <w:r w:rsidRPr="00E27F3D">
        <w:rPr>
          <w:b/>
        </w:rPr>
        <w:t xml:space="preserve">D.D. 23 luglio 2019, n. </w:t>
      </w:r>
      <w:proofErr w:type="gramStart"/>
      <w:r w:rsidRPr="00E27F3D">
        <w:rPr>
          <w:b/>
        </w:rPr>
        <w:t xml:space="preserve">573 </w:t>
      </w:r>
      <w:r w:rsidR="00E27F3D" w:rsidRPr="00E27F3D">
        <w:rPr>
          <w:b/>
        </w:rPr>
        <w:t>,</w:t>
      </w:r>
      <w:proofErr w:type="gramEnd"/>
      <w:r w:rsidR="00E27F3D">
        <w:t xml:space="preserve"> </w:t>
      </w:r>
      <w:r>
        <w:t xml:space="preserve">D.G.R. n. 31-8596 del </w:t>
      </w:r>
      <w:r w:rsidRPr="00E27F3D">
        <w:rPr>
          <w:b/>
        </w:rPr>
        <w:t>2</w:t>
      </w:r>
      <w:r>
        <w:t xml:space="preserve">2/03/2019 - Strutture socio sanitarie residenziali e diurne per disabili. Aggiornamento fabbisogno regionale. </w:t>
      </w:r>
      <w:r w:rsidR="00E27F3D">
        <w:t xml:space="preserve"> (BUR n. 35 del 29.8.19)</w:t>
      </w:r>
    </w:p>
    <w:p w:rsidR="00E27F3D" w:rsidRPr="00C23109" w:rsidRDefault="00C23109" w:rsidP="00B66976">
      <w:pPr>
        <w:spacing w:after="0" w:line="20" w:lineRule="atLeast"/>
        <w:jc w:val="both"/>
        <w:rPr>
          <w:b/>
        </w:rPr>
      </w:pPr>
      <w:r w:rsidRPr="00C23109">
        <w:rPr>
          <w:b/>
        </w:rPr>
        <w:t xml:space="preserve">PREMESSA </w:t>
      </w:r>
    </w:p>
    <w:p w:rsidR="00C23109" w:rsidRDefault="00C23109" w:rsidP="00B66976">
      <w:pPr>
        <w:spacing w:after="0" w:line="20" w:lineRule="atLeast"/>
        <w:jc w:val="both"/>
      </w:pPr>
      <w:r>
        <w:t>L</w:t>
      </w:r>
      <w:r w:rsidR="00E40239">
        <w:t>’articolo 8-ter, comma 3, del D.Lgs. 502/1992 e s.m.i., prevede per la realizzazione di strutture sanitarie e sociosanitarie che la Regione verifichi la compatibilità del progetto sulla base del fabbisogno complessivo e della localizzazione territoriale delle strutture esistenti sul territorio di competenza, anche al fine di meglio garantire l’accessibilità ai servizi e la valorizzazione delle aree di insediamento prioritario di nuove strutture</w:t>
      </w:r>
      <w:r>
        <w:t>.</w:t>
      </w:r>
    </w:p>
    <w:p w:rsidR="00C23109" w:rsidRDefault="00C23109" w:rsidP="00B66976">
      <w:pPr>
        <w:spacing w:after="0" w:line="20" w:lineRule="atLeast"/>
        <w:jc w:val="both"/>
      </w:pPr>
      <w:r>
        <w:t>I</w:t>
      </w:r>
      <w:r w:rsidR="00E40239">
        <w:t>l Settore regionale Regole del SSR nei rapporti con i soggetti erogatori della Direzione Sanit</w:t>
      </w:r>
      <w:r>
        <w:t>à</w:t>
      </w:r>
      <w:r w:rsidR="00E40239">
        <w:t>, in collaborazione con il Settore Programmazione socio-assistenziale e socio-sanitaria, standard di servizio e qualit</w:t>
      </w:r>
      <w:r>
        <w:t>à</w:t>
      </w:r>
      <w:r w:rsidR="00E40239">
        <w:t xml:space="preserve"> della Direzione Coesione Sociale, ha effettuato una ricognizione, sintetizzata negli allegati A e B parti integranti e sostanziali del presente provvedimento, volta all’aggiornamento annuale del fabbisogno regionale inerente le strutture socio sanitarie destinate a persone con disabilità</w:t>
      </w:r>
      <w:r>
        <w:t>.</w:t>
      </w:r>
    </w:p>
    <w:p w:rsidR="00C23109" w:rsidRDefault="00C23109" w:rsidP="00B66976">
      <w:pPr>
        <w:spacing w:after="0" w:line="20" w:lineRule="atLeast"/>
        <w:jc w:val="both"/>
      </w:pPr>
      <w:r>
        <w:t>I</w:t>
      </w:r>
      <w:r w:rsidR="00E40239">
        <w:t xml:space="preserve">n particolare l’allegato A (relativo alle strutture residenziali) e l’allegato B (relativo alle strutture diurne), parti integranti e sostanziali del presente provvedimento, evidenziano, per ciascuna A.S.L. ed a livello complessivo regionale, i seguenti dati: </w:t>
      </w:r>
    </w:p>
    <w:p w:rsidR="00C23109" w:rsidRDefault="00E40239" w:rsidP="00B66976">
      <w:pPr>
        <w:spacing w:after="0" w:line="20" w:lineRule="atLeast"/>
        <w:jc w:val="both"/>
      </w:pPr>
      <w:r>
        <w:t xml:space="preserve">• numero di posti letto/diurni autorizzati al funzionamento ed accreditati con provvedimento dell’organo competente; </w:t>
      </w:r>
    </w:p>
    <w:p w:rsidR="00C23109" w:rsidRDefault="00E40239" w:rsidP="00B66976">
      <w:pPr>
        <w:spacing w:after="0" w:line="20" w:lineRule="atLeast"/>
        <w:jc w:val="both"/>
      </w:pPr>
      <w:r>
        <w:lastRenderedPageBreak/>
        <w:t xml:space="preserve">• numero di posti letto/diurni per i quali è stato espresso, con provvedimento regionale, parere favorevole ai sensi dell’art. 8 ter D.Lgs. n. 502/1992 e s.m.i., ma non ancora autorizzati al funzionamento ed accreditati; • numero di posti letto/diurni in costruzione oggetto di finanziamento nell’ambito di bandi regionali; </w:t>
      </w:r>
    </w:p>
    <w:p w:rsidR="00C23109" w:rsidRDefault="00E40239" w:rsidP="00B66976">
      <w:pPr>
        <w:spacing w:after="0" w:line="20" w:lineRule="atLeast"/>
        <w:jc w:val="both"/>
      </w:pPr>
      <w:r>
        <w:t xml:space="preserve">• Indice 1 calcolato, per ogni 10.000 abitanti, sul totale dei posti letto/diurni sopra indicati in rapporto alla popolazione regionale; </w:t>
      </w:r>
    </w:p>
    <w:p w:rsidR="00C23109" w:rsidRDefault="00E40239" w:rsidP="00B66976">
      <w:pPr>
        <w:spacing w:after="0" w:line="20" w:lineRule="atLeast"/>
        <w:jc w:val="both"/>
      </w:pPr>
      <w:r>
        <w:t xml:space="preserve">• numero di posti letto/diurni accreditati e occupati desunto dai piani di attività delle A.S.L. dell’anno 2018; • Indice 2 calcolato, per ogni 10.000 abitanti, sul numero di posti letto/diurni accreditati e occupati in rapporto alla popolazione regionale. </w:t>
      </w:r>
    </w:p>
    <w:p w:rsidR="00C23109" w:rsidRPr="00C23109" w:rsidRDefault="00C23109" w:rsidP="00B66976">
      <w:pPr>
        <w:spacing w:after="0" w:line="20" w:lineRule="atLeast"/>
        <w:jc w:val="both"/>
        <w:rPr>
          <w:b/>
        </w:rPr>
      </w:pPr>
      <w:r w:rsidRPr="00C23109">
        <w:rPr>
          <w:b/>
        </w:rPr>
        <w:t>LA DISPOSIZIONE</w:t>
      </w:r>
    </w:p>
    <w:p w:rsidR="00C23109" w:rsidRDefault="00C23109" w:rsidP="00B66976">
      <w:pPr>
        <w:spacing w:after="0" w:line="20" w:lineRule="atLeast"/>
        <w:jc w:val="both"/>
      </w:pPr>
      <w:r>
        <w:t xml:space="preserve">Viene </w:t>
      </w:r>
      <w:proofErr w:type="gramStart"/>
      <w:r w:rsidR="00E40239">
        <w:t>approva</w:t>
      </w:r>
      <w:r>
        <w:t xml:space="preserve">to </w:t>
      </w:r>
      <w:r w:rsidR="00E40239">
        <w:t xml:space="preserve"> l’aggiornamento</w:t>
      </w:r>
      <w:proofErr w:type="gramEnd"/>
      <w:r w:rsidR="00E40239">
        <w:t xml:space="preserve"> annuale del fabbisogno regionale inerente le strutture socio sanitarie destinate a persone con disabilità così come riportato nell’allegato A (relativo alle strutture residenziali) e nell’allegato B (relativo alle strutture diurne), </w:t>
      </w:r>
    </w:p>
    <w:p w:rsidR="00E40239" w:rsidRDefault="00C23109" w:rsidP="00B66976">
      <w:pPr>
        <w:spacing w:after="0" w:line="20" w:lineRule="atLeast"/>
        <w:jc w:val="both"/>
        <w:rPr>
          <w:rFonts w:cstheme="minorHAnsi"/>
        </w:rPr>
      </w:pPr>
      <w:r>
        <w:t>L</w:t>
      </w:r>
      <w:r w:rsidR="00E40239">
        <w:t xml:space="preserve">a verifica di compatibilità </w:t>
      </w:r>
      <w:proofErr w:type="gramStart"/>
      <w:r w:rsidR="00E40239">
        <w:t>favorevole  relativa</w:t>
      </w:r>
      <w:proofErr w:type="gramEnd"/>
      <w:r w:rsidR="00E40239">
        <w:t xml:space="preserve"> a posti letto/diurni accreditabili può essere rilasciata solo per le strutture da ubicare nelle A.S.L. la cui dotazione strutturale complessiva di posti letto/diurni (indice 1 allegati A e B) non supera l’obiettivo di sviluppo regionale, pari a 8,8 per le strutture residenziali e pari a 6,8 per le strutture diurne</w:t>
      </w:r>
      <w:r>
        <w:t>.</w:t>
      </w:r>
    </w:p>
    <w:p w:rsidR="00124E92" w:rsidRDefault="00124E92" w:rsidP="00D37CE7">
      <w:pPr>
        <w:pBdr>
          <w:bottom w:val="single" w:sz="12" w:space="1" w:color="auto"/>
        </w:pBdr>
        <w:autoSpaceDE w:val="0"/>
        <w:autoSpaceDN w:val="0"/>
        <w:adjustRightInd w:val="0"/>
        <w:spacing w:after="0" w:line="240" w:lineRule="auto"/>
        <w:jc w:val="both"/>
        <w:rPr>
          <w:rFonts w:cstheme="minorHAnsi"/>
        </w:rPr>
      </w:pPr>
    </w:p>
    <w:p w:rsidR="00124E92" w:rsidRPr="009047D9" w:rsidRDefault="00124E92" w:rsidP="00124E92">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9047D9">
        <w:rPr>
          <w:rFonts w:cstheme="minorHAnsi"/>
          <w:b/>
        </w:rPr>
        <w:t>TUTELA DEI DIRITTI</w:t>
      </w:r>
    </w:p>
    <w:p w:rsidR="00124E92" w:rsidRDefault="00124E92" w:rsidP="00124E92">
      <w:pPr>
        <w:spacing w:after="0" w:line="20" w:lineRule="atLeast"/>
        <w:jc w:val="both"/>
        <w:rPr>
          <w:rFonts w:cstheme="minorHAnsi"/>
        </w:rPr>
      </w:pPr>
    </w:p>
    <w:p w:rsidR="00124E92" w:rsidRDefault="00124E92" w:rsidP="00124E92">
      <w:pPr>
        <w:spacing w:after="0" w:line="20" w:lineRule="atLeast"/>
        <w:jc w:val="both"/>
        <w:rPr>
          <w:rFonts w:cstheme="minorHAnsi"/>
        </w:rPr>
      </w:pPr>
      <w:r w:rsidRPr="006B0B81">
        <w:rPr>
          <w:rFonts w:cstheme="minorHAnsi"/>
        </w:rPr>
        <w:t xml:space="preserve"> </w:t>
      </w:r>
      <w:r w:rsidRPr="009047D9">
        <w:rPr>
          <w:rFonts w:cstheme="minorHAnsi"/>
          <w:b/>
        </w:rPr>
        <w:t>D.D. 12 giugno 2019, n. 827</w:t>
      </w:r>
      <w:r w:rsidRPr="006B0B81">
        <w:rPr>
          <w:rFonts w:cstheme="minorHAnsi"/>
        </w:rPr>
        <w:t xml:space="preserve"> LR n. 5/2018, art. 11 Azioni positive. Programma di iniziative contro l'omofobia e la transfobia. Assegnazione Contributo al Coordinamento Torino Pride GLBT di euro 25.000,00</w:t>
      </w:r>
      <w:r>
        <w:rPr>
          <w:rFonts w:cstheme="minorHAnsi"/>
        </w:rPr>
        <w:t>.  (BUR n. 32 dell’8.8.19)</w:t>
      </w:r>
    </w:p>
    <w:p w:rsidR="00124E92" w:rsidRDefault="00124E92" w:rsidP="00124E92">
      <w:pPr>
        <w:spacing w:after="0" w:line="20" w:lineRule="atLeast"/>
        <w:jc w:val="both"/>
        <w:rPr>
          <w:rFonts w:cstheme="minorHAnsi"/>
        </w:rPr>
      </w:pPr>
      <w:r>
        <w:rPr>
          <w:rFonts w:cstheme="minorHAnsi"/>
        </w:rPr>
        <w:t>Note</w:t>
      </w:r>
    </w:p>
    <w:p w:rsidR="00124E92" w:rsidRDefault="00124E92" w:rsidP="00124E92">
      <w:pPr>
        <w:spacing w:after="0" w:line="20" w:lineRule="atLeast"/>
        <w:jc w:val="both"/>
        <w:rPr>
          <w:rFonts w:cstheme="minorHAnsi"/>
        </w:rPr>
      </w:pPr>
      <w:proofErr w:type="gramStart"/>
      <w:r>
        <w:rPr>
          <w:rFonts w:cstheme="minorHAnsi"/>
        </w:rPr>
        <w:t xml:space="preserve">Viene </w:t>
      </w:r>
      <w:r w:rsidRPr="006B0B81">
        <w:rPr>
          <w:rFonts w:cstheme="minorHAnsi"/>
        </w:rPr>
        <w:t xml:space="preserve"> approva</w:t>
      </w:r>
      <w:r>
        <w:rPr>
          <w:rFonts w:cstheme="minorHAnsi"/>
        </w:rPr>
        <w:t>to</w:t>
      </w:r>
      <w:proofErr w:type="gramEnd"/>
      <w:r>
        <w:rPr>
          <w:rFonts w:cstheme="minorHAnsi"/>
        </w:rPr>
        <w:t xml:space="preserve"> </w:t>
      </w:r>
      <w:r w:rsidRPr="006B0B81">
        <w:rPr>
          <w:rFonts w:cstheme="minorHAnsi"/>
        </w:rPr>
        <w:t xml:space="preserve"> lo schema di Convenzione tra Regione Piemonte e Coordinamento Torino Pride GLBT per la realizzazione del Progetto “Lotta all’Omofobia e Transfobia 2019” allegato alla presente determinazione per farne parte integrante e sostanziale</w:t>
      </w:r>
      <w:r>
        <w:rPr>
          <w:rFonts w:cstheme="minorHAnsi"/>
        </w:rPr>
        <w:t>.</w:t>
      </w:r>
    </w:p>
    <w:p w:rsidR="00124E92" w:rsidRDefault="00124E92" w:rsidP="00124E92">
      <w:pPr>
        <w:spacing w:after="0" w:line="20" w:lineRule="atLeast"/>
        <w:jc w:val="both"/>
        <w:rPr>
          <w:rFonts w:cstheme="minorHAnsi"/>
        </w:rPr>
      </w:pPr>
    </w:p>
    <w:p w:rsidR="00124E92" w:rsidRDefault="00124E92" w:rsidP="00124E92">
      <w:pPr>
        <w:spacing w:after="0" w:line="20" w:lineRule="atLeast"/>
        <w:jc w:val="both"/>
        <w:rPr>
          <w:rFonts w:cstheme="minorHAnsi"/>
        </w:rPr>
      </w:pPr>
      <w:r w:rsidRPr="009047D9">
        <w:rPr>
          <w:rFonts w:cstheme="minorHAnsi"/>
          <w:b/>
        </w:rPr>
        <w:t>D.D. 14 giugno 2019, n. 831</w:t>
      </w:r>
      <w:r w:rsidRPr="006B0B81">
        <w:rPr>
          <w:rFonts w:cstheme="minorHAnsi"/>
        </w:rPr>
        <w:t xml:space="preserve"> L.R. n. 4/2016, Art. 22, e D.G.R. n. 26-4393 del 19 dicembre 2016. Impegno di spesa di euro 79.250,00 a favore di Finpiemonte S.p.A. per la gestione del "Fondo di solidarieta' per il patrocinio legale alle donne vittime di violenza e maltrattamenti". </w:t>
      </w:r>
      <w:r>
        <w:rPr>
          <w:rFonts w:cstheme="minorHAnsi"/>
        </w:rPr>
        <w:t>(BUR n. 32 dell’8.8.19)</w:t>
      </w:r>
    </w:p>
    <w:p w:rsidR="00124E92" w:rsidRPr="00C7249D" w:rsidRDefault="00124E92" w:rsidP="00124E92">
      <w:pPr>
        <w:spacing w:after="0" w:line="20" w:lineRule="atLeast"/>
        <w:jc w:val="both"/>
        <w:rPr>
          <w:rFonts w:cstheme="minorHAnsi"/>
          <w:b/>
        </w:rPr>
      </w:pPr>
      <w:r w:rsidRPr="00C7249D">
        <w:rPr>
          <w:rFonts w:cstheme="minorHAnsi"/>
          <w:b/>
        </w:rPr>
        <w:t>Note</w:t>
      </w:r>
    </w:p>
    <w:p w:rsidR="00124E92" w:rsidRDefault="00124E92" w:rsidP="00124E92">
      <w:pPr>
        <w:spacing w:after="0" w:line="20" w:lineRule="atLeast"/>
        <w:jc w:val="both"/>
        <w:rPr>
          <w:rFonts w:cstheme="minorHAnsi"/>
        </w:rPr>
      </w:pPr>
      <w:r>
        <w:rPr>
          <w:rFonts w:cstheme="minorHAnsi"/>
        </w:rPr>
        <w:t>L</w:t>
      </w:r>
      <w:r w:rsidRPr="006B0B81">
        <w:rPr>
          <w:rFonts w:cstheme="minorHAnsi"/>
        </w:rPr>
        <w:t>a Legge regionale 24 febbraio 2016, n. 4. “Interventi di prevenzione e contrasto della violenza di genere e per il sostegno alle donne vittime di violenza ed ai loro figli” istituisce il Fondo di solidarietà per il patrocinio legale alle donne vittime di violenza e maltrattamenti</w:t>
      </w:r>
      <w:r>
        <w:rPr>
          <w:rFonts w:cstheme="minorHAnsi"/>
        </w:rPr>
        <w:t>.</w:t>
      </w:r>
    </w:p>
    <w:p w:rsidR="00124E92" w:rsidRPr="006B0B81" w:rsidRDefault="00124E92" w:rsidP="00124E92">
      <w:pPr>
        <w:spacing w:after="0" w:line="20" w:lineRule="atLeast"/>
        <w:jc w:val="both"/>
        <w:rPr>
          <w:rFonts w:cstheme="minorHAnsi"/>
        </w:rPr>
      </w:pPr>
      <w:proofErr w:type="gramStart"/>
      <w:r>
        <w:rPr>
          <w:rFonts w:cstheme="minorHAnsi"/>
        </w:rPr>
        <w:t xml:space="preserve">Viene </w:t>
      </w:r>
      <w:r w:rsidRPr="006B0B81">
        <w:rPr>
          <w:rFonts w:cstheme="minorHAnsi"/>
        </w:rPr>
        <w:t xml:space="preserve"> impegna</w:t>
      </w:r>
      <w:r>
        <w:rPr>
          <w:rFonts w:cstheme="minorHAnsi"/>
        </w:rPr>
        <w:t>to</w:t>
      </w:r>
      <w:proofErr w:type="gramEnd"/>
      <w:r>
        <w:rPr>
          <w:rFonts w:cstheme="minorHAnsi"/>
        </w:rPr>
        <w:t xml:space="preserve"> </w:t>
      </w:r>
      <w:r w:rsidRPr="006B0B81">
        <w:rPr>
          <w:rFonts w:cstheme="minorHAnsi"/>
        </w:rPr>
        <w:t>e  liquida</w:t>
      </w:r>
      <w:r>
        <w:rPr>
          <w:rFonts w:cstheme="minorHAnsi"/>
        </w:rPr>
        <w:t xml:space="preserve">to </w:t>
      </w:r>
      <w:r w:rsidRPr="006B0B81">
        <w:rPr>
          <w:rFonts w:cstheme="minorHAnsi"/>
        </w:rPr>
        <w:t xml:space="preserve"> l’importo di euro 79.250,00 a favore di Finpiemonte per le attività e le funzioni connesse all’attivazione del “Fondo di solidarietà per il patrocinio legale alle donne vittim</w:t>
      </w:r>
      <w:r>
        <w:rPr>
          <w:rFonts w:cstheme="minorHAnsi"/>
        </w:rPr>
        <w:t>e di violenza e maltrattamenti”.</w:t>
      </w:r>
    </w:p>
    <w:p w:rsidR="00124E92" w:rsidRPr="006B0B81" w:rsidRDefault="00124E92" w:rsidP="00124E92">
      <w:pPr>
        <w:spacing w:after="0" w:line="20" w:lineRule="atLeast"/>
        <w:jc w:val="both"/>
        <w:rPr>
          <w:rFonts w:cstheme="minorHAnsi"/>
        </w:rPr>
      </w:pPr>
    </w:p>
    <w:p w:rsidR="000954B2" w:rsidRDefault="000954B2" w:rsidP="000954B2">
      <w:pPr>
        <w:spacing w:after="0" w:line="20" w:lineRule="atLeast"/>
        <w:jc w:val="center"/>
        <w:rPr>
          <w:rFonts w:ascii="Broadway" w:hAnsi="Broadway" w:cstheme="majorHAnsi"/>
          <w:b/>
          <w:sz w:val="40"/>
          <w:szCs w:val="40"/>
        </w:rPr>
      </w:pPr>
      <w:r>
        <w:rPr>
          <w:rFonts w:ascii="Broadway" w:hAnsi="Broadway" w:cstheme="majorHAnsi"/>
          <w:b/>
          <w:sz w:val="40"/>
          <w:szCs w:val="40"/>
        </w:rPr>
        <w:t xml:space="preserve">PUGLIA  </w:t>
      </w:r>
    </w:p>
    <w:p w:rsidR="000954B2" w:rsidRPr="00025F31" w:rsidRDefault="000954B2" w:rsidP="00D37CE7">
      <w:pPr>
        <w:pBdr>
          <w:bottom w:val="single" w:sz="12" w:space="1" w:color="auto"/>
        </w:pBdr>
        <w:autoSpaceDE w:val="0"/>
        <w:autoSpaceDN w:val="0"/>
        <w:adjustRightInd w:val="0"/>
        <w:spacing w:after="0" w:line="240" w:lineRule="auto"/>
        <w:jc w:val="both"/>
        <w:rPr>
          <w:rFonts w:cstheme="minorHAnsi"/>
        </w:rPr>
      </w:pPr>
    </w:p>
    <w:p w:rsidR="00DB75E8" w:rsidRDefault="00034D7C" w:rsidP="00034D7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rPr>
      </w:pPr>
      <w:r>
        <w:rPr>
          <w:rFonts w:cstheme="minorHAnsi"/>
        </w:rPr>
        <w:t>AMMINISTRAZIONE REGIONALE</w:t>
      </w:r>
    </w:p>
    <w:p w:rsidR="00034D7C" w:rsidRDefault="00034D7C" w:rsidP="00D37CE7">
      <w:pPr>
        <w:spacing w:after="0" w:line="20" w:lineRule="atLeast"/>
        <w:jc w:val="both"/>
        <w:rPr>
          <w:rFonts w:cstheme="minorHAnsi"/>
        </w:rPr>
      </w:pPr>
    </w:p>
    <w:p w:rsidR="00034D7C" w:rsidRPr="00C8559D" w:rsidRDefault="00034D7C" w:rsidP="00034D7C">
      <w:pPr>
        <w:autoSpaceDE w:val="0"/>
        <w:autoSpaceDN w:val="0"/>
        <w:adjustRightInd w:val="0"/>
        <w:spacing w:after="0" w:line="20" w:lineRule="atLeast"/>
        <w:jc w:val="both"/>
        <w:rPr>
          <w:rFonts w:cstheme="minorHAnsi"/>
          <w:color w:val="000000"/>
        </w:rPr>
      </w:pPr>
      <w:r w:rsidRPr="00C8559D">
        <w:rPr>
          <w:rFonts w:ascii="Corbel" w:hAnsi="Corbel"/>
          <w:b/>
        </w:rPr>
        <w:t xml:space="preserve"> </w:t>
      </w:r>
      <w:r w:rsidRPr="00C8559D">
        <w:rPr>
          <w:rFonts w:ascii="Corbel" w:hAnsi="Corbel" w:cs="Calibri"/>
          <w:b/>
          <w:color w:val="000000"/>
        </w:rPr>
        <w:t>DGR 8 luglio 2019, n. 1273</w:t>
      </w:r>
      <w:r w:rsidRPr="00C8559D">
        <w:rPr>
          <w:rFonts w:ascii="Corbel" w:hAnsi="Corbel" w:cs="Calibri"/>
          <w:color w:val="000000"/>
        </w:rPr>
        <w:t xml:space="preserve">, </w:t>
      </w:r>
      <w:r w:rsidRPr="00C8559D">
        <w:rPr>
          <w:rFonts w:ascii="Corbel" w:hAnsi="Corbel" w:cs="Calibri"/>
          <w:bCs/>
          <w:color w:val="000000"/>
        </w:rPr>
        <w:t>Azioni di sistema a supporto dell’attuazione della riforma del welfare locale. Approvazione Convenzione Regione Puglia - LUM Jean Monnet - School of Management per svolgimento di tirocini formativi nell’ambito del Master in Executive Assistant (MEXAS).</w:t>
      </w:r>
      <w:r w:rsidRPr="00C8559D">
        <w:rPr>
          <w:rFonts w:ascii="Corbel" w:hAnsi="Corbel" w:cs="Calibri"/>
          <w:b/>
          <w:bCs/>
          <w:color w:val="000000"/>
        </w:rPr>
        <w:t xml:space="preserve"> </w:t>
      </w:r>
      <w:r w:rsidRPr="00C8559D">
        <w:rPr>
          <w:rFonts w:cstheme="minorHAnsi"/>
          <w:bCs/>
          <w:color w:val="000000"/>
        </w:rPr>
        <w:t xml:space="preserve">(BUR n. 92 del 1.8.19) </w:t>
      </w:r>
    </w:p>
    <w:p w:rsidR="00034D7C" w:rsidRPr="00C8559D" w:rsidRDefault="00034D7C" w:rsidP="00034D7C">
      <w:pPr>
        <w:autoSpaceDE w:val="0"/>
        <w:autoSpaceDN w:val="0"/>
        <w:adjustRightInd w:val="0"/>
        <w:spacing w:after="0" w:line="20" w:lineRule="atLeast"/>
        <w:jc w:val="both"/>
        <w:rPr>
          <w:rFonts w:ascii="Corbel" w:hAnsi="Corbel" w:cs="Calibri"/>
          <w:color w:val="000000"/>
        </w:rPr>
      </w:pPr>
      <w:r w:rsidRPr="00C8559D">
        <w:rPr>
          <w:rFonts w:ascii="Corbel" w:hAnsi="Corbel" w:cs="Calibri"/>
          <w:b/>
          <w:bCs/>
          <w:color w:val="000000"/>
        </w:rPr>
        <w:t>PREMESS</w:t>
      </w:r>
      <w:r>
        <w:rPr>
          <w:rFonts w:ascii="Corbel" w:hAnsi="Corbel" w:cs="Calibri"/>
          <w:b/>
          <w:bCs/>
          <w:color w:val="000000"/>
        </w:rPr>
        <w:t>A</w:t>
      </w:r>
    </w:p>
    <w:p w:rsidR="00034D7C" w:rsidRPr="000954B2" w:rsidRDefault="00034D7C" w:rsidP="00034D7C">
      <w:pPr>
        <w:autoSpaceDE w:val="0"/>
        <w:autoSpaceDN w:val="0"/>
        <w:adjustRightInd w:val="0"/>
        <w:spacing w:after="0" w:line="20" w:lineRule="atLeast"/>
        <w:ind w:hanging="330"/>
        <w:jc w:val="both"/>
        <w:rPr>
          <w:rFonts w:ascii="Corbel" w:hAnsi="Corbel" w:cs="Calibri"/>
          <w:color w:val="000000"/>
        </w:rPr>
      </w:pPr>
      <w:r>
        <w:rPr>
          <w:rFonts w:ascii="Corbel" w:hAnsi="Corbel" w:cs="Calibri"/>
          <w:color w:val="000000"/>
        </w:rPr>
        <w:t xml:space="preserve">        </w:t>
      </w:r>
      <w:r w:rsidRPr="000954B2">
        <w:rPr>
          <w:rFonts w:ascii="Corbel" w:hAnsi="Corbel" w:cs="Calibri"/>
          <w:color w:val="000000"/>
        </w:rPr>
        <w:t>L’art. 27 del D.P.R. 11 luglio 1980, n. 382 consente alle Università la stipula di specifiche convenzioni per l’utilizzo di strutture extrauniversitarie ai fini dello svolgimento di attività didattiche integrative.</w:t>
      </w:r>
    </w:p>
    <w:p w:rsidR="00034D7C" w:rsidRPr="000954B2" w:rsidRDefault="00034D7C" w:rsidP="00034D7C">
      <w:pPr>
        <w:autoSpaceDE w:val="0"/>
        <w:autoSpaceDN w:val="0"/>
        <w:adjustRightInd w:val="0"/>
        <w:spacing w:after="0" w:line="20" w:lineRule="atLeast"/>
        <w:ind w:hanging="330"/>
        <w:jc w:val="both"/>
        <w:rPr>
          <w:rFonts w:ascii="Corbel" w:hAnsi="Corbel" w:cs="Calibri"/>
          <w:color w:val="000000"/>
        </w:rPr>
      </w:pPr>
      <w:r w:rsidRPr="000954B2">
        <w:rPr>
          <w:rFonts w:ascii="Corbel" w:hAnsi="Corbel" w:cs="Calibri"/>
          <w:color w:val="000000"/>
        </w:rPr>
        <w:t xml:space="preserve">       La Legge 341/90 prevede che le Università, per la realizzazione dei corsi di studio, nonché delle attività culturali e formative, possano avvalersi, secondo modalità definite dalle singole sedi, della collaborazione di soggetti pubblici e privati, con facoltà di prevedere la stipulazione di apposite convenzioni.</w:t>
      </w:r>
    </w:p>
    <w:p w:rsidR="00034D7C" w:rsidRPr="000954B2" w:rsidRDefault="00034D7C" w:rsidP="00034D7C">
      <w:pPr>
        <w:autoSpaceDE w:val="0"/>
        <w:autoSpaceDN w:val="0"/>
        <w:adjustRightInd w:val="0"/>
        <w:spacing w:after="0" w:line="20" w:lineRule="atLeast"/>
        <w:ind w:hanging="330"/>
        <w:jc w:val="both"/>
        <w:rPr>
          <w:rFonts w:ascii="Corbel" w:hAnsi="Corbel" w:cs="Calibri"/>
          <w:color w:val="000000"/>
        </w:rPr>
      </w:pPr>
      <w:r w:rsidRPr="000954B2">
        <w:rPr>
          <w:rFonts w:ascii="Corbel" w:hAnsi="Corbel" w:cs="Calibri"/>
          <w:color w:val="000000"/>
        </w:rPr>
        <w:lastRenderedPageBreak/>
        <w:t xml:space="preserve">       Al fine di realizzare momenti di alternanza tra studio e lavoro e di agevolare le scelte professionali mediante la conoscenza diretta del mondo del lavoro, sia la normativa nazionale (art. 18, comma 1 lett. a, della L 24 giugno 1997, n. 196) che la normativa regionale (v. per la Regione Puglia la L.R. n. 23 del 05/08/2013, attuata con Regolamento Regionale n. 3 del 10/03/2014) individuano le Università tra I soggetti promotori dei tirocini formativi e di orientamento.</w:t>
      </w:r>
    </w:p>
    <w:p w:rsidR="00034D7C" w:rsidRPr="000954B2" w:rsidRDefault="00034D7C" w:rsidP="00034D7C">
      <w:pPr>
        <w:autoSpaceDE w:val="0"/>
        <w:autoSpaceDN w:val="0"/>
        <w:adjustRightInd w:val="0"/>
        <w:spacing w:after="0" w:line="20" w:lineRule="atLeast"/>
        <w:ind w:hanging="330"/>
        <w:jc w:val="both"/>
        <w:rPr>
          <w:rFonts w:ascii="Corbel" w:hAnsi="Corbel" w:cs="Calibri"/>
          <w:color w:val="000000"/>
        </w:rPr>
      </w:pPr>
      <w:r w:rsidRPr="000954B2">
        <w:rPr>
          <w:rFonts w:ascii="Corbel" w:hAnsi="Corbel" w:cs="Calibri"/>
          <w:color w:val="000000"/>
        </w:rPr>
        <w:t xml:space="preserve">       In assenza di specifiche regolamentazioni regionali trovano applicazione l’art. 18 della L. n. 196/1997 e il relativo regolamento di attuazione emanato dal Ministero del lavoro e della Previdenza Sociale con decreto del 25 marzo 1998, n. 142.</w:t>
      </w:r>
    </w:p>
    <w:p w:rsidR="00034D7C" w:rsidRPr="000954B2" w:rsidRDefault="00034D7C" w:rsidP="00034D7C">
      <w:pPr>
        <w:autoSpaceDE w:val="0"/>
        <w:autoSpaceDN w:val="0"/>
        <w:adjustRightInd w:val="0"/>
        <w:spacing w:after="0" w:line="20" w:lineRule="atLeast"/>
        <w:ind w:hanging="330"/>
        <w:jc w:val="both"/>
        <w:rPr>
          <w:rFonts w:ascii="Corbel" w:hAnsi="Corbel" w:cs="Calibri"/>
          <w:color w:val="000000"/>
        </w:rPr>
      </w:pPr>
      <w:r w:rsidRPr="000954B2">
        <w:rPr>
          <w:rFonts w:ascii="Corbel" w:hAnsi="Corbel" w:cs="Calibri"/>
          <w:color w:val="000000"/>
        </w:rPr>
        <w:t xml:space="preserve">       Con </w:t>
      </w:r>
      <w:r w:rsidRPr="000954B2">
        <w:rPr>
          <w:rFonts w:ascii="Corbel" w:hAnsi="Corbel" w:cs="Calibri"/>
          <w:bCs/>
          <w:color w:val="000000"/>
        </w:rPr>
        <w:t xml:space="preserve">Del. G.R. n. 2324 del 28 dicembre 2017 </w:t>
      </w:r>
      <w:r w:rsidRPr="000954B2">
        <w:rPr>
          <w:rFonts w:ascii="Corbel" w:hAnsi="Corbel" w:cs="Calibri"/>
          <w:color w:val="000000"/>
        </w:rPr>
        <w:t xml:space="preserve">la Regione Puglia - in attuazione dell’art. 14 comma 1 del D. Lgs. n. 147/2017 di disciplina del nuovo Reddito di Inclusione in attuazione della I. n. 33/2017 “Legge delega per il contrasto alla povertà” ha adempiuto all’obbligo di di approvare il </w:t>
      </w:r>
      <w:r w:rsidRPr="000954B2">
        <w:rPr>
          <w:rFonts w:ascii="Corbel" w:hAnsi="Corbel" w:cs="Calibri"/>
          <w:bCs/>
          <w:color w:val="000000"/>
        </w:rPr>
        <w:t>Piano Regionale delle Politiche Sociali 2017-2020</w:t>
      </w:r>
      <w:r w:rsidRPr="000954B2">
        <w:rPr>
          <w:rFonts w:ascii="Corbel" w:hAnsi="Corbel" w:cs="Calibri"/>
          <w:color w:val="000000"/>
        </w:rPr>
        <w:t xml:space="preserve">, al fine di declinare le scelte programmatiche in merito agli interventi strategici e alle misure per la costruzione di una rete diffusa e capillare per il contrasto alla povertà e il pronto intervento sociale, nonché per la rete degli interventi e dei servizi sociali e sociosanitari in tutti gli Ambiti territoriali sociali in cui risulta articolato il territorio regionale; </w:t>
      </w:r>
    </w:p>
    <w:p w:rsidR="00034D7C" w:rsidRPr="000954B2" w:rsidRDefault="00034D7C" w:rsidP="00034D7C">
      <w:pPr>
        <w:autoSpaceDE w:val="0"/>
        <w:autoSpaceDN w:val="0"/>
        <w:adjustRightInd w:val="0"/>
        <w:spacing w:after="0" w:line="20" w:lineRule="atLeast"/>
        <w:ind w:hanging="330"/>
        <w:jc w:val="both"/>
        <w:rPr>
          <w:rFonts w:ascii="Corbel" w:hAnsi="Corbel" w:cs="Calibri"/>
          <w:color w:val="000000"/>
        </w:rPr>
      </w:pPr>
      <w:r w:rsidRPr="000954B2">
        <w:rPr>
          <w:rFonts w:ascii="Corbel" w:hAnsi="Corbel" w:cs="Calibri"/>
          <w:color w:val="000000"/>
        </w:rPr>
        <w:t xml:space="preserve">       La prof.ssa Patrizia Guida, direttore scientifico del Master di primo livello in Executive Assistant (MEXAS), ha rivolto all’Assessorato al Welfare la richiesta di poter attivare nell’ambito del programma didattico del Master in oggetto un numero massimo di n. 3 tirocinii formativi da svolgere presso le strutture dell’Assessorato al Welfare della Regione Puglia, con specifico riferimento ai programmi per il contrasto alla povertà, per l’innovazione e l’economia sociale, per la vita indipendente delle persone con disabilità.</w:t>
      </w:r>
    </w:p>
    <w:p w:rsidR="00034D7C" w:rsidRDefault="00034D7C" w:rsidP="00034D7C">
      <w:pPr>
        <w:autoSpaceDE w:val="0"/>
        <w:autoSpaceDN w:val="0"/>
        <w:adjustRightInd w:val="0"/>
        <w:spacing w:after="0" w:line="20" w:lineRule="atLeast"/>
        <w:ind w:hanging="330"/>
        <w:jc w:val="both"/>
        <w:rPr>
          <w:rFonts w:ascii="Corbel" w:hAnsi="Corbel" w:cs="Calibri"/>
          <w:color w:val="000000"/>
        </w:rPr>
      </w:pPr>
      <w:r w:rsidRPr="000954B2">
        <w:rPr>
          <w:rFonts w:ascii="Corbel" w:hAnsi="Corbel" w:cs="Calibri"/>
          <w:color w:val="000000"/>
        </w:rPr>
        <w:t xml:space="preserve">        La attivazione e lo svolgimento dei suddetti tirocinii non comporta oneri e spese a carico della Regione Puglia. </w:t>
      </w:r>
    </w:p>
    <w:p w:rsidR="000954B2" w:rsidRPr="000954B2" w:rsidRDefault="000954B2" w:rsidP="00034D7C">
      <w:pPr>
        <w:autoSpaceDE w:val="0"/>
        <w:autoSpaceDN w:val="0"/>
        <w:adjustRightInd w:val="0"/>
        <w:spacing w:after="0" w:line="20" w:lineRule="atLeast"/>
        <w:ind w:hanging="330"/>
        <w:jc w:val="both"/>
        <w:rPr>
          <w:rFonts w:ascii="Corbel" w:hAnsi="Corbel" w:cs="Calibri"/>
          <w:b/>
          <w:color w:val="000000"/>
        </w:rPr>
      </w:pPr>
      <w:r>
        <w:rPr>
          <w:rFonts w:ascii="Corbel" w:hAnsi="Corbel" w:cs="Calibri"/>
          <w:color w:val="000000"/>
        </w:rPr>
        <w:t xml:space="preserve">        </w:t>
      </w:r>
      <w:r w:rsidRPr="000954B2">
        <w:rPr>
          <w:rFonts w:ascii="Corbel" w:hAnsi="Corbel" w:cs="Calibri"/>
          <w:b/>
          <w:color w:val="000000"/>
        </w:rPr>
        <w:t xml:space="preserve">LA DISPOSIZIONE </w:t>
      </w:r>
    </w:p>
    <w:p w:rsidR="00034D7C" w:rsidRDefault="000954B2" w:rsidP="00034D7C">
      <w:pPr>
        <w:autoSpaceDE w:val="0"/>
        <w:autoSpaceDN w:val="0"/>
        <w:adjustRightInd w:val="0"/>
        <w:spacing w:after="0" w:line="20" w:lineRule="atLeast"/>
        <w:jc w:val="both"/>
        <w:rPr>
          <w:rFonts w:ascii="Corbel" w:hAnsi="Corbel" w:cs="Calibri"/>
          <w:color w:val="000000"/>
        </w:rPr>
      </w:pPr>
      <w:proofErr w:type="gramStart"/>
      <w:r w:rsidRPr="000954B2">
        <w:rPr>
          <w:rFonts w:ascii="Corbel" w:hAnsi="Corbel" w:cs="Calibri"/>
          <w:color w:val="000000"/>
        </w:rPr>
        <w:t>.</w:t>
      </w:r>
      <w:r w:rsidR="00034D7C" w:rsidRPr="000954B2">
        <w:rPr>
          <w:rFonts w:ascii="Corbel" w:hAnsi="Corbel" w:cs="Calibri"/>
          <w:color w:val="000000"/>
        </w:rPr>
        <w:t>Viene</w:t>
      </w:r>
      <w:proofErr w:type="gramEnd"/>
      <w:r w:rsidR="00034D7C" w:rsidRPr="000954B2">
        <w:rPr>
          <w:rFonts w:ascii="Corbel" w:hAnsi="Corbel" w:cs="Calibri"/>
          <w:color w:val="000000"/>
        </w:rPr>
        <w:t xml:space="preserve">  </w:t>
      </w:r>
      <w:r w:rsidR="00034D7C" w:rsidRPr="000954B2">
        <w:rPr>
          <w:rFonts w:ascii="Corbel" w:hAnsi="Corbel" w:cs="Calibri"/>
          <w:bCs/>
          <w:color w:val="000000"/>
        </w:rPr>
        <w:t xml:space="preserve">approvato </w:t>
      </w:r>
      <w:r w:rsidR="00034D7C" w:rsidRPr="000954B2">
        <w:rPr>
          <w:rFonts w:ascii="Corbel" w:hAnsi="Corbel" w:cs="Calibri"/>
          <w:color w:val="000000"/>
        </w:rPr>
        <w:t>lo schema di convenzione tra Regione Puglia-Assessorato al Welfare e Università LUM Jean Monnet - School of Management, per la realizzazione di un ciclo di tirocinii formativi presso le strutture regionali di riferimento, di cui all’</w:t>
      </w:r>
      <w:r w:rsidR="00034D7C" w:rsidRPr="000954B2">
        <w:rPr>
          <w:rFonts w:ascii="Corbel" w:hAnsi="Corbel" w:cs="Calibri"/>
          <w:color w:val="000000"/>
          <w:u w:val="single"/>
        </w:rPr>
        <w:t xml:space="preserve">AIIegato 1 </w:t>
      </w:r>
      <w:r w:rsidR="00034D7C" w:rsidRPr="000954B2">
        <w:rPr>
          <w:rFonts w:ascii="Corbel" w:hAnsi="Corbel" w:cs="Calibri"/>
          <w:color w:val="000000"/>
        </w:rPr>
        <w:t>al presente provvedimento, di cui costituisce parte integrante e sostanziale, che non comporta oneri a carico della Regione</w:t>
      </w:r>
      <w:r w:rsidRPr="000954B2">
        <w:rPr>
          <w:rFonts w:ascii="Corbel" w:hAnsi="Corbel" w:cs="Calibri"/>
          <w:color w:val="000000"/>
        </w:rPr>
        <w:t>.</w:t>
      </w:r>
      <w:r w:rsidR="00034D7C" w:rsidRPr="000954B2">
        <w:rPr>
          <w:rFonts w:ascii="Corbel" w:hAnsi="Corbel" w:cs="Calibri"/>
          <w:color w:val="000000"/>
        </w:rPr>
        <w:t xml:space="preserve"> </w:t>
      </w:r>
    </w:p>
    <w:p w:rsidR="002F2B62" w:rsidRPr="00400FB9" w:rsidRDefault="002F2B62" w:rsidP="00400FB9">
      <w:pPr>
        <w:spacing w:after="0" w:line="20" w:lineRule="atLeast"/>
        <w:jc w:val="both"/>
        <w:rPr>
          <w:rFonts w:cstheme="minorHAnsi"/>
        </w:rPr>
      </w:pPr>
    </w:p>
    <w:p w:rsidR="002F2B62" w:rsidRPr="00E27F3D" w:rsidRDefault="00772A13" w:rsidP="00E27F3D">
      <w:pPr>
        <w:pStyle w:val="Default"/>
        <w:pBdr>
          <w:top w:val="single" w:sz="4" w:space="1" w:color="auto"/>
          <w:left w:val="single" w:sz="4" w:space="4" w:color="auto"/>
          <w:bottom w:val="single" w:sz="4" w:space="1" w:color="auto"/>
          <w:right w:val="single" w:sz="4" w:space="4" w:color="auto"/>
          <w:between w:val="single" w:sz="4" w:space="1" w:color="auto"/>
          <w:bar w:val="single" w:sz="4" w:color="auto"/>
        </w:pBdr>
        <w:spacing w:line="20" w:lineRule="atLeast"/>
        <w:jc w:val="center"/>
        <w:rPr>
          <w:rFonts w:asciiTheme="minorHAnsi" w:hAnsiTheme="minorHAnsi" w:cstheme="minorHAnsi"/>
          <w:b/>
          <w:sz w:val="22"/>
          <w:szCs w:val="22"/>
        </w:rPr>
      </w:pPr>
      <w:r w:rsidRPr="00E27F3D">
        <w:rPr>
          <w:rFonts w:asciiTheme="minorHAnsi" w:hAnsiTheme="minorHAnsi" w:cstheme="minorHAnsi"/>
          <w:b/>
          <w:sz w:val="22"/>
          <w:szCs w:val="22"/>
        </w:rPr>
        <w:t>PO</w:t>
      </w:r>
      <w:r w:rsidR="009E065E">
        <w:rPr>
          <w:rFonts w:asciiTheme="minorHAnsi" w:hAnsiTheme="minorHAnsi" w:cstheme="minorHAnsi"/>
          <w:b/>
          <w:sz w:val="22"/>
          <w:szCs w:val="22"/>
        </w:rPr>
        <w:t xml:space="preserve">LITICHE SOCIALI </w:t>
      </w:r>
    </w:p>
    <w:p w:rsidR="00E27F3D" w:rsidRPr="00400FB9" w:rsidRDefault="00E27F3D" w:rsidP="00400FB9">
      <w:pPr>
        <w:pStyle w:val="Default"/>
        <w:spacing w:line="20" w:lineRule="atLeast"/>
        <w:jc w:val="both"/>
        <w:rPr>
          <w:rFonts w:asciiTheme="minorHAnsi" w:hAnsiTheme="minorHAnsi" w:cstheme="minorHAnsi"/>
          <w:sz w:val="22"/>
          <w:szCs w:val="22"/>
        </w:rPr>
      </w:pPr>
    </w:p>
    <w:p w:rsidR="002F2B62" w:rsidRDefault="002F2B62" w:rsidP="00E27F3D">
      <w:pPr>
        <w:pStyle w:val="CM5"/>
        <w:spacing w:line="20" w:lineRule="atLeast"/>
        <w:jc w:val="both"/>
        <w:rPr>
          <w:rFonts w:asciiTheme="minorHAnsi" w:hAnsiTheme="minorHAnsi" w:cstheme="minorHAnsi"/>
          <w:bCs/>
          <w:color w:val="000000"/>
          <w:sz w:val="22"/>
          <w:szCs w:val="22"/>
        </w:rPr>
      </w:pPr>
      <w:r w:rsidRPr="00400FB9">
        <w:rPr>
          <w:rFonts w:asciiTheme="minorHAnsi" w:hAnsiTheme="minorHAnsi" w:cstheme="minorHAnsi"/>
          <w:sz w:val="22"/>
          <w:szCs w:val="22"/>
        </w:rPr>
        <w:t xml:space="preserve"> </w:t>
      </w:r>
      <w:r w:rsidRPr="00E27F3D">
        <w:rPr>
          <w:rFonts w:asciiTheme="minorHAnsi" w:hAnsiTheme="minorHAnsi" w:cstheme="minorHAnsi"/>
          <w:b/>
          <w:color w:val="000000"/>
          <w:sz w:val="22"/>
          <w:szCs w:val="22"/>
        </w:rPr>
        <w:t>DGR 16 luglio 2019, n. 1317</w:t>
      </w:r>
      <w:r w:rsidR="00E27F3D">
        <w:rPr>
          <w:rFonts w:asciiTheme="minorHAnsi" w:hAnsiTheme="minorHAnsi" w:cstheme="minorHAnsi"/>
          <w:color w:val="000000"/>
          <w:sz w:val="22"/>
          <w:szCs w:val="22"/>
        </w:rPr>
        <w:t xml:space="preserve">, </w:t>
      </w:r>
      <w:r w:rsidRPr="00E27F3D">
        <w:rPr>
          <w:rFonts w:asciiTheme="minorHAnsi" w:hAnsiTheme="minorHAnsi" w:cstheme="minorHAnsi"/>
          <w:bCs/>
          <w:color w:val="000000"/>
          <w:sz w:val="22"/>
          <w:szCs w:val="22"/>
        </w:rPr>
        <w:t xml:space="preserve">Del. G.R. n. 478 del 14 marzo 2019. “FNPS 2018 - Assegnazione risorse agli Ambiti per la II annualità dei rispettivi Piani Sociali di Zona 2018-2020”. Approvazione Convenzione Regione - Puglia - ANCI Puglia per sviluppo attività di supporto ai Comuni nell’attuazione degli interventi sociali. </w:t>
      </w:r>
      <w:r w:rsidR="00E27F3D">
        <w:rPr>
          <w:rFonts w:asciiTheme="minorHAnsi" w:hAnsiTheme="minorHAnsi" w:cstheme="minorHAnsi"/>
          <w:bCs/>
          <w:color w:val="000000"/>
          <w:sz w:val="22"/>
          <w:szCs w:val="22"/>
        </w:rPr>
        <w:t>BUR n. 94 del 20.8.19)</w:t>
      </w:r>
    </w:p>
    <w:p w:rsidR="00E40421" w:rsidRPr="00E40421" w:rsidRDefault="00E40421" w:rsidP="00E40421">
      <w:pPr>
        <w:pStyle w:val="Default"/>
        <w:rPr>
          <w:rFonts w:asciiTheme="minorHAnsi" w:hAnsiTheme="minorHAnsi" w:cstheme="minorHAnsi"/>
          <w:b/>
          <w:sz w:val="22"/>
          <w:szCs w:val="22"/>
          <w:lang w:eastAsia="en-US"/>
        </w:rPr>
      </w:pPr>
      <w:r w:rsidRPr="00E40421">
        <w:rPr>
          <w:rFonts w:asciiTheme="minorHAnsi" w:hAnsiTheme="minorHAnsi" w:cstheme="minorHAnsi"/>
          <w:b/>
          <w:sz w:val="22"/>
          <w:szCs w:val="22"/>
          <w:lang w:eastAsia="en-US"/>
        </w:rPr>
        <w:t>Note</w:t>
      </w:r>
    </w:p>
    <w:p w:rsidR="002F2B62" w:rsidRPr="009E065E" w:rsidRDefault="009E065E" w:rsidP="00E40421">
      <w:pPr>
        <w:pStyle w:val="Default"/>
        <w:spacing w:line="20" w:lineRule="atLeast"/>
        <w:jc w:val="both"/>
        <w:rPr>
          <w:rFonts w:asciiTheme="minorHAnsi" w:hAnsiTheme="minorHAnsi" w:cstheme="minorHAnsi"/>
          <w:sz w:val="22"/>
          <w:szCs w:val="22"/>
        </w:rPr>
      </w:pPr>
      <w:r w:rsidRPr="009E065E">
        <w:rPr>
          <w:rFonts w:asciiTheme="minorHAnsi" w:hAnsiTheme="minorHAnsi" w:cstheme="minorHAnsi"/>
          <w:bCs/>
          <w:sz w:val="22"/>
          <w:szCs w:val="22"/>
        </w:rPr>
        <w:t xml:space="preserve">Viene </w:t>
      </w:r>
      <w:r w:rsidR="002F2B62" w:rsidRPr="009E065E">
        <w:rPr>
          <w:rFonts w:asciiTheme="minorHAnsi" w:hAnsiTheme="minorHAnsi" w:cstheme="minorHAnsi"/>
          <w:bCs/>
          <w:sz w:val="22"/>
          <w:szCs w:val="22"/>
        </w:rPr>
        <w:t>pre</w:t>
      </w:r>
      <w:r w:rsidRPr="009E065E">
        <w:rPr>
          <w:rFonts w:asciiTheme="minorHAnsi" w:hAnsiTheme="minorHAnsi" w:cstheme="minorHAnsi"/>
          <w:bCs/>
          <w:sz w:val="22"/>
          <w:szCs w:val="22"/>
        </w:rPr>
        <w:t xml:space="preserve">so </w:t>
      </w:r>
      <w:r w:rsidR="002F2B62" w:rsidRPr="009E065E">
        <w:rPr>
          <w:rFonts w:asciiTheme="minorHAnsi" w:hAnsiTheme="minorHAnsi" w:cstheme="minorHAnsi"/>
          <w:bCs/>
          <w:sz w:val="22"/>
          <w:szCs w:val="22"/>
        </w:rPr>
        <w:t xml:space="preserve"> </w:t>
      </w:r>
      <w:r>
        <w:rPr>
          <w:rFonts w:asciiTheme="minorHAnsi" w:hAnsiTheme="minorHAnsi" w:cstheme="minorHAnsi"/>
          <w:bCs/>
          <w:sz w:val="22"/>
          <w:szCs w:val="22"/>
        </w:rPr>
        <w:t xml:space="preserve"> atto </w:t>
      </w:r>
      <w:r w:rsidR="002F2B62" w:rsidRPr="009E065E">
        <w:rPr>
          <w:rFonts w:asciiTheme="minorHAnsi" w:hAnsiTheme="minorHAnsi" w:cstheme="minorHAnsi"/>
          <w:sz w:val="22"/>
          <w:szCs w:val="22"/>
        </w:rPr>
        <w:t xml:space="preserve">dello stanziamento disposto Euro 1.000.000,00 con il riparto del FNPS 2018 per la realizzazione di un programma di collaborazione volto a supportare gli Enti locali, associati in Ambiti territoriali nella attuazione delle politiche pubbliche in materia di welfare, per la diffusione di buone pratiche e per lo sviluppo di azioni innovative e sperimentali a supporto della rete delle Autonomie locali pugliesi; </w:t>
      </w:r>
    </w:p>
    <w:p w:rsidR="009E065E" w:rsidRPr="009E065E" w:rsidRDefault="009E065E" w:rsidP="00E40421">
      <w:pPr>
        <w:pStyle w:val="Default"/>
        <w:spacing w:line="20" w:lineRule="atLeast"/>
        <w:jc w:val="both"/>
        <w:rPr>
          <w:rFonts w:asciiTheme="minorHAnsi" w:hAnsiTheme="minorHAnsi" w:cstheme="minorHAnsi"/>
          <w:sz w:val="22"/>
          <w:szCs w:val="22"/>
        </w:rPr>
      </w:pPr>
      <w:r w:rsidRPr="009E065E">
        <w:rPr>
          <w:rFonts w:asciiTheme="minorHAnsi" w:hAnsiTheme="minorHAnsi" w:cstheme="minorHAnsi"/>
          <w:sz w:val="22"/>
          <w:szCs w:val="22"/>
        </w:rPr>
        <w:t xml:space="preserve">Viene </w:t>
      </w:r>
      <w:proofErr w:type="gramStart"/>
      <w:r w:rsidR="002F2B62" w:rsidRPr="009E065E">
        <w:rPr>
          <w:rFonts w:asciiTheme="minorHAnsi" w:hAnsiTheme="minorHAnsi" w:cstheme="minorHAnsi"/>
          <w:bCs/>
          <w:sz w:val="22"/>
          <w:szCs w:val="22"/>
        </w:rPr>
        <w:t>approva</w:t>
      </w:r>
      <w:r w:rsidRPr="009E065E">
        <w:rPr>
          <w:rFonts w:asciiTheme="minorHAnsi" w:hAnsiTheme="minorHAnsi" w:cstheme="minorHAnsi"/>
          <w:bCs/>
          <w:sz w:val="22"/>
          <w:szCs w:val="22"/>
        </w:rPr>
        <w:t xml:space="preserve">to </w:t>
      </w:r>
      <w:r w:rsidR="002F2B62" w:rsidRPr="009E065E">
        <w:rPr>
          <w:rFonts w:asciiTheme="minorHAnsi" w:hAnsiTheme="minorHAnsi" w:cstheme="minorHAnsi"/>
          <w:bCs/>
          <w:sz w:val="22"/>
          <w:szCs w:val="22"/>
        </w:rPr>
        <w:t xml:space="preserve"> </w:t>
      </w:r>
      <w:r w:rsidR="002F2B62" w:rsidRPr="009E065E">
        <w:rPr>
          <w:rFonts w:asciiTheme="minorHAnsi" w:hAnsiTheme="minorHAnsi" w:cstheme="minorHAnsi"/>
          <w:sz w:val="22"/>
          <w:szCs w:val="22"/>
        </w:rPr>
        <w:t>lo</w:t>
      </w:r>
      <w:proofErr w:type="gramEnd"/>
      <w:r w:rsidR="002F2B62" w:rsidRPr="009E065E">
        <w:rPr>
          <w:rFonts w:asciiTheme="minorHAnsi" w:hAnsiTheme="minorHAnsi" w:cstheme="minorHAnsi"/>
          <w:sz w:val="22"/>
          <w:szCs w:val="22"/>
        </w:rPr>
        <w:t xml:space="preserve"> schema di convenzione tra Regione Puglia-Assessorato al Welfare e ANCI Puglia, per la realizzazione di un programma di azioni di sistema e di attività di affiancamento specialistico ai Comuni pugliesi, associati in Ambiti territoriali sociali, al fine di qualificarne l’azione innovativa e le capacità istituzionali per la crescita e l’efficienza dei sistemi di welfare locali</w:t>
      </w:r>
    </w:p>
    <w:p w:rsidR="00E40421" w:rsidRDefault="00E40421" w:rsidP="00400FB9">
      <w:pPr>
        <w:spacing w:after="0" w:line="20" w:lineRule="atLeast"/>
        <w:jc w:val="both"/>
        <w:rPr>
          <w:rFonts w:cstheme="minorHAnsi"/>
        </w:rPr>
      </w:pPr>
    </w:p>
    <w:p w:rsidR="00034D7C" w:rsidRPr="000954B2" w:rsidRDefault="00034D7C" w:rsidP="00034D7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0954B2">
        <w:rPr>
          <w:rFonts w:cstheme="minorHAnsi"/>
          <w:b/>
        </w:rPr>
        <w:t>POVERTÀ INCLUSIONE SOCIALE</w:t>
      </w:r>
    </w:p>
    <w:p w:rsidR="00034D7C" w:rsidRDefault="00034D7C" w:rsidP="00D37CE7">
      <w:pPr>
        <w:spacing w:after="0" w:line="20" w:lineRule="atLeast"/>
        <w:jc w:val="both"/>
        <w:rPr>
          <w:rFonts w:cstheme="minorHAnsi"/>
        </w:rPr>
      </w:pPr>
    </w:p>
    <w:p w:rsidR="00E574B2" w:rsidRPr="00C8559D" w:rsidRDefault="00DB75E8" w:rsidP="00E574B2">
      <w:pPr>
        <w:autoSpaceDE w:val="0"/>
        <w:autoSpaceDN w:val="0"/>
        <w:adjustRightInd w:val="0"/>
        <w:spacing w:after="0" w:line="20" w:lineRule="atLeast"/>
        <w:jc w:val="both"/>
        <w:rPr>
          <w:rFonts w:cstheme="minorHAnsi"/>
          <w:color w:val="000000"/>
        </w:rPr>
      </w:pPr>
      <w:r w:rsidRPr="00DB75E8">
        <w:rPr>
          <w:rFonts w:cstheme="minorHAnsi"/>
          <w:b/>
          <w:color w:val="000000"/>
        </w:rPr>
        <w:t>DGR 8 luglio 2019, n. 1272</w:t>
      </w:r>
      <w:r w:rsidRPr="00C8559D">
        <w:rPr>
          <w:rFonts w:cstheme="minorHAnsi"/>
          <w:color w:val="000000"/>
        </w:rPr>
        <w:t xml:space="preserve">, </w:t>
      </w:r>
      <w:r w:rsidRPr="00DB75E8">
        <w:rPr>
          <w:rFonts w:cstheme="minorHAnsi"/>
          <w:bCs/>
          <w:color w:val="000000"/>
        </w:rPr>
        <w:t xml:space="preserve">L.R. n. 3/2016 e s.m.i. e Reg. R. n. 8/2016 e ss.mm.i. “Disciplina del Reddito di Dignità” L. n. 26/2019 “Disposizioni sul Reddito di Cittadinanza” Approvazione Protocollo di intesa tra Regione Puglia e Inps - Direzione Regionale, per la sperimentazione di punti unici di accesso per i beneficiari. </w:t>
      </w:r>
      <w:r w:rsidR="00E574B2" w:rsidRPr="00C8559D">
        <w:rPr>
          <w:rFonts w:cstheme="minorHAnsi"/>
          <w:bCs/>
          <w:color w:val="000000"/>
        </w:rPr>
        <w:t xml:space="preserve">(BUR n. 92 del 1.8.19) </w:t>
      </w:r>
    </w:p>
    <w:p w:rsidR="00DB75E8" w:rsidRPr="00DB75E8" w:rsidRDefault="00DB75E8" w:rsidP="00DB75E8">
      <w:pPr>
        <w:autoSpaceDE w:val="0"/>
        <w:autoSpaceDN w:val="0"/>
        <w:adjustRightInd w:val="0"/>
        <w:spacing w:after="0" w:line="20" w:lineRule="atLeast"/>
        <w:jc w:val="both"/>
        <w:rPr>
          <w:rFonts w:cstheme="minorHAnsi"/>
          <w:b/>
          <w:color w:val="000000"/>
        </w:rPr>
      </w:pPr>
      <w:r w:rsidRPr="00DB75E8">
        <w:rPr>
          <w:rFonts w:cstheme="minorHAnsi"/>
          <w:b/>
          <w:color w:val="000000"/>
        </w:rPr>
        <w:t xml:space="preserve">PREMESSA </w:t>
      </w:r>
    </w:p>
    <w:p w:rsidR="00DB75E8" w:rsidRPr="00C8559D" w:rsidRDefault="00DB75E8" w:rsidP="00DB75E8">
      <w:pPr>
        <w:autoSpaceDE w:val="0"/>
        <w:autoSpaceDN w:val="0"/>
        <w:adjustRightInd w:val="0"/>
        <w:spacing w:after="0" w:line="20" w:lineRule="atLeast"/>
        <w:jc w:val="both"/>
        <w:rPr>
          <w:rFonts w:cstheme="minorHAnsi"/>
          <w:color w:val="000000"/>
        </w:rPr>
      </w:pPr>
      <w:r>
        <w:rPr>
          <w:rFonts w:cstheme="minorHAnsi"/>
          <w:color w:val="000000"/>
        </w:rPr>
        <w:lastRenderedPageBreak/>
        <w:t>I</w:t>
      </w:r>
      <w:r w:rsidRPr="00C8559D">
        <w:rPr>
          <w:rFonts w:cstheme="minorHAnsi"/>
          <w:color w:val="000000"/>
        </w:rPr>
        <w:t>l Programma Operativo Puglia 2014-2020 (FESR-FSE) all’Obiettivo Tematico IX fissa gli obiettivi generali di intervento e le priorità di investimento per l’attuazione di una più ampia strategia regionale per il contrasto alle povertà e per l’inclusione sociale attiva di persone svantaggiate sotto il profilo economico, con disabilità, vittime di violenza o grave sfruttamento e a rischio di discriminazione</w:t>
      </w:r>
      <w:r>
        <w:rPr>
          <w:rFonts w:cstheme="minorHAnsi"/>
          <w:color w:val="000000"/>
        </w:rPr>
        <w:t>.</w:t>
      </w:r>
      <w:r w:rsidRPr="00C8559D">
        <w:rPr>
          <w:rFonts w:cstheme="minorHAnsi"/>
          <w:color w:val="000000"/>
        </w:rPr>
        <w:t xml:space="preserve"> </w:t>
      </w:r>
    </w:p>
    <w:p w:rsidR="00DB75E8" w:rsidRPr="00E574B2" w:rsidRDefault="00DB75E8" w:rsidP="00DB75E8">
      <w:pPr>
        <w:autoSpaceDE w:val="0"/>
        <w:autoSpaceDN w:val="0"/>
        <w:adjustRightInd w:val="0"/>
        <w:spacing w:after="0" w:line="20" w:lineRule="atLeast"/>
        <w:jc w:val="both"/>
        <w:rPr>
          <w:rFonts w:cstheme="minorHAnsi"/>
          <w:color w:val="000000"/>
        </w:rPr>
      </w:pPr>
      <w:r w:rsidRPr="00C8559D">
        <w:rPr>
          <w:rFonts w:cstheme="minorHAnsi"/>
          <w:color w:val="000000"/>
        </w:rPr>
        <w:t xml:space="preserve">in relazione alle priorità di investimento di cui agli Assi VIII e IX del POR Puglia 2014-2020, con </w:t>
      </w:r>
      <w:r w:rsidRPr="00C8559D">
        <w:rPr>
          <w:rFonts w:cstheme="minorHAnsi"/>
          <w:b/>
          <w:bCs/>
          <w:color w:val="000000"/>
        </w:rPr>
        <w:t xml:space="preserve">legge regionale </w:t>
      </w:r>
      <w:r w:rsidRPr="00E574B2">
        <w:rPr>
          <w:rFonts w:cstheme="minorHAnsi"/>
          <w:bCs/>
          <w:color w:val="000000"/>
        </w:rPr>
        <w:t>n. 3 del 14 marzo 2016</w:t>
      </w:r>
      <w:r w:rsidRPr="00E574B2">
        <w:rPr>
          <w:rFonts w:cstheme="minorHAnsi"/>
          <w:color w:val="000000"/>
        </w:rPr>
        <w:t xml:space="preserve">, “Reddito di dignità regionale e politiche per l’inclusione sociale attiva”, la Regione Puglia ha inteso promuovere una strategia organica di contrasto al disagio socioeconomico, alle povertà e all’emarginazione sociale, attraverso l’attivazione di interventi integrati per l’inclusione sociale attiva, nel rispetto dell’articolo 34 della Carta dei diritti fondamentali dell’Unione europea, degli articoli 1, 2, 3, 4, 38, della Costituzione italiana. </w:t>
      </w:r>
    </w:p>
    <w:p w:rsidR="00DB75E8" w:rsidRPr="00E574B2" w:rsidRDefault="00DB75E8" w:rsidP="00DB75E8">
      <w:pPr>
        <w:autoSpaceDE w:val="0"/>
        <w:autoSpaceDN w:val="0"/>
        <w:adjustRightInd w:val="0"/>
        <w:spacing w:after="0" w:line="20" w:lineRule="atLeast"/>
        <w:jc w:val="both"/>
        <w:rPr>
          <w:rFonts w:cstheme="minorHAnsi"/>
          <w:color w:val="000000"/>
        </w:rPr>
      </w:pPr>
      <w:r w:rsidRPr="00E574B2">
        <w:rPr>
          <w:rFonts w:cstheme="minorHAnsi"/>
          <w:color w:val="000000"/>
        </w:rPr>
        <w:t xml:space="preserve">In questo contesto, la Giunta Regionale ha provveduto alla approvazione del regolamento attuativo della legge regionale, il </w:t>
      </w:r>
      <w:r w:rsidRPr="00E574B2">
        <w:rPr>
          <w:rFonts w:cstheme="minorHAnsi"/>
          <w:bCs/>
          <w:color w:val="000000"/>
        </w:rPr>
        <w:t xml:space="preserve">Regolamento Regionale n. 8 del 23 giugno 2016, </w:t>
      </w:r>
      <w:r w:rsidRPr="00E574B2">
        <w:rPr>
          <w:rFonts w:cstheme="minorHAnsi"/>
          <w:color w:val="000000"/>
        </w:rPr>
        <w:t xml:space="preserve">assicurando la maggiore coerenza con i criteri di selezione delle operazioni, con i target di destinatari, con le fasi procedurali di selezione di cui al Documento “Metodologia e Criteri per la selezione delle operazioni” approvato dal Comitato di Sorveglianza del POR Puglia 2014-2020 nella seduta dell’11 marzo 2016. </w:t>
      </w:r>
    </w:p>
    <w:p w:rsidR="00DB75E8" w:rsidRPr="00E574B2" w:rsidRDefault="00DB75E8" w:rsidP="00DB75E8">
      <w:pPr>
        <w:autoSpaceDE w:val="0"/>
        <w:autoSpaceDN w:val="0"/>
        <w:adjustRightInd w:val="0"/>
        <w:spacing w:after="0" w:line="20" w:lineRule="atLeast"/>
        <w:jc w:val="both"/>
        <w:rPr>
          <w:rFonts w:cstheme="minorHAnsi"/>
          <w:color w:val="000000"/>
        </w:rPr>
      </w:pPr>
      <w:r w:rsidRPr="00E574B2">
        <w:rPr>
          <w:rFonts w:cstheme="minorHAnsi"/>
          <w:color w:val="000000"/>
        </w:rPr>
        <w:t xml:space="preserve">Il suddetto regolamento è stato integrato e modificato con il reg. R. n. 2/2018, a seguito della messa a regime del Reddito di Inclusione (REI) nazionale, di cui al </w:t>
      </w:r>
      <w:r w:rsidRPr="00E574B2">
        <w:rPr>
          <w:rFonts w:cstheme="minorHAnsi"/>
          <w:bCs/>
          <w:color w:val="000000"/>
        </w:rPr>
        <w:t>D.Lgs. 147/2017.</w:t>
      </w:r>
      <w:r w:rsidRPr="00E574B2">
        <w:rPr>
          <w:rFonts w:cstheme="minorHAnsi"/>
          <w:color w:val="000000"/>
        </w:rPr>
        <w:t xml:space="preserve"> </w:t>
      </w:r>
    </w:p>
    <w:p w:rsidR="00DB75E8" w:rsidRPr="00E574B2" w:rsidRDefault="00DB75E8" w:rsidP="00DB75E8">
      <w:pPr>
        <w:autoSpaceDE w:val="0"/>
        <w:autoSpaceDN w:val="0"/>
        <w:adjustRightInd w:val="0"/>
        <w:spacing w:after="0" w:line="20" w:lineRule="atLeast"/>
        <w:jc w:val="both"/>
        <w:rPr>
          <w:rFonts w:cstheme="minorHAnsi"/>
          <w:color w:val="000000"/>
        </w:rPr>
      </w:pPr>
      <w:r w:rsidRPr="00E574B2">
        <w:rPr>
          <w:rFonts w:cstheme="minorHAnsi"/>
          <w:color w:val="000000"/>
        </w:rPr>
        <w:t xml:space="preserve">L’intervento, a titolarità regionale, del Reddito di Dignità, si caratterizza per una specifica strategicità in quanto sostiene l’interesse pubblico ad accrescere l’efficacia degli interventi per il contrasto alla povertà estrema, adottati a livello nazionale, anche in coerenza con quanto disposto dal D.Lgs. n. 147/ 2017, dal Decreto Interministeriale 18 maggio 2018 che ha approvato il Piano Nazionale per il centrato alla povertà, nonché con la Del. G.R. n. 1565/2018 che ha approvato il Piano Regionale per il Contrato alle Povertà ad integrazione del Piano Regionale Politiche Sociali 2017-2020 (Del. G.R. n. 2324/2018). </w:t>
      </w:r>
    </w:p>
    <w:p w:rsidR="00DB75E8" w:rsidRPr="00E574B2" w:rsidRDefault="00DB75E8" w:rsidP="00DB75E8">
      <w:pPr>
        <w:autoSpaceDE w:val="0"/>
        <w:autoSpaceDN w:val="0"/>
        <w:adjustRightInd w:val="0"/>
        <w:spacing w:after="0" w:line="20" w:lineRule="atLeast"/>
        <w:jc w:val="both"/>
        <w:rPr>
          <w:rFonts w:cstheme="minorHAnsi"/>
          <w:color w:val="000000"/>
        </w:rPr>
      </w:pPr>
      <w:r w:rsidRPr="00E574B2">
        <w:rPr>
          <w:rFonts w:cstheme="minorHAnsi"/>
          <w:color w:val="000000"/>
        </w:rPr>
        <w:t xml:space="preserve">Detta misura è stata finanziata a partire dal 2016 a valere sulle risorse del POR Puglia 2014-2020 Azione 9.1-9.4 e che la prima dotazione assegnata è già stata interamente ripartita agli Ambiti territoriali sociali per l’espletamento delle procedure di individuazione dei destinatari finali e di erogazione delle prestazioni, al fine di dare copertura alle annualità 2017-2018 e 2018-2019. </w:t>
      </w:r>
    </w:p>
    <w:p w:rsidR="00DB75E8" w:rsidRPr="00E574B2" w:rsidRDefault="00DB75E8" w:rsidP="00DB75E8">
      <w:pPr>
        <w:autoSpaceDE w:val="0"/>
        <w:autoSpaceDN w:val="0"/>
        <w:adjustRightInd w:val="0"/>
        <w:spacing w:after="0" w:line="20" w:lineRule="atLeast"/>
        <w:jc w:val="both"/>
        <w:rPr>
          <w:rFonts w:cstheme="minorHAnsi"/>
          <w:color w:val="000000"/>
        </w:rPr>
      </w:pPr>
      <w:r w:rsidRPr="00E574B2">
        <w:rPr>
          <w:rFonts w:cstheme="minorHAnsi"/>
          <w:color w:val="000000"/>
        </w:rPr>
        <w:t xml:space="preserve">L’intervento risulta, altresì, coerente con gli obiettivi previsti nell’ambito delle Deliberazioni di Giunta Regionale n. 1265 del 4/8/2016 e n. 1922 del 30/11/2016, le cui risorse possono essere utilizzate a co-finanziamento del l’Azione citata del Patto per la Puglia. </w:t>
      </w:r>
    </w:p>
    <w:p w:rsidR="00DB75E8" w:rsidRPr="00E574B2" w:rsidRDefault="00DB75E8" w:rsidP="00DB75E8">
      <w:pPr>
        <w:autoSpaceDE w:val="0"/>
        <w:autoSpaceDN w:val="0"/>
        <w:adjustRightInd w:val="0"/>
        <w:spacing w:after="0" w:line="20" w:lineRule="atLeast"/>
        <w:jc w:val="both"/>
        <w:rPr>
          <w:rFonts w:cstheme="minorHAnsi"/>
          <w:color w:val="000000"/>
        </w:rPr>
      </w:pPr>
      <w:r w:rsidRPr="00E574B2">
        <w:rPr>
          <w:rFonts w:cstheme="minorHAnsi"/>
          <w:color w:val="000000"/>
        </w:rPr>
        <w:t xml:space="preserve">Con Del. G.R. n. 2183 del 29 novembre 2018 è stato deliberato di assegnare risorse aggiuntive per Euro 20.000.000,00 alla integrazione della dotazione finanziaria della Misura Reddito di Dignità 2.0 con riferimento al triennio 2018-2020. </w:t>
      </w:r>
    </w:p>
    <w:p w:rsidR="00DB75E8" w:rsidRPr="00E574B2" w:rsidRDefault="00DB75E8" w:rsidP="00DB75E8">
      <w:pPr>
        <w:autoSpaceDE w:val="0"/>
        <w:autoSpaceDN w:val="0"/>
        <w:adjustRightInd w:val="0"/>
        <w:spacing w:after="0" w:line="20" w:lineRule="atLeast"/>
        <w:jc w:val="both"/>
        <w:rPr>
          <w:rFonts w:cstheme="minorHAnsi"/>
          <w:color w:val="000000"/>
        </w:rPr>
      </w:pPr>
      <w:r w:rsidRPr="00E574B2">
        <w:rPr>
          <w:rFonts w:cstheme="minorHAnsi"/>
          <w:color w:val="000000"/>
        </w:rPr>
        <w:t xml:space="preserve">Con </w:t>
      </w:r>
      <w:r w:rsidRPr="00E574B2">
        <w:rPr>
          <w:rFonts w:cstheme="minorHAnsi"/>
          <w:bCs/>
          <w:color w:val="000000"/>
        </w:rPr>
        <w:t>Decreto-legge 28 gennaio 2019 n. 4</w:t>
      </w:r>
      <w:r w:rsidRPr="00E574B2">
        <w:rPr>
          <w:rFonts w:cstheme="minorHAnsi"/>
          <w:color w:val="000000"/>
        </w:rPr>
        <w:t xml:space="preserve">, pubblicato in Gazzetta Ufficiale n. 23 del 28 gennaio 2019 e recante “Disposizioni urgenti in materia di reddito di cittadinanza e di pensioni”, e convertito in legge al Senato della Repubblica in data 28 marzo 2019, il Governo nazionale ha inteso promuovere una misura di politica attiva del lavoro, di contrasto alla povertà, alla disuguaglianza e all’esclusione sociale. La conversione è avvenuta in data 28 marzo 2019 con I. n. 26/2019. </w:t>
      </w:r>
    </w:p>
    <w:p w:rsidR="00DB75E8" w:rsidRPr="00E574B2" w:rsidRDefault="00DB75E8" w:rsidP="00DB75E8">
      <w:pPr>
        <w:autoSpaceDE w:val="0"/>
        <w:autoSpaceDN w:val="0"/>
        <w:adjustRightInd w:val="0"/>
        <w:spacing w:after="0" w:line="20" w:lineRule="atLeast"/>
        <w:jc w:val="both"/>
        <w:rPr>
          <w:rFonts w:cstheme="minorHAnsi"/>
          <w:color w:val="000000"/>
        </w:rPr>
      </w:pPr>
      <w:r w:rsidRPr="00E574B2">
        <w:rPr>
          <w:rFonts w:cstheme="minorHAnsi"/>
          <w:color w:val="000000"/>
        </w:rPr>
        <w:t xml:space="preserve">Tale misura viene definita all’art. 1 del citato D.L. “livello essenziale delle prestazioni, nei limiti delle risorse disponibili”. </w:t>
      </w:r>
    </w:p>
    <w:p w:rsidR="00DB75E8" w:rsidRPr="00E574B2" w:rsidRDefault="00DB75E8" w:rsidP="00DB75E8">
      <w:pPr>
        <w:autoSpaceDE w:val="0"/>
        <w:autoSpaceDN w:val="0"/>
        <w:adjustRightInd w:val="0"/>
        <w:spacing w:after="0" w:line="20" w:lineRule="atLeast"/>
        <w:jc w:val="both"/>
        <w:rPr>
          <w:rFonts w:cstheme="minorHAnsi"/>
          <w:color w:val="000000"/>
        </w:rPr>
      </w:pPr>
      <w:r w:rsidRPr="00E574B2">
        <w:rPr>
          <w:rFonts w:cstheme="minorHAnsi"/>
          <w:color w:val="000000"/>
        </w:rPr>
        <w:t xml:space="preserve">Le specifiche tecniche di attuazione della misura nazionale introdotta appaiono comportare nel prossimo futuro importanti ricadute sulla platea potenziale delle persone in condizione di fragilità economica, che comunque dovrà essere monitorata sin dalle prime fasi di avvio per: </w:t>
      </w:r>
    </w:p>
    <w:p w:rsidR="00DB75E8" w:rsidRPr="00E574B2" w:rsidRDefault="00E574B2" w:rsidP="00DB75E8">
      <w:pPr>
        <w:autoSpaceDE w:val="0"/>
        <w:autoSpaceDN w:val="0"/>
        <w:adjustRightInd w:val="0"/>
        <w:spacing w:after="0" w:line="20" w:lineRule="atLeast"/>
        <w:ind w:hanging="360"/>
        <w:jc w:val="both"/>
        <w:rPr>
          <w:rFonts w:cstheme="minorHAnsi"/>
          <w:color w:val="000000"/>
        </w:rPr>
      </w:pPr>
      <w:r w:rsidRPr="00E574B2">
        <w:rPr>
          <w:rFonts w:cstheme="minorHAnsi"/>
          <w:color w:val="000000"/>
        </w:rPr>
        <w:t xml:space="preserve">       </w:t>
      </w:r>
      <w:r w:rsidR="00DB75E8" w:rsidRPr="00E574B2">
        <w:rPr>
          <w:rFonts w:cstheme="minorHAnsi"/>
          <w:color w:val="000000"/>
        </w:rPr>
        <w:t xml:space="preserve">a) conoscere la dimensione e le caratteristiche socioeconomiche dei nuclei familiari effettivamente ammessi </w:t>
      </w:r>
    </w:p>
    <w:p w:rsidR="00DB75E8" w:rsidRPr="00E574B2" w:rsidRDefault="00E574B2" w:rsidP="00DB75E8">
      <w:pPr>
        <w:autoSpaceDE w:val="0"/>
        <w:autoSpaceDN w:val="0"/>
        <w:adjustRightInd w:val="0"/>
        <w:spacing w:after="0" w:line="20" w:lineRule="atLeast"/>
        <w:ind w:hanging="360"/>
        <w:jc w:val="both"/>
        <w:rPr>
          <w:rFonts w:cstheme="minorHAnsi"/>
          <w:color w:val="000000"/>
        </w:rPr>
      </w:pPr>
      <w:r w:rsidRPr="00E574B2">
        <w:rPr>
          <w:rFonts w:cstheme="minorHAnsi"/>
          <w:color w:val="000000"/>
        </w:rPr>
        <w:t xml:space="preserve">       </w:t>
      </w:r>
      <w:r w:rsidR="00DB75E8" w:rsidRPr="00E574B2">
        <w:rPr>
          <w:rFonts w:cstheme="minorHAnsi"/>
          <w:color w:val="000000"/>
        </w:rPr>
        <w:t xml:space="preserve">b) valutare l’impatto in termini di contributi economici effettivamente percepiti </w:t>
      </w:r>
    </w:p>
    <w:p w:rsidR="00DB75E8" w:rsidRPr="00E574B2" w:rsidRDefault="00E574B2" w:rsidP="00DB75E8">
      <w:pPr>
        <w:autoSpaceDE w:val="0"/>
        <w:autoSpaceDN w:val="0"/>
        <w:adjustRightInd w:val="0"/>
        <w:spacing w:after="0" w:line="20" w:lineRule="atLeast"/>
        <w:ind w:hanging="360"/>
        <w:jc w:val="both"/>
        <w:rPr>
          <w:rFonts w:cstheme="minorHAnsi"/>
          <w:color w:val="000000"/>
        </w:rPr>
      </w:pPr>
      <w:r w:rsidRPr="00E574B2">
        <w:rPr>
          <w:rFonts w:cstheme="minorHAnsi"/>
          <w:color w:val="000000"/>
        </w:rPr>
        <w:t xml:space="preserve">       </w:t>
      </w:r>
      <w:r w:rsidR="00DB75E8" w:rsidRPr="00E574B2">
        <w:rPr>
          <w:rFonts w:cstheme="minorHAnsi"/>
          <w:color w:val="000000"/>
        </w:rPr>
        <w:t xml:space="preserve">c) evidenziare le effettive opportunità di accesso a percorsi di attivazione e/o di inserimento socio lavorativo per tutti i nuclei beneficiari del Reddito di Cittadinanza. </w:t>
      </w:r>
    </w:p>
    <w:p w:rsidR="00DB75E8" w:rsidRPr="00E574B2" w:rsidRDefault="00DB75E8" w:rsidP="00DB75E8">
      <w:pPr>
        <w:autoSpaceDE w:val="0"/>
        <w:autoSpaceDN w:val="0"/>
        <w:adjustRightInd w:val="0"/>
        <w:spacing w:after="0" w:line="20" w:lineRule="atLeast"/>
        <w:jc w:val="both"/>
        <w:rPr>
          <w:rFonts w:cstheme="minorHAnsi"/>
          <w:color w:val="000000"/>
        </w:rPr>
      </w:pPr>
      <w:r w:rsidRPr="00E574B2">
        <w:rPr>
          <w:rFonts w:cstheme="minorHAnsi"/>
          <w:color w:val="000000"/>
        </w:rPr>
        <w:t xml:space="preserve">Con </w:t>
      </w:r>
      <w:r w:rsidRPr="00E574B2">
        <w:rPr>
          <w:rFonts w:cstheme="minorHAnsi"/>
          <w:bCs/>
          <w:color w:val="000000"/>
        </w:rPr>
        <w:t xml:space="preserve">Del. G.R. n. 352 del 26/02/2019 </w:t>
      </w:r>
      <w:r w:rsidRPr="00E574B2">
        <w:rPr>
          <w:rFonts w:cstheme="minorHAnsi"/>
          <w:color w:val="000000"/>
        </w:rPr>
        <w:t xml:space="preserve">la Giunta Regionale ha provveduto a fornire indirizzi operativi per la fase transitoria connessa alla piena implementazione del Reddito di Cittadinanza a livello nazionale. </w:t>
      </w:r>
    </w:p>
    <w:p w:rsidR="00DB75E8" w:rsidRPr="00E574B2" w:rsidRDefault="00DB75E8" w:rsidP="00DB75E8">
      <w:pPr>
        <w:autoSpaceDE w:val="0"/>
        <w:autoSpaceDN w:val="0"/>
        <w:adjustRightInd w:val="0"/>
        <w:spacing w:after="0" w:line="20" w:lineRule="atLeast"/>
        <w:jc w:val="both"/>
        <w:rPr>
          <w:rFonts w:cstheme="minorHAnsi"/>
          <w:color w:val="000000"/>
        </w:rPr>
      </w:pPr>
      <w:r w:rsidRPr="00E574B2">
        <w:rPr>
          <w:rFonts w:cstheme="minorHAnsi"/>
          <w:color w:val="000000"/>
        </w:rPr>
        <w:t xml:space="preserve">Con </w:t>
      </w:r>
      <w:r w:rsidRPr="00E574B2">
        <w:rPr>
          <w:rFonts w:cstheme="minorHAnsi"/>
          <w:bCs/>
          <w:color w:val="000000"/>
        </w:rPr>
        <w:t xml:space="preserve">Deliberazione n. 703 del 09.04.2019 </w:t>
      </w:r>
      <w:r w:rsidRPr="00E574B2">
        <w:rPr>
          <w:rFonts w:cstheme="minorHAnsi"/>
          <w:color w:val="000000"/>
        </w:rPr>
        <w:t>la Giunta Regionale ha definito “</w:t>
      </w:r>
      <w:r w:rsidRPr="00E574B2">
        <w:rPr>
          <w:rFonts w:cstheme="minorHAnsi"/>
          <w:i/>
          <w:iCs/>
          <w:color w:val="000000"/>
        </w:rPr>
        <w:t>Criteri di accesso e indirizzi operativi per il nuovo Reddito di Dignità (ReD 3.0) per l’annualità 2019 e successive</w:t>
      </w:r>
      <w:r w:rsidRPr="00E574B2">
        <w:rPr>
          <w:rFonts w:cstheme="minorHAnsi"/>
          <w:color w:val="000000"/>
        </w:rPr>
        <w:t xml:space="preserve">” specificando per ciascun target i requisiti generali e specifici di accesso e le modalità di presentazione della domanda e di presa in carico, </w:t>
      </w:r>
      <w:r w:rsidRPr="00E574B2">
        <w:rPr>
          <w:rFonts w:cstheme="minorHAnsi"/>
          <w:color w:val="000000"/>
        </w:rPr>
        <w:lastRenderedPageBreak/>
        <w:t xml:space="preserve">demandando infine la Sezione Inclusione Sociale Attiva e Innovazione Reti Sociali ai conseguenti adempimenti amministrativi. </w:t>
      </w:r>
    </w:p>
    <w:p w:rsidR="00DB75E8" w:rsidRPr="00E574B2" w:rsidRDefault="00DB75E8" w:rsidP="00DB75E8">
      <w:pPr>
        <w:autoSpaceDE w:val="0"/>
        <w:autoSpaceDN w:val="0"/>
        <w:adjustRightInd w:val="0"/>
        <w:spacing w:after="0" w:line="20" w:lineRule="atLeast"/>
        <w:jc w:val="both"/>
        <w:rPr>
          <w:rFonts w:cstheme="minorHAnsi"/>
          <w:color w:val="000000"/>
        </w:rPr>
      </w:pPr>
      <w:r w:rsidRPr="00E574B2">
        <w:rPr>
          <w:rFonts w:cstheme="minorHAnsi"/>
          <w:color w:val="000000"/>
        </w:rPr>
        <w:t xml:space="preserve">Con </w:t>
      </w:r>
      <w:r w:rsidRPr="00E574B2">
        <w:rPr>
          <w:rFonts w:cstheme="minorHAnsi"/>
          <w:bCs/>
          <w:color w:val="000000"/>
        </w:rPr>
        <w:t xml:space="preserve">A.D. n. 468 del 19 giugno 2019 </w:t>
      </w:r>
      <w:r w:rsidRPr="00E574B2">
        <w:rPr>
          <w:rFonts w:cstheme="minorHAnsi"/>
          <w:color w:val="000000"/>
        </w:rPr>
        <w:t xml:space="preserve">la dirigente della Sezione Inclusione Sociale attiva e Innovazione Reti Sociali ha provveduto alla approvazione dell’Avviso pubblico per la presentazione delle nuove domande di Reddito di Dignità 3.0. </w:t>
      </w:r>
    </w:p>
    <w:p w:rsidR="00DB75E8" w:rsidRPr="00E574B2" w:rsidRDefault="00E574B2" w:rsidP="00DB75E8">
      <w:pPr>
        <w:autoSpaceDE w:val="0"/>
        <w:autoSpaceDN w:val="0"/>
        <w:adjustRightInd w:val="0"/>
        <w:spacing w:after="0" w:line="20" w:lineRule="atLeast"/>
        <w:jc w:val="both"/>
        <w:rPr>
          <w:rFonts w:cstheme="minorHAnsi"/>
          <w:color w:val="000000"/>
        </w:rPr>
      </w:pPr>
      <w:r w:rsidRPr="00E574B2">
        <w:rPr>
          <w:rFonts w:cstheme="minorHAnsi"/>
          <w:color w:val="000000"/>
        </w:rPr>
        <w:t>L</w:t>
      </w:r>
      <w:r w:rsidR="00DB75E8" w:rsidRPr="00E574B2">
        <w:rPr>
          <w:rFonts w:cstheme="minorHAnsi"/>
          <w:color w:val="000000"/>
        </w:rPr>
        <w:t xml:space="preserve">a gestione parallela della misura nazionale, denominata Reddito di Cittadinanza, e la misura regionale, denominata Reddito di Dignità 3.0, comporta una grande attenzione da parte delle strutture pubbliche preposte nel supportare i cittadini potenzialmente beneficiari delle misure di sostegno al reddito nelle seguenti fasi: </w:t>
      </w:r>
    </w:p>
    <w:p w:rsidR="00DB75E8" w:rsidRPr="00E574B2" w:rsidRDefault="00E574B2" w:rsidP="00DB75E8">
      <w:pPr>
        <w:autoSpaceDE w:val="0"/>
        <w:autoSpaceDN w:val="0"/>
        <w:adjustRightInd w:val="0"/>
        <w:spacing w:after="0" w:line="20" w:lineRule="atLeast"/>
        <w:ind w:hanging="420"/>
        <w:jc w:val="both"/>
        <w:rPr>
          <w:rFonts w:cstheme="minorHAnsi"/>
          <w:color w:val="000000"/>
        </w:rPr>
      </w:pPr>
      <w:r w:rsidRPr="00E574B2">
        <w:rPr>
          <w:rFonts w:cstheme="minorHAnsi"/>
          <w:color w:val="000000"/>
        </w:rPr>
        <w:t xml:space="preserve">         </w:t>
      </w:r>
      <w:r w:rsidR="00DB75E8" w:rsidRPr="00E574B2">
        <w:rPr>
          <w:rFonts w:cstheme="minorHAnsi"/>
          <w:color w:val="000000"/>
        </w:rPr>
        <w:t xml:space="preserve">1) accesso alle informazioni di base e verifica preliminare del possesso dei requisiti di accesso </w:t>
      </w:r>
    </w:p>
    <w:p w:rsidR="00DB75E8" w:rsidRPr="00E574B2" w:rsidRDefault="00E574B2" w:rsidP="00DB75E8">
      <w:pPr>
        <w:autoSpaceDE w:val="0"/>
        <w:autoSpaceDN w:val="0"/>
        <w:adjustRightInd w:val="0"/>
        <w:spacing w:after="0" w:line="20" w:lineRule="atLeast"/>
        <w:ind w:hanging="420"/>
        <w:jc w:val="both"/>
        <w:rPr>
          <w:rFonts w:cstheme="minorHAnsi"/>
          <w:color w:val="000000"/>
        </w:rPr>
      </w:pPr>
      <w:r w:rsidRPr="00E574B2">
        <w:rPr>
          <w:rFonts w:cstheme="minorHAnsi"/>
          <w:color w:val="000000"/>
        </w:rPr>
        <w:t xml:space="preserve">        </w:t>
      </w:r>
      <w:r w:rsidR="00DB75E8" w:rsidRPr="00E574B2">
        <w:rPr>
          <w:rFonts w:cstheme="minorHAnsi"/>
          <w:color w:val="000000"/>
        </w:rPr>
        <w:t xml:space="preserve">2) compilazione delle domande e individuazione delle propensioni all’inserimento sociolavorativo </w:t>
      </w:r>
    </w:p>
    <w:p w:rsidR="00DB75E8" w:rsidRPr="00E574B2" w:rsidRDefault="00E574B2" w:rsidP="00DB75E8">
      <w:pPr>
        <w:autoSpaceDE w:val="0"/>
        <w:autoSpaceDN w:val="0"/>
        <w:adjustRightInd w:val="0"/>
        <w:spacing w:after="0" w:line="20" w:lineRule="atLeast"/>
        <w:ind w:hanging="420"/>
        <w:jc w:val="both"/>
        <w:rPr>
          <w:rFonts w:cstheme="minorHAnsi"/>
          <w:color w:val="000000"/>
        </w:rPr>
      </w:pPr>
      <w:r w:rsidRPr="00E574B2">
        <w:rPr>
          <w:rFonts w:cstheme="minorHAnsi"/>
          <w:color w:val="000000"/>
        </w:rPr>
        <w:t xml:space="preserve">        </w:t>
      </w:r>
      <w:r w:rsidR="00DB75E8" w:rsidRPr="00E574B2">
        <w:rPr>
          <w:rFonts w:cstheme="minorHAnsi"/>
          <w:color w:val="000000"/>
        </w:rPr>
        <w:t xml:space="preserve">3) percorso di accompagnamento all’inclusione sociale attiva </w:t>
      </w:r>
    </w:p>
    <w:p w:rsidR="00DB75E8" w:rsidRPr="00E574B2" w:rsidRDefault="00E574B2" w:rsidP="00DB75E8">
      <w:pPr>
        <w:autoSpaceDE w:val="0"/>
        <w:autoSpaceDN w:val="0"/>
        <w:adjustRightInd w:val="0"/>
        <w:spacing w:after="0" w:line="20" w:lineRule="atLeast"/>
        <w:ind w:hanging="420"/>
        <w:jc w:val="both"/>
        <w:rPr>
          <w:rFonts w:cstheme="minorHAnsi"/>
          <w:color w:val="000000"/>
        </w:rPr>
      </w:pPr>
      <w:r w:rsidRPr="00E574B2">
        <w:rPr>
          <w:rFonts w:cstheme="minorHAnsi"/>
          <w:color w:val="000000"/>
        </w:rPr>
        <w:t xml:space="preserve">        </w:t>
      </w:r>
      <w:r w:rsidR="00DB75E8" w:rsidRPr="00E574B2">
        <w:rPr>
          <w:rFonts w:cstheme="minorHAnsi"/>
          <w:color w:val="000000"/>
        </w:rPr>
        <w:t xml:space="preserve">4) gestione di eventuali accessi paralleli alle due misure per evitare conflitti di gestione. </w:t>
      </w:r>
    </w:p>
    <w:p w:rsidR="00DB75E8" w:rsidRPr="00E574B2" w:rsidRDefault="00DB75E8" w:rsidP="00DB75E8">
      <w:pPr>
        <w:autoSpaceDE w:val="0"/>
        <w:autoSpaceDN w:val="0"/>
        <w:adjustRightInd w:val="0"/>
        <w:spacing w:after="0" w:line="20" w:lineRule="atLeast"/>
        <w:jc w:val="both"/>
        <w:rPr>
          <w:rFonts w:cstheme="minorHAnsi"/>
          <w:color w:val="000000"/>
        </w:rPr>
      </w:pPr>
      <w:r w:rsidRPr="00E574B2">
        <w:rPr>
          <w:rFonts w:cstheme="minorHAnsi"/>
          <w:color w:val="000000"/>
        </w:rPr>
        <w:t xml:space="preserve">Alla luce del proficuo rapporto di collaborazione tra Regione Puglia - Assessorato al Welfare - Struttura tecnica per la gestione del ReD e la Direzione Regionale di INPS per la Puglia in tutte le fasi precedenti di attuazione della misura regionale ReD, si è addivenuti a definire in sede tecnica l’opportunità di sperimentare sul territorio regionale un prototipo di “Punto Unico di Accesso (“One Stop Shop”) per la gestione del ReD e del Reddito di Cittadinanza”, presso le sedi dei Comuni capofila degli Ambiti territoriali sociali, in cui offrire ai cittadini i servizi informativi e di affiancamento sia per le misure di competenza INPS (verifica DSU ISEE, verifica posizione previdenziale, attivazione del Reddito di Cittadinanza e verifica carta-acquisti, attivazione di ammortizzatori sociali, ecc ..) sia per le misure di competenza dei Comuni (prestazioni sociali a domanda individuale, esito istruttorio ReD, percorso di presa in carico e attivazione del progetto di inclusione sociale attiva , verifica altre prestazioni sociali, ecc ..), onde evitare il continuo rinvio dei cittadini tra uffici diversi. </w:t>
      </w:r>
    </w:p>
    <w:p w:rsidR="00DB75E8" w:rsidRPr="00E574B2" w:rsidRDefault="00DB75E8" w:rsidP="00DB75E8">
      <w:pPr>
        <w:autoSpaceDE w:val="0"/>
        <w:autoSpaceDN w:val="0"/>
        <w:adjustRightInd w:val="0"/>
        <w:spacing w:after="0" w:line="20" w:lineRule="atLeast"/>
        <w:jc w:val="both"/>
        <w:rPr>
          <w:rFonts w:cstheme="minorHAnsi"/>
          <w:color w:val="000000"/>
        </w:rPr>
      </w:pPr>
      <w:r w:rsidRPr="00E574B2">
        <w:rPr>
          <w:rFonts w:cstheme="minorHAnsi"/>
          <w:color w:val="000000"/>
        </w:rPr>
        <w:t xml:space="preserve">Detta sperimentazione costituirebbe un unicum a livello nazionale e una buona pratica di cooperazione interistituzionale, che si avvalga non solo degli strumenti della cooperazione applicativa ma anche della sperimentazione di nuove soluzioni organizzative. </w:t>
      </w:r>
    </w:p>
    <w:p w:rsidR="00E574B2" w:rsidRPr="00E574B2" w:rsidRDefault="00DB75E8" w:rsidP="00E574B2">
      <w:pPr>
        <w:autoSpaceDE w:val="0"/>
        <w:autoSpaceDN w:val="0"/>
        <w:adjustRightInd w:val="0"/>
        <w:spacing w:after="0" w:line="20" w:lineRule="atLeast"/>
        <w:jc w:val="both"/>
        <w:rPr>
          <w:rFonts w:cstheme="minorHAnsi"/>
          <w:color w:val="000000"/>
        </w:rPr>
      </w:pPr>
      <w:r w:rsidRPr="00E574B2">
        <w:rPr>
          <w:rFonts w:cstheme="minorHAnsi"/>
          <w:color w:val="000000"/>
        </w:rPr>
        <w:t xml:space="preserve">In </w:t>
      </w:r>
      <w:proofErr w:type="gramStart"/>
      <w:r w:rsidRPr="00E574B2">
        <w:rPr>
          <w:rFonts w:cstheme="minorHAnsi"/>
          <w:color w:val="000000"/>
        </w:rPr>
        <w:t>particolare ,</w:t>
      </w:r>
      <w:proofErr w:type="gramEnd"/>
      <w:r w:rsidRPr="00E574B2">
        <w:rPr>
          <w:rFonts w:cstheme="minorHAnsi"/>
          <w:color w:val="000000"/>
        </w:rPr>
        <w:t xml:space="preserve"> ai fini della individuazione delle possibili sedi di sperimentazione, la Direzione Regionale di INPS e la struttura dell’Assessorato al Welfare hanno adottato come criteri-filtro:</w:t>
      </w:r>
    </w:p>
    <w:p w:rsidR="00DB75E8" w:rsidRPr="00E574B2" w:rsidRDefault="00DB75E8" w:rsidP="00E574B2">
      <w:pPr>
        <w:autoSpaceDE w:val="0"/>
        <w:autoSpaceDN w:val="0"/>
        <w:adjustRightInd w:val="0"/>
        <w:spacing w:after="0" w:line="20" w:lineRule="atLeast"/>
        <w:jc w:val="both"/>
        <w:rPr>
          <w:rFonts w:cstheme="minorHAnsi"/>
          <w:color w:val="000000"/>
        </w:rPr>
      </w:pPr>
      <w:r w:rsidRPr="00E574B2">
        <w:rPr>
          <w:rFonts w:cstheme="minorHAnsi"/>
          <w:color w:val="000000"/>
        </w:rPr>
        <w:t xml:space="preserve">1) la presenza di Uffici di Piano di Zona adeguatamente strutturati e a regime rispetto alla gestione dei principali servizi connessi alla fruizione del ReD </w:t>
      </w:r>
    </w:p>
    <w:p w:rsidR="00DB75E8" w:rsidRPr="00E574B2" w:rsidRDefault="00E574B2" w:rsidP="00DB75E8">
      <w:pPr>
        <w:autoSpaceDE w:val="0"/>
        <w:autoSpaceDN w:val="0"/>
        <w:adjustRightInd w:val="0"/>
        <w:spacing w:after="0" w:line="20" w:lineRule="atLeast"/>
        <w:ind w:hanging="440"/>
        <w:jc w:val="both"/>
        <w:rPr>
          <w:rFonts w:cstheme="minorHAnsi"/>
          <w:color w:val="000000"/>
        </w:rPr>
      </w:pPr>
      <w:r w:rsidRPr="00E574B2">
        <w:rPr>
          <w:rFonts w:cstheme="minorHAnsi"/>
          <w:color w:val="000000"/>
        </w:rPr>
        <w:t xml:space="preserve">         </w:t>
      </w:r>
      <w:r w:rsidR="00DB75E8" w:rsidRPr="00E574B2">
        <w:rPr>
          <w:rFonts w:cstheme="minorHAnsi"/>
          <w:color w:val="000000"/>
        </w:rPr>
        <w:t xml:space="preserve">2) la presenza di Agenzie ovvero l’assenza di sedi territoriali di INPS, per verificare diverse modalità di funzionamento e di collaborazione con le strutture comunali di riferimento. </w:t>
      </w:r>
    </w:p>
    <w:p w:rsidR="00DB75E8" w:rsidRPr="00E574B2" w:rsidRDefault="00DB75E8" w:rsidP="00DB75E8">
      <w:pPr>
        <w:autoSpaceDE w:val="0"/>
        <w:autoSpaceDN w:val="0"/>
        <w:adjustRightInd w:val="0"/>
        <w:spacing w:after="0" w:line="20" w:lineRule="atLeast"/>
        <w:jc w:val="both"/>
        <w:rPr>
          <w:rFonts w:cstheme="minorHAnsi"/>
          <w:color w:val="000000"/>
        </w:rPr>
      </w:pPr>
      <w:r w:rsidRPr="00E574B2">
        <w:rPr>
          <w:rFonts w:cstheme="minorHAnsi"/>
          <w:color w:val="000000"/>
        </w:rPr>
        <w:t xml:space="preserve">Sulla base dei suddetti criteri sono stati individuati i seguenti Ambiti territoriali i cui Comuni capofila saranno sede della sperimentazione regionale, di durata annuale, di Punti unici di Accesso per la gestione del ReD e del Reddito di Cittadinanza: </w:t>
      </w:r>
    </w:p>
    <w:p w:rsidR="00DB75E8" w:rsidRPr="00E574B2" w:rsidRDefault="00DB75E8" w:rsidP="00DB75E8">
      <w:pPr>
        <w:autoSpaceDE w:val="0"/>
        <w:autoSpaceDN w:val="0"/>
        <w:adjustRightInd w:val="0"/>
        <w:spacing w:after="0" w:line="20" w:lineRule="atLeast"/>
        <w:jc w:val="both"/>
        <w:rPr>
          <w:rFonts w:cstheme="minorHAnsi"/>
          <w:color w:val="000000"/>
        </w:rPr>
      </w:pPr>
      <w:r w:rsidRPr="00E574B2">
        <w:rPr>
          <w:rFonts w:cstheme="minorHAnsi"/>
          <w:color w:val="000000"/>
        </w:rPr>
        <w:t xml:space="preserve">San Severo (FG) </w:t>
      </w:r>
    </w:p>
    <w:p w:rsidR="00DB75E8" w:rsidRPr="00E574B2" w:rsidRDefault="00DB75E8" w:rsidP="00DB75E8">
      <w:pPr>
        <w:autoSpaceDE w:val="0"/>
        <w:autoSpaceDN w:val="0"/>
        <w:adjustRightInd w:val="0"/>
        <w:spacing w:after="0" w:line="20" w:lineRule="atLeast"/>
        <w:jc w:val="both"/>
        <w:rPr>
          <w:rFonts w:cstheme="minorHAnsi"/>
          <w:color w:val="000000"/>
        </w:rPr>
      </w:pPr>
      <w:r w:rsidRPr="00E574B2">
        <w:rPr>
          <w:rFonts w:cstheme="minorHAnsi"/>
          <w:color w:val="000000"/>
        </w:rPr>
        <w:t xml:space="preserve">Barletta (BT) </w:t>
      </w:r>
    </w:p>
    <w:p w:rsidR="00DB75E8" w:rsidRPr="00E574B2" w:rsidRDefault="00DB75E8" w:rsidP="00DB75E8">
      <w:pPr>
        <w:autoSpaceDE w:val="0"/>
        <w:autoSpaceDN w:val="0"/>
        <w:adjustRightInd w:val="0"/>
        <w:spacing w:after="0" w:line="20" w:lineRule="atLeast"/>
        <w:jc w:val="both"/>
        <w:rPr>
          <w:rFonts w:cstheme="minorHAnsi"/>
          <w:color w:val="000000"/>
        </w:rPr>
      </w:pPr>
      <w:r w:rsidRPr="00E574B2">
        <w:rPr>
          <w:rFonts w:cstheme="minorHAnsi"/>
          <w:color w:val="000000"/>
        </w:rPr>
        <w:t xml:space="preserve">Bitonto (BA) </w:t>
      </w:r>
    </w:p>
    <w:p w:rsidR="00DB75E8" w:rsidRPr="00E574B2" w:rsidRDefault="00DB75E8" w:rsidP="00DB75E8">
      <w:pPr>
        <w:autoSpaceDE w:val="0"/>
        <w:autoSpaceDN w:val="0"/>
        <w:adjustRightInd w:val="0"/>
        <w:spacing w:after="0" w:line="20" w:lineRule="atLeast"/>
        <w:jc w:val="both"/>
        <w:rPr>
          <w:rFonts w:cstheme="minorHAnsi"/>
          <w:color w:val="000000"/>
        </w:rPr>
      </w:pPr>
      <w:r w:rsidRPr="00E574B2">
        <w:rPr>
          <w:rFonts w:cstheme="minorHAnsi"/>
          <w:color w:val="000000"/>
        </w:rPr>
        <w:t xml:space="preserve">Conversano (BA) </w:t>
      </w:r>
    </w:p>
    <w:p w:rsidR="00DB75E8" w:rsidRPr="00E574B2" w:rsidRDefault="00DB75E8" w:rsidP="00DB75E8">
      <w:pPr>
        <w:autoSpaceDE w:val="0"/>
        <w:autoSpaceDN w:val="0"/>
        <w:adjustRightInd w:val="0"/>
        <w:spacing w:after="0" w:line="20" w:lineRule="atLeast"/>
        <w:jc w:val="both"/>
        <w:rPr>
          <w:rFonts w:cstheme="minorHAnsi"/>
          <w:color w:val="000000"/>
        </w:rPr>
      </w:pPr>
      <w:r w:rsidRPr="00E574B2">
        <w:rPr>
          <w:rFonts w:cstheme="minorHAnsi"/>
          <w:color w:val="000000"/>
        </w:rPr>
        <w:t xml:space="preserve">Mesagne (BR) </w:t>
      </w:r>
    </w:p>
    <w:p w:rsidR="00DB75E8" w:rsidRPr="00E574B2" w:rsidRDefault="00DB75E8" w:rsidP="00DB75E8">
      <w:pPr>
        <w:autoSpaceDE w:val="0"/>
        <w:autoSpaceDN w:val="0"/>
        <w:adjustRightInd w:val="0"/>
        <w:spacing w:after="0" w:line="20" w:lineRule="atLeast"/>
        <w:jc w:val="both"/>
        <w:rPr>
          <w:rFonts w:cstheme="minorHAnsi"/>
          <w:color w:val="000000"/>
        </w:rPr>
      </w:pPr>
      <w:r w:rsidRPr="00E574B2">
        <w:rPr>
          <w:rFonts w:cstheme="minorHAnsi"/>
          <w:color w:val="000000"/>
        </w:rPr>
        <w:t xml:space="preserve">Massafra (TA) </w:t>
      </w:r>
    </w:p>
    <w:p w:rsidR="00DB75E8" w:rsidRPr="00E574B2" w:rsidRDefault="00DB75E8" w:rsidP="00DB75E8">
      <w:pPr>
        <w:autoSpaceDE w:val="0"/>
        <w:autoSpaceDN w:val="0"/>
        <w:adjustRightInd w:val="0"/>
        <w:spacing w:after="0" w:line="20" w:lineRule="atLeast"/>
        <w:jc w:val="both"/>
        <w:rPr>
          <w:rFonts w:cstheme="minorHAnsi"/>
          <w:color w:val="000000"/>
        </w:rPr>
      </w:pPr>
      <w:r w:rsidRPr="00E574B2">
        <w:rPr>
          <w:rFonts w:cstheme="minorHAnsi"/>
          <w:color w:val="000000"/>
        </w:rPr>
        <w:t xml:space="preserve">Poggiardo (LE) </w:t>
      </w:r>
    </w:p>
    <w:p w:rsidR="00E574B2" w:rsidRPr="00E574B2" w:rsidRDefault="00E574B2" w:rsidP="00DB75E8">
      <w:pPr>
        <w:autoSpaceDE w:val="0"/>
        <w:autoSpaceDN w:val="0"/>
        <w:adjustRightInd w:val="0"/>
        <w:spacing w:after="0" w:line="20" w:lineRule="atLeast"/>
        <w:jc w:val="both"/>
        <w:rPr>
          <w:rFonts w:cstheme="minorHAnsi"/>
          <w:b/>
          <w:color w:val="000000"/>
        </w:rPr>
      </w:pPr>
      <w:r w:rsidRPr="00E574B2">
        <w:rPr>
          <w:rFonts w:cstheme="minorHAnsi"/>
          <w:b/>
          <w:color w:val="000000"/>
        </w:rPr>
        <w:t>LA DISPOSIZIONE</w:t>
      </w:r>
    </w:p>
    <w:p w:rsidR="00DB75E8" w:rsidRPr="00C8559D" w:rsidRDefault="00E574B2" w:rsidP="00DB75E8">
      <w:pPr>
        <w:autoSpaceDE w:val="0"/>
        <w:autoSpaceDN w:val="0"/>
        <w:adjustRightInd w:val="0"/>
        <w:spacing w:after="0" w:line="20" w:lineRule="atLeast"/>
        <w:jc w:val="both"/>
        <w:rPr>
          <w:rFonts w:cstheme="minorHAnsi"/>
          <w:color w:val="000000"/>
        </w:rPr>
      </w:pPr>
      <w:r>
        <w:rPr>
          <w:rFonts w:cstheme="minorHAnsi"/>
          <w:color w:val="000000"/>
        </w:rPr>
        <w:t xml:space="preserve">Viene </w:t>
      </w:r>
      <w:r w:rsidR="00DB75E8" w:rsidRPr="00C8559D">
        <w:rPr>
          <w:rFonts w:cstheme="minorHAnsi"/>
          <w:color w:val="000000"/>
        </w:rPr>
        <w:t>approva</w:t>
      </w:r>
      <w:r>
        <w:rPr>
          <w:rFonts w:cstheme="minorHAnsi"/>
          <w:color w:val="000000"/>
        </w:rPr>
        <w:t>to i</w:t>
      </w:r>
      <w:r w:rsidR="00DB75E8" w:rsidRPr="00C8559D">
        <w:rPr>
          <w:rFonts w:cstheme="minorHAnsi"/>
          <w:color w:val="000000"/>
        </w:rPr>
        <w:t xml:space="preserve">l Protocollo di intesa tra Regione Puglia - Assessorato al Welfare, INPS - Direzione Regionale Puglia e ANCI Puglia, come riportato in Allegato alla presente proposta di deliberazione, per farne parte integrante e sostanziale. </w:t>
      </w:r>
    </w:p>
    <w:p w:rsidR="00DB75E8" w:rsidRDefault="00DB75E8" w:rsidP="00DB75E8">
      <w:pPr>
        <w:autoSpaceDE w:val="0"/>
        <w:autoSpaceDN w:val="0"/>
        <w:adjustRightInd w:val="0"/>
        <w:spacing w:after="0" w:line="20" w:lineRule="atLeast"/>
        <w:jc w:val="both"/>
        <w:rPr>
          <w:rFonts w:cstheme="minorHAnsi"/>
          <w:color w:val="000000"/>
        </w:rPr>
      </w:pPr>
      <w:r w:rsidRPr="00C8559D">
        <w:rPr>
          <w:rFonts w:cstheme="minorHAnsi"/>
          <w:color w:val="000000"/>
        </w:rPr>
        <w:t>Le funzionalità dei Punti Unici di Accesso saranno assicura</w:t>
      </w:r>
      <w:r w:rsidR="00E574B2">
        <w:rPr>
          <w:rFonts w:cstheme="minorHAnsi"/>
          <w:color w:val="000000"/>
        </w:rPr>
        <w:t>t</w:t>
      </w:r>
      <w:r w:rsidRPr="00C8559D">
        <w:rPr>
          <w:rFonts w:cstheme="minorHAnsi"/>
          <w:color w:val="000000"/>
        </w:rPr>
        <w:t xml:space="preserve">e con personale rispettivamente fornito dagli Ambiti territoriali sociali e dalle sedi INPS del territorio, oltre all’eventuale inserimento di risorse umane aggiuntive e all’allestimento di specifiche funzionalità logistiche con oneri che i Comuni potranno trarre dalle risorse ordinariamente assegnate con i Piani Sociali di Zona al funzionamento degli Uffici di Piano, ovvero dalle risorse di cui ai progetti Avviso 3/2016 del PON Inclusione per il rafforzamento amministrativo. </w:t>
      </w:r>
    </w:p>
    <w:p w:rsidR="007E49C3" w:rsidRDefault="007E49C3" w:rsidP="00DB75E8">
      <w:pPr>
        <w:autoSpaceDE w:val="0"/>
        <w:autoSpaceDN w:val="0"/>
        <w:adjustRightInd w:val="0"/>
        <w:spacing w:after="0" w:line="20" w:lineRule="atLeast"/>
        <w:jc w:val="both"/>
        <w:rPr>
          <w:rFonts w:cstheme="minorHAnsi"/>
          <w:color w:val="000000"/>
        </w:rPr>
      </w:pPr>
    </w:p>
    <w:p w:rsidR="007E49C3" w:rsidRPr="004C0097" w:rsidRDefault="007E49C3" w:rsidP="007E49C3">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4C0097">
        <w:rPr>
          <w:rFonts w:cstheme="minorHAnsi"/>
          <w:b/>
        </w:rPr>
        <w:lastRenderedPageBreak/>
        <w:t>SANITÀ</w:t>
      </w:r>
    </w:p>
    <w:p w:rsidR="007E49C3" w:rsidRDefault="007E49C3" w:rsidP="007E49C3">
      <w:pPr>
        <w:pBdr>
          <w:bottom w:val="single" w:sz="12" w:space="1" w:color="auto"/>
        </w:pBdr>
        <w:autoSpaceDE w:val="0"/>
        <w:autoSpaceDN w:val="0"/>
        <w:adjustRightInd w:val="0"/>
        <w:spacing w:after="0" w:line="240" w:lineRule="auto"/>
        <w:jc w:val="both"/>
        <w:rPr>
          <w:rFonts w:cstheme="minorHAnsi"/>
        </w:rPr>
      </w:pPr>
    </w:p>
    <w:p w:rsidR="00772A13" w:rsidRDefault="00772A13" w:rsidP="007E49C3">
      <w:pPr>
        <w:spacing w:after="0" w:line="20" w:lineRule="atLeast"/>
        <w:jc w:val="both"/>
        <w:rPr>
          <w:b/>
        </w:rPr>
      </w:pPr>
    </w:p>
    <w:p w:rsidR="007E49C3" w:rsidRPr="004C0097" w:rsidRDefault="007E49C3" w:rsidP="007E49C3">
      <w:pPr>
        <w:spacing w:after="0" w:line="20" w:lineRule="atLeast"/>
        <w:jc w:val="both"/>
      </w:pPr>
      <w:r w:rsidRPr="004C0097">
        <w:rPr>
          <w:b/>
        </w:rPr>
        <w:t xml:space="preserve">DGR 23 luglio 2019, n. </w:t>
      </w:r>
      <w:proofErr w:type="gramStart"/>
      <w:r w:rsidRPr="004C0097">
        <w:rPr>
          <w:b/>
        </w:rPr>
        <w:t xml:space="preserve">1360, </w:t>
      </w:r>
      <w:r w:rsidRPr="004C0097">
        <w:t xml:space="preserve"> Protocollo</w:t>
      </w:r>
      <w:proofErr w:type="gramEnd"/>
      <w:r w:rsidRPr="004C0097">
        <w:t xml:space="preserve"> d’intesa per la tutela della disabilità dei pazienti oncologi pugliesi tra la Regione Puglia e l’Istituto Nazionale della Previdenza Sociale (INPS).  (BUR n. 96 del 23.8.19)</w:t>
      </w:r>
    </w:p>
    <w:p w:rsidR="007E49C3" w:rsidRPr="004C0097" w:rsidRDefault="007E49C3" w:rsidP="007E49C3">
      <w:pPr>
        <w:spacing w:after="0" w:line="20" w:lineRule="atLeast"/>
        <w:jc w:val="both"/>
        <w:rPr>
          <w:b/>
        </w:rPr>
      </w:pPr>
      <w:r w:rsidRPr="004C0097">
        <w:rPr>
          <w:b/>
        </w:rPr>
        <w:t>Note</w:t>
      </w:r>
    </w:p>
    <w:p w:rsidR="007E49C3" w:rsidRPr="004C0097" w:rsidRDefault="007E49C3" w:rsidP="007E49C3">
      <w:pPr>
        <w:spacing w:after="0" w:line="20" w:lineRule="atLeast"/>
        <w:jc w:val="both"/>
      </w:pPr>
      <w:r w:rsidRPr="004C0097">
        <w:t>Considerata l’attenzione che la Regione Puglia rivolge, tra l’altro, alla Rete Oncologica Pugliese, è stata data priorità, su sollecitazione anche delle associazioni, alla predisposizione del protocollo d’intesa per la tutela della disabilltà dei pazienti oncologi pugliesi, in condivisione con l’INPS.</w:t>
      </w:r>
    </w:p>
    <w:p w:rsidR="007E49C3" w:rsidRPr="004C0097" w:rsidRDefault="007E49C3" w:rsidP="007E49C3">
      <w:pPr>
        <w:spacing w:after="0" w:line="20" w:lineRule="atLeast"/>
        <w:jc w:val="both"/>
      </w:pPr>
      <w:r w:rsidRPr="004C0097">
        <w:t xml:space="preserve"> La Regione Puglia sottoscrive con l’INPS il protocollo al fine di regolare e sviluppare l’attività di collaborazione necessaria per semplificare le procedure di accesso all’accertamento dell’invalidità per i pazienti oncologici e per la concessione dei conseguenti benefici. </w:t>
      </w:r>
    </w:p>
    <w:p w:rsidR="007E49C3" w:rsidRPr="004C0097" w:rsidRDefault="007E49C3" w:rsidP="007E49C3">
      <w:pPr>
        <w:spacing w:after="0" w:line="20" w:lineRule="atLeast"/>
        <w:jc w:val="both"/>
      </w:pPr>
      <w:r w:rsidRPr="004C0097">
        <w:t xml:space="preserve">Le Associazioni dei pazienti oncologici nel percorso assistenziale, complessivamente inteso, rivestono un ruolo fondamentale. </w:t>
      </w:r>
    </w:p>
    <w:p w:rsidR="007E49C3" w:rsidRPr="004C0097" w:rsidRDefault="007E49C3" w:rsidP="007E49C3">
      <w:pPr>
        <w:spacing w:after="0" w:line="20" w:lineRule="atLeast"/>
        <w:jc w:val="both"/>
      </w:pPr>
      <w:r w:rsidRPr="004C0097">
        <w:t xml:space="preserve">Per questo motivo, la Regione Puglia si riserva, altresì, di avviare un confronto con le associazioni dei pazienti oncologici, a seguito di sottoscrizione del protocollo in questione, al fine di conseguire l’obiettivo della riduzione del disagio dell’utenza. </w:t>
      </w:r>
    </w:p>
    <w:p w:rsidR="007E49C3" w:rsidRDefault="007E49C3" w:rsidP="007E49C3">
      <w:pPr>
        <w:spacing w:after="0" w:line="20" w:lineRule="atLeast"/>
        <w:jc w:val="both"/>
      </w:pPr>
      <w:r w:rsidRPr="004C0097">
        <w:t>Inoltre, il protocollo dovrà essere altresì sottoscritto dai Legali rappresentanti delle Aziende Sanitarie Locali e delle Aziende Ospedaliere in cui insistono gli ospedali.</w:t>
      </w:r>
    </w:p>
    <w:p w:rsidR="00BC4DC2" w:rsidRDefault="00BC4DC2" w:rsidP="007E49C3">
      <w:pPr>
        <w:spacing w:after="0" w:line="20" w:lineRule="atLeast"/>
        <w:jc w:val="both"/>
      </w:pPr>
    </w:p>
    <w:p w:rsidR="00BC4DC2" w:rsidRDefault="00BC4DC2" w:rsidP="00BC4DC2">
      <w:pPr>
        <w:spacing w:after="0" w:line="20" w:lineRule="atLeast"/>
        <w:jc w:val="center"/>
        <w:rPr>
          <w:rFonts w:ascii="Broadway" w:hAnsi="Broadway" w:cstheme="majorHAnsi"/>
          <w:b/>
          <w:sz w:val="40"/>
          <w:szCs w:val="40"/>
        </w:rPr>
      </w:pPr>
      <w:r>
        <w:rPr>
          <w:rFonts w:ascii="Broadway" w:hAnsi="Broadway" w:cstheme="majorHAnsi"/>
          <w:b/>
          <w:sz w:val="40"/>
          <w:szCs w:val="40"/>
        </w:rPr>
        <w:t xml:space="preserve">SICILIA  </w:t>
      </w:r>
    </w:p>
    <w:p w:rsidR="00772A13" w:rsidRDefault="00772A13" w:rsidP="00DB75E8">
      <w:pPr>
        <w:autoSpaceDE w:val="0"/>
        <w:autoSpaceDN w:val="0"/>
        <w:adjustRightInd w:val="0"/>
        <w:spacing w:after="0" w:line="20" w:lineRule="atLeast"/>
        <w:jc w:val="both"/>
        <w:rPr>
          <w:rFonts w:cstheme="minorHAnsi"/>
          <w:color w:val="000000"/>
        </w:rPr>
      </w:pPr>
    </w:p>
    <w:p w:rsidR="00AB6D04" w:rsidRPr="00E47006" w:rsidRDefault="00AB6D04" w:rsidP="00AB6D04">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color w:val="000000"/>
        </w:rPr>
      </w:pPr>
      <w:r w:rsidRPr="00E47006">
        <w:rPr>
          <w:rFonts w:cstheme="minorHAnsi"/>
          <w:b/>
          <w:color w:val="000000"/>
        </w:rPr>
        <w:t>GIOVANI</w:t>
      </w:r>
    </w:p>
    <w:p w:rsidR="00E47006" w:rsidRDefault="00E47006" w:rsidP="00DB75E8">
      <w:pPr>
        <w:autoSpaceDE w:val="0"/>
        <w:autoSpaceDN w:val="0"/>
        <w:adjustRightInd w:val="0"/>
        <w:spacing w:after="0" w:line="20" w:lineRule="atLeast"/>
        <w:jc w:val="both"/>
        <w:rPr>
          <w:rFonts w:cstheme="minorHAnsi"/>
          <w:color w:val="000000"/>
        </w:rPr>
      </w:pPr>
    </w:p>
    <w:p w:rsidR="00772A13" w:rsidRDefault="00E47006" w:rsidP="00E47006">
      <w:pPr>
        <w:spacing w:after="0" w:line="20" w:lineRule="atLeast"/>
        <w:jc w:val="both"/>
      </w:pPr>
      <w:r w:rsidRPr="00772A13">
        <w:rPr>
          <w:b/>
        </w:rPr>
        <w:t>L</w:t>
      </w:r>
      <w:r w:rsidR="00772A13" w:rsidRPr="00772A13">
        <w:rPr>
          <w:b/>
        </w:rPr>
        <w:t>.R.</w:t>
      </w:r>
      <w:r w:rsidRPr="00772A13">
        <w:rPr>
          <w:b/>
        </w:rPr>
        <w:t xml:space="preserve"> 8 maggio </w:t>
      </w:r>
      <w:proofErr w:type="gramStart"/>
      <w:r w:rsidRPr="00772A13">
        <w:rPr>
          <w:b/>
        </w:rPr>
        <w:t>2019 ,</w:t>
      </w:r>
      <w:proofErr w:type="gramEnd"/>
      <w:r w:rsidRPr="00772A13">
        <w:rPr>
          <w:b/>
        </w:rPr>
        <w:t xml:space="preserve"> n. 6</w:t>
      </w:r>
      <w:r w:rsidR="00772A13">
        <w:t xml:space="preserve">, </w:t>
      </w:r>
      <w:r>
        <w:t xml:space="preserve"> Norme in materia di politiche giovanili. Istituzione del Forum regionale dei giovani e dell’Osservatorio regionale delle politiche giovanili. (</w:t>
      </w:r>
      <w:r w:rsidR="00772A13">
        <w:t>GURS n. 22 del 17.5.19)</w:t>
      </w:r>
      <w:r w:rsidR="00B5684C">
        <w:t xml:space="preserve"> – PERVENUTA IL 10 AGOSTO 2019</w:t>
      </w:r>
    </w:p>
    <w:p w:rsidR="00E47006" w:rsidRDefault="00E47006" w:rsidP="00E47006">
      <w:pPr>
        <w:spacing w:after="0" w:line="20" w:lineRule="atLeast"/>
        <w:jc w:val="both"/>
      </w:pPr>
      <w:r>
        <w:t xml:space="preserve">TITOLO I PRINCIPI GENERALI </w:t>
      </w:r>
    </w:p>
    <w:p w:rsidR="00E47006" w:rsidRDefault="00E47006" w:rsidP="00E47006">
      <w:pPr>
        <w:spacing w:after="0" w:line="20" w:lineRule="atLeast"/>
        <w:jc w:val="both"/>
      </w:pPr>
      <w:r>
        <w:t xml:space="preserve">Art. 1. Principi </w:t>
      </w:r>
    </w:p>
    <w:p w:rsidR="00E47006" w:rsidRDefault="00E47006" w:rsidP="00E47006">
      <w:pPr>
        <w:spacing w:after="0" w:line="20" w:lineRule="atLeast"/>
        <w:jc w:val="both"/>
      </w:pPr>
      <w:r>
        <w:t xml:space="preserve">1. La Regione, con la presente legge, nel rispetto delle disposizioni europee in materia di politiche giovanili, identifica i giovani come risorsa fondamentale della comunità. A tale fine la Regione riconosce e garantisce ai giovani autonomi diritti e incoraggia la centralità delle politiche giovanili come condizione necessaria per l’innovazione, lo sviluppo sostenibile, la crescita umana, sociale, occupazionale, culturale ed economica della Regione stessa. </w:t>
      </w:r>
    </w:p>
    <w:p w:rsidR="00E47006" w:rsidRDefault="00E47006" w:rsidP="00E47006">
      <w:pPr>
        <w:spacing w:after="0" w:line="20" w:lineRule="atLeast"/>
        <w:jc w:val="both"/>
      </w:pPr>
      <w:r>
        <w:t xml:space="preserve">Art. 2. Oggetto e finalità </w:t>
      </w:r>
    </w:p>
    <w:p w:rsidR="00E47006" w:rsidRDefault="00E47006" w:rsidP="00E47006">
      <w:pPr>
        <w:spacing w:after="0" w:line="20" w:lineRule="atLeast"/>
        <w:jc w:val="both"/>
      </w:pPr>
      <w:r>
        <w:t xml:space="preserve">1. La Regione, nell’ambito della propria attività di indirizzo e programmazione, nel rispetto delle disposizioni europee contenute nel Libro bianco della Commissione europea «Un nuovo impulso per la gioventù europea» e nella Carta europea della partecipazione dei giovani alla vita comunale e regionale ed in attuazione dei principi di cui all’art. 1: </w:t>
      </w:r>
    </w:p>
    <w:p w:rsidR="00E47006" w:rsidRDefault="00E47006" w:rsidP="00E47006">
      <w:pPr>
        <w:spacing w:after="0" w:line="20" w:lineRule="atLeast"/>
        <w:jc w:val="both"/>
      </w:pPr>
      <w:r>
        <w:t xml:space="preserve">a) riconosce i giovani come ricchezza del territorio e come risorsa fondamentale ed essenziale della comunità; </w:t>
      </w:r>
    </w:p>
    <w:p w:rsidR="00E47006" w:rsidRDefault="00E47006" w:rsidP="00E47006">
      <w:pPr>
        <w:spacing w:after="0" w:line="20" w:lineRule="atLeast"/>
        <w:jc w:val="both"/>
      </w:pPr>
      <w:r>
        <w:t xml:space="preserve">b) favorisce le relazioni di reciproco vantaggio sia all’interno del mondo giovanile che all’esterno con quello degli adulti; </w:t>
      </w:r>
    </w:p>
    <w:p w:rsidR="00E47006" w:rsidRDefault="00E47006" w:rsidP="00E47006">
      <w:pPr>
        <w:spacing w:after="0" w:line="20" w:lineRule="atLeast"/>
        <w:jc w:val="both"/>
      </w:pPr>
      <w:r>
        <w:t xml:space="preserve">c) persegue il benessere e il pieno sviluppo dei giovani che vivono sul territorio e delle loro famiglie per favorire la coesione sociale, la crescita culturale ed economica della collettività; </w:t>
      </w:r>
    </w:p>
    <w:p w:rsidR="00E47006" w:rsidRDefault="00E47006" w:rsidP="00E47006">
      <w:pPr>
        <w:spacing w:after="0" w:line="20" w:lineRule="atLeast"/>
        <w:jc w:val="both"/>
      </w:pPr>
      <w:r>
        <w:t xml:space="preserve">d) promuove politiche e linee di indirizzo che valorizzano i giovani e ne sostengono i percorsi di crescita, personale e professionale, di autonomia e della cultura del merito; </w:t>
      </w:r>
    </w:p>
    <w:p w:rsidR="00E47006" w:rsidRDefault="00E47006" w:rsidP="00E47006">
      <w:pPr>
        <w:spacing w:after="0" w:line="20" w:lineRule="atLeast"/>
        <w:jc w:val="both"/>
      </w:pPr>
      <w:r>
        <w:t>e) promuove scambi socio-culturali nel rispetto delle norme e dei programmi internazionali e comunitari;</w:t>
      </w:r>
    </w:p>
    <w:p w:rsidR="00E47006" w:rsidRDefault="00E47006" w:rsidP="00E47006">
      <w:pPr>
        <w:spacing w:after="0" w:line="20" w:lineRule="atLeast"/>
        <w:jc w:val="both"/>
      </w:pPr>
      <w:r>
        <w:t xml:space="preserve">f) riconosce, inoltre, lo sviluppo del protagonismo e della cittadinanza attiva dei giovani, quali contributi alla crescita del benessere individuale e della comunità; </w:t>
      </w:r>
    </w:p>
    <w:p w:rsidR="00E47006" w:rsidRDefault="00E47006" w:rsidP="00E47006">
      <w:pPr>
        <w:spacing w:after="0" w:line="20" w:lineRule="atLeast"/>
        <w:jc w:val="both"/>
      </w:pPr>
      <w:r>
        <w:t xml:space="preserve">g) promuove interventi e servizi per i giovani che garantiscono la facilità di accesso, l’ascolto e gli stili di vita sani ed il rifiuto della violenza in ogni sua forma; </w:t>
      </w:r>
    </w:p>
    <w:p w:rsidR="00E47006" w:rsidRDefault="00E47006" w:rsidP="00E47006">
      <w:pPr>
        <w:spacing w:after="0" w:line="20" w:lineRule="atLeast"/>
        <w:jc w:val="both"/>
      </w:pPr>
      <w:r>
        <w:lastRenderedPageBreak/>
        <w:t>h) concorre all’acquisizione e alla valorizzazione delle competenze e del talento dei giovani e sostiene, attraverso l’educazione non formale ed informale, l’istruzione, la formazione, il diritto allo studio, l’orientamento professionale e l’accesso al mondo del lavoro, l’affermazione dei giovani ed il loro inserimento scolastico ed occupazionale, l’associazionismo;</w:t>
      </w:r>
    </w:p>
    <w:p w:rsidR="00E47006" w:rsidRDefault="00E47006" w:rsidP="00E47006">
      <w:pPr>
        <w:spacing w:after="0" w:line="20" w:lineRule="atLeast"/>
        <w:jc w:val="both"/>
      </w:pPr>
      <w:r>
        <w:t xml:space="preserve">i) previene e contrasta il disagio giovanile, i fattori di rischio e la devianza dei giovani con progetti, iniziative di prevenzione e di buone pratiche; </w:t>
      </w:r>
    </w:p>
    <w:p w:rsidR="00E47006" w:rsidRDefault="00E47006" w:rsidP="00E47006">
      <w:pPr>
        <w:spacing w:after="0" w:line="20" w:lineRule="atLeast"/>
        <w:jc w:val="both"/>
      </w:pPr>
      <w:r>
        <w:t xml:space="preserve">l) promuove l’educazione alla legalità, la partecipazione alle iniziative per la pace e per i diritti umani; m) promuove la partecipazione dei giovani alle attività sportive di base e agonistiche. </w:t>
      </w:r>
    </w:p>
    <w:p w:rsidR="00E47006" w:rsidRDefault="00E47006" w:rsidP="00E47006">
      <w:pPr>
        <w:spacing w:after="0" w:line="20" w:lineRule="atLeast"/>
        <w:jc w:val="both"/>
      </w:pPr>
      <w:r>
        <w:t xml:space="preserve">2. La Regione promuove politiche del lavoro non solo per ridurre la disoccupazione giovanile ma anche per garantire posti di lavoro di qualità. L’obiettivo è quello di cooperare con i portatori di interesse per portare avanti i processi di sviluppo sostenibile e di inclusione delle giovani generazioni nel mercato del lavoro anche a livello globale. </w:t>
      </w:r>
    </w:p>
    <w:p w:rsidR="00E47006" w:rsidRDefault="00E47006" w:rsidP="00E47006">
      <w:pPr>
        <w:spacing w:after="0" w:line="20" w:lineRule="atLeast"/>
        <w:jc w:val="both"/>
      </w:pPr>
      <w:r>
        <w:t xml:space="preserve">Art. 3. Soggetti destinatari </w:t>
      </w:r>
    </w:p>
    <w:p w:rsidR="00E47006" w:rsidRDefault="00E47006" w:rsidP="00E47006">
      <w:pPr>
        <w:spacing w:after="0" w:line="20" w:lineRule="atLeast"/>
        <w:jc w:val="both"/>
      </w:pPr>
      <w:r>
        <w:t>1. I destinatari degli interventi della presente legge sono i giovani in forma singola o associata e i gruppi informali di giovani di età compresa tra i quattordici ed i trentacinque anni residenti o aventi dimora nel territorio regionale.</w:t>
      </w:r>
    </w:p>
    <w:p w:rsidR="00E47006" w:rsidRDefault="00E47006" w:rsidP="00E47006">
      <w:pPr>
        <w:spacing w:after="0" w:line="20" w:lineRule="atLeast"/>
        <w:jc w:val="both"/>
      </w:pPr>
      <w:r>
        <w:t xml:space="preserve">TITOLO II FUNZIONE DELLA REGIONE, PROGRAMMAZIONE E RUOLO DEI COMUNI </w:t>
      </w:r>
    </w:p>
    <w:p w:rsidR="00E47006" w:rsidRDefault="00E47006" w:rsidP="00E47006">
      <w:pPr>
        <w:spacing w:after="0" w:line="20" w:lineRule="atLeast"/>
        <w:jc w:val="both"/>
      </w:pPr>
      <w:r>
        <w:t xml:space="preserve">Art. 4. Ruolo della Regione </w:t>
      </w:r>
    </w:p>
    <w:p w:rsidR="00E47006" w:rsidRDefault="00E47006" w:rsidP="00E47006">
      <w:pPr>
        <w:spacing w:after="0" w:line="20" w:lineRule="atLeast"/>
        <w:jc w:val="both"/>
      </w:pPr>
      <w:r>
        <w:t xml:space="preserve">1. La Regione, in attuazione delle finalità di cui agli articoli 1 e 2, favorisce: </w:t>
      </w:r>
    </w:p>
    <w:p w:rsidR="00E47006" w:rsidRDefault="00E47006" w:rsidP="00E47006">
      <w:pPr>
        <w:spacing w:after="0" w:line="20" w:lineRule="atLeast"/>
        <w:jc w:val="both"/>
      </w:pPr>
      <w:r>
        <w:t xml:space="preserve">a) il coinvolgimento degli enti locali nella programmazione regionale sulle politiche giovanili nonché il raccordo e la collaborazione con le amministrazioni dello Stato in ogni settore che coinvolge la condizione giovanile, per attuare le politiche ed i programmi in materia sociale, scolastica, formativa, sanitaria, abitativa, culturale, del tempo libero, del lavoro, di pianificazione territoriale, di mobilità, di sviluppo sostenibile e di accesso al credito; </w:t>
      </w:r>
    </w:p>
    <w:p w:rsidR="00E47006" w:rsidRDefault="00E47006" w:rsidP="00E47006">
      <w:pPr>
        <w:spacing w:after="0" w:line="20" w:lineRule="atLeast"/>
        <w:jc w:val="both"/>
      </w:pPr>
      <w:r>
        <w:t xml:space="preserve">b) la continuità di una programmazione attenta alle caratteristiche e alle esigenze delle giovani generazioni, soprattutto tramite i risultati delle proposte elaborate dal Forum delle politiche giovanili e dell’innovazione tecnologica; </w:t>
      </w:r>
    </w:p>
    <w:p w:rsidR="00E47006" w:rsidRDefault="00E47006" w:rsidP="00E47006">
      <w:pPr>
        <w:spacing w:after="0" w:line="20" w:lineRule="atLeast"/>
        <w:jc w:val="both"/>
      </w:pPr>
      <w:r>
        <w:t xml:space="preserve">c) la promozione di progetti rivolti ai giovani e realizzati dai giovani, dalle associazioni ed organizzazioni giovanili finalizzati alla valorizzazione del territorio, alla pratica dello sport, della cultura, dell’artigianato, della creazione delle diverse forme di espressione artistica e dell’azione sociale, facilitando l’accesso ai sostegni finanziari, materiali e tecnici; </w:t>
      </w:r>
    </w:p>
    <w:p w:rsidR="00E47006" w:rsidRDefault="00E47006" w:rsidP="00E47006">
      <w:pPr>
        <w:spacing w:after="0" w:line="20" w:lineRule="atLeast"/>
        <w:jc w:val="both"/>
      </w:pPr>
      <w:r>
        <w:t xml:space="preserve">d) la promozione di accordi o partenariati con altre Regioni italiane ed europee finalizzati a favorire la partecipazione a programmi europei di tirocini volti alla formazione professionale per l’inserimento nel mondo del lavoro; </w:t>
      </w:r>
    </w:p>
    <w:p w:rsidR="00E47006" w:rsidRDefault="00E47006" w:rsidP="00E47006">
      <w:pPr>
        <w:spacing w:after="0" w:line="20" w:lineRule="atLeast"/>
        <w:jc w:val="both"/>
      </w:pPr>
      <w:r>
        <w:t xml:space="preserve">e) la promozione e l’attuazione di iniziative volte a diffondere la cultura e l’educazione della sicurezza stradale tra i giovani, al fine di contribuire al miglioramento dei comportamenti; </w:t>
      </w:r>
    </w:p>
    <w:p w:rsidR="00E47006" w:rsidRDefault="00E47006" w:rsidP="00E47006">
      <w:pPr>
        <w:spacing w:after="0" w:line="20" w:lineRule="atLeast"/>
        <w:jc w:val="both"/>
      </w:pPr>
      <w:r>
        <w:t xml:space="preserve">f) la promozione, la valorizzazione e lo sviluppo di pratiche di partecipazione attiva dei giovani alla vita civica e politica, compreso il dialogo strutturato europeo, accrescendo la disponibilità e la capacità d’impegno dei giovani nella società; </w:t>
      </w:r>
    </w:p>
    <w:p w:rsidR="00E47006" w:rsidRDefault="00E47006" w:rsidP="00E47006">
      <w:pPr>
        <w:spacing w:after="0" w:line="20" w:lineRule="atLeast"/>
        <w:jc w:val="both"/>
      </w:pPr>
      <w:r>
        <w:t xml:space="preserve">g) la creazione di una rete di partner pubblici e privati già attivi sul territorio, che abbiano la capacità di offrire servizi di orientamento, formazione, consulenze, contributi in denaro, spazi in concessione e attività di promozione, in favore dei giovani creativi e innovatori; </w:t>
      </w:r>
    </w:p>
    <w:p w:rsidR="00E47006" w:rsidRDefault="00E47006" w:rsidP="00E47006">
      <w:pPr>
        <w:spacing w:after="0" w:line="20" w:lineRule="atLeast"/>
        <w:jc w:val="both"/>
      </w:pPr>
      <w:r>
        <w:t xml:space="preserve">h) la promozione di azioni volte ad intercettare, stimolare e coinvolgere grandi aziende estere nell’accelerazione del processo di sviluppo del nostro ecosistema innovativo locale. </w:t>
      </w:r>
    </w:p>
    <w:p w:rsidR="00E47006" w:rsidRDefault="00E47006" w:rsidP="00E47006">
      <w:pPr>
        <w:spacing w:after="0" w:line="20" w:lineRule="atLeast"/>
        <w:jc w:val="both"/>
      </w:pPr>
      <w:r>
        <w:t xml:space="preserve">2. La Regione istituisce il «Forum regionale dei giovani», quale organismo consultivo e propositivo di partecipazione giovanile a carattere totalmente elettivo, composto dai giovani residenti o aventi dimora nel territorio regionale e rientranti nella fascia di età di cui all’art. 3. Il suddetto organismo non comporta oneri a carico della finanza pubblica e usufruisce delle risorse umane e strumentali previste a legislazione vigente. 3. La Regione promuove la Scuola di cittadinanza attiva con l’obiettivo di favorire la partecipazione dei giovani alla vita sociale delle comunità e l’approfondimento dei processi di integrazione e di coesione delle moderne collettività, affiancando la famiglia, la scuola e le altre forme associative. </w:t>
      </w:r>
    </w:p>
    <w:p w:rsidR="00E47006" w:rsidRDefault="00E47006" w:rsidP="00E47006">
      <w:pPr>
        <w:spacing w:after="0" w:line="20" w:lineRule="atLeast"/>
        <w:jc w:val="both"/>
      </w:pPr>
      <w:r>
        <w:t xml:space="preserve">4. La Regione promuove attività di formazione professionale regionale, in stretto raccordo con il tessuto industriale e i nuovi trend tecnologici, prevedendo la creazione di specifici percorsi formativi relativi a </w:t>
      </w:r>
      <w:r>
        <w:lastRenderedPageBreak/>
        <w:t xml:space="preserve">tematiche innovative, fra le quali open data, audience development , artigianato digitale, coding , APP, blockchain , favorendo percorsi di apprendimento per giovani o aspiranti imprenditori che vengano realizzati dall’Amministrazione regionale in collaborazione con gli stessi destinatari e su loro richiesta e impulso. </w:t>
      </w:r>
    </w:p>
    <w:p w:rsidR="00E47006" w:rsidRDefault="00E47006" w:rsidP="00E47006">
      <w:pPr>
        <w:spacing w:after="0" w:line="20" w:lineRule="atLeast"/>
        <w:jc w:val="both"/>
      </w:pPr>
      <w:r>
        <w:t xml:space="preserve">Art. 5. Programmazione regionale </w:t>
      </w:r>
    </w:p>
    <w:p w:rsidR="00E47006" w:rsidRDefault="00E47006" w:rsidP="00E47006">
      <w:pPr>
        <w:spacing w:after="0" w:line="20" w:lineRule="atLeast"/>
        <w:jc w:val="both"/>
      </w:pPr>
      <w:r>
        <w:t xml:space="preserve">1. Per attuare gli obiettivi di cui all’art. 2, l’Assessore regionale per la famiglia, le politiche sociali e il lavoro, consultati preventivamente gli </w:t>
      </w:r>
      <w:proofErr w:type="gramStart"/>
      <w:r>
        <w:t>stakeholders ,</w:t>
      </w:r>
      <w:proofErr w:type="gramEnd"/>
      <w:r>
        <w:t xml:space="preserve"> tenuto conto delle proposte elaborate dal Forum delle politiche giovanili e dell’innovazione tecnologica, adotta il Programma triennale, di seguito denominato Programma, su base annuale, per le politiche giovanili definendone gli indirizzi, le priorità e la strategia ed in cui: </w:t>
      </w:r>
    </w:p>
    <w:p w:rsidR="00E47006" w:rsidRDefault="00E47006" w:rsidP="00E47006">
      <w:pPr>
        <w:spacing w:after="0" w:line="20" w:lineRule="atLeast"/>
        <w:jc w:val="both"/>
      </w:pPr>
      <w:r>
        <w:t xml:space="preserve">a) individua i collegamenti tra le diverse politiche di settore; </w:t>
      </w:r>
    </w:p>
    <w:p w:rsidR="00E47006" w:rsidRDefault="00E47006" w:rsidP="00E47006">
      <w:pPr>
        <w:spacing w:after="0" w:line="20" w:lineRule="atLeast"/>
        <w:jc w:val="both"/>
      </w:pPr>
      <w:r>
        <w:t xml:space="preserve">b) adotta strumenti condivisi di prevenzione e tutela; </w:t>
      </w:r>
    </w:p>
    <w:p w:rsidR="00E47006" w:rsidRDefault="00E47006" w:rsidP="00E47006">
      <w:pPr>
        <w:spacing w:after="0" w:line="20" w:lineRule="atLeast"/>
        <w:jc w:val="both"/>
      </w:pPr>
      <w:r>
        <w:t xml:space="preserve">c) promuove l’accesso e la partecipazione alla cultura con iniziative dirette a diffondere il rispetto del patrimonio culturale ed ambientale mediante forme di partecipazione attiva dei giovani; </w:t>
      </w:r>
    </w:p>
    <w:p w:rsidR="00E47006" w:rsidRDefault="00E47006" w:rsidP="00E47006">
      <w:pPr>
        <w:spacing w:after="0" w:line="20" w:lineRule="atLeast"/>
        <w:jc w:val="both"/>
      </w:pPr>
      <w:r>
        <w:t xml:space="preserve">d) favorisce progetti finalizzati ad accrescere l’informazione e la partecipazione dei giovani ad iniziative di loro interesse e all’implementazione di banche dati, anche digitali per favorire l’incontro tra la domanda e offerta di lavoro; </w:t>
      </w:r>
    </w:p>
    <w:p w:rsidR="00E47006" w:rsidRDefault="00E47006" w:rsidP="00E47006">
      <w:pPr>
        <w:spacing w:after="0" w:line="20" w:lineRule="atLeast"/>
        <w:jc w:val="both"/>
      </w:pPr>
      <w:r>
        <w:t>e) elenca, nel sito della Regione, gli interventi a favore delle politiche giovanili indirizzate al raggiungimento delle finalità di cui all’art. 2.</w:t>
      </w:r>
    </w:p>
    <w:p w:rsidR="00E47006" w:rsidRDefault="00E47006" w:rsidP="00E47006">
      <w:pPr>
        <w:spacing w:after="0" w:line="20" w:lineRule="atLeast"/>
        <w:jc w:val="both"/>
      </w:pPr>
      <w:r>
        <w:t xml:space="preserve">2. La Regione promuove all’interno delle amministrazioni locali l’istituzione dei Forum e/o delle consulte comunali dei giovani, quale organismo consultivo di partecipazione giovanile a carattere totalmente elettivo, composto dai giovani residenti nel territorio comunale e rientranti nella fascia di età di cui all’art. 3. </w:t>
      </w:r>
    </w:p>
    <w:p w:rsidR="00E47006" w:rsidRDefault="00E47006" w:rsidP="00E47006">
      <w:pPr>
        <w:spacing w:after="0" w:line="20" w:lineRule="atLeast"/>
        <w:jc w:val="both"/>
      </w:pPr>
      <w:r>
        <w:t xml:space="preserve">3. Il Programma di cui al comma 1 individua, per ciascuna annualità, le fonti di finanziamento europee, nazionali, regionali e le modalità di erogazione delle stesse. </w:t>
      </w:r>
    </w:p>
    <w:p w:rsidR="00E47006" w:rsidRDefault="00E47006" w:rsidP="00E47006">
      <w:pPr>
        <w:spacing w:after="0" w:line="20" w:lineRule="atLeast"/>
        <w:jc w:val="both"/>
      </w:pPr>
      <w:r>
        <w:t xml:space="preserve">4. La Regione, tenendo conto anche dei risultati delle attività dell’Osservatorio previsto dall’art. 16, propone iniziative di identificazione e condivisione delle buone pratiche e indagini valutative sulle politiche giovanili da realizzare. </w:t>
      </w:r>
    </w:p>
    <w:p w:rsidR="00E47006" w:rsidRDefault="00E47006" w:rsidP="00E47006">
      <w:pPr>
        <w:spacing w:after="0" w:line="20" w:lineRule="atLeast"/>
        <w:jc w:val="both"/>
      </w:pPr>
      <w:r>
        <w:t xml:space="preserve">Art. 6. Ruolo dei Comuni </w:t>
      </w:r>
    </w:p>
    <w:p w:rsidR="00E47006" w:rsidRDefault="00E47006" w:rsidP="00E47006">
      <w:pPr>
        <w:spacing w:after="0" w:line="20" w:lineRule="atLeast"/>
        <w:jc w:val="both"/>
      </w:pPr>
      <w:r>
        <w:t xml:space="preserve">1. I Comuni, in forma singola o associata, quali autorità responsabili dello sviluppo e della rigenerazione urbana e in quanto espressioni della comunità, nell’ambito della programmazione regionale in materia di politiche giovanili: </w:t>
      </w:r>
    </w:p>
    <w:p w:rsidR="00E47006" w:rsidRDefault="00E47006" w:rsidP="00E47006">
      <w:pPr>
        <w:spacing w:after="0" w:line="20" w:lineRule="atLeast"/>
        <w:jc w:val="both"/>
      </w:pPr>
      <w:r>
        <w:t xml:space="preserve">a) rispondono alle necessità ed alle esigenze dei giovani attraverso l’erogazione di servizi ed interventi; </w:t>
      </w:r>
    </w:p>
    <w:p w:rsidR="00E47006" w:rsidRDefault="00E47006" w:rsidP="00E47006">
      <w:pPr>
        <w:spacing w:after="0" w:line="20" w:lineRule="atLeast"/>
        <w:jc w:val="both"/>
      </w:pPr>
      <w:r>
        <w:t xml:space="preserve">b) promuovono progetti nell’ambito delle politiche giovanili e favoriscono la realizzazione di luoghi d’incontro e centri di aggregazione polifunzionali finalizzati ad incentivare la creatività nelle sue diverse espressioni, con interventi, anche formativi, che facilitano il passaggio alla vita adulta e al mondo del lavoro; </w:t>
      </w:r>
    </w:p>
    <w:p w:rsidR="00E47006" w:rsidRDefault="00E47006" w:rsidP="00E47006">
      <w:pPr>
        <w:spacing w:after="0" w:line="20" w:lineRule="atLeast"/>
        <w:jc w:val="both"/>
      </w:pPr>
      <w:r>
        <w:t xml:space="preserve">c) favoriscono la partecipazione attiva e il dialogo tra i giovani e con i giovani e le loro rappresentanze, compreso il dialogo intergenerazionale, al fine della condivisione delle politiche anche attraverso forum comunali ed intercomunali della gioventù, consigli comunali aperti, forme innovative di informazione, consultazione e partecipazione. </w:t>
      </w:r>
    </w:p>
    <w:p w:rsidR="00E47006" w:rsidRDefault="00E47006" w:rsidP="00E47006">
      <w:pPr>
        <w:spacing w:after="0" w:line="20" w:lineRule="atLeast"/>
        <w:jc w:val="both"/>
      </w:pPr>
      <w:r>
        <w:t xml:space="preserve">TITOLO III POLITICHE GIOVANILI </w:t>
      </w:r>
    </w:p>
    <w:p w:rsidR="00E47006" w:rsidRDefault="00E47006" w:rsidP="00E47006">
      <w:pPr>
        <w:spacing w:after="0" w:line="20" w:lineRule="atLeast"/>
        <w:jc w:val="both"/>
      </w:pPr>
      <w:r>
        <w:t xml:space="preserve">Art. 7. Spazi di aggregazione giovanili </w:t>
      </w:r>
    </w:p>
    <w:p w:rsidR="00E47006" w:rsidRDefault="00E47006" w:rsidP="00E47006">
      <w:pPr>
        <w:spacing w:after="0" w:line="20" w:lineRule="atLeast"/>
        <w:jc w:val="both"/>
      </w:pPr>
      <w:r>
        <w:t>1. Al fine di contribuire a creare coesione sociale, solidarietà tra i giovani e tra le diverse generazioni, la Regione promuove, tenendo conto del contesto socioculturale, le opportunità strutturate e spontanee di incontro tra le persone e gli spazi di libera aggregazione tra giovani.</w:t>
      </w:r>
    </w:p>
    <w:p w:rsidR="00E47006" w:rsidRDefault="00E47006" w:rsidP="00E47006">
      <w:pPr>
        <w:spacing w:after="0" w:line="20" w:lineRule="atLeast"/>
        <w:jc w:val="both"/>
      </w:pPr>
      <w:r>
        <w:t>2. La Regione riconosce il valore sociale dei beni pubblici e comuni, promuove lo sviluppo di luoghi polifunzionali di incontro e di co-working e incubatori di impresa, finalizzati a creare occasioni di scambio di esperienze e competenze attraverso processi di cittadinanza attiva, di sperimentazione e realizzazione di attività educative, artistiche, culturali, sportive, ricreative e multiculturali, attuate senza fini di lucro, con caratteristiche di continuità e libertà di partecipazione, senza discriminazione alcuna, prevedendo anche una diversa utilizzazione di edifici pubblici, nel rispetto della normativa vigente in materia di edilizia.</w:t>
      </w:r>
    </w:p>
    <w:p w:rsidR="00E47006" w:rsidRDefault="00E47006" w:rsidP="00E47006">
      <w:pPr>
        <w:spacing w:after="0" w:line="20" w:lineRule="atLeast"/>
        <w:jc w:val="both"/>
      </w:pPr>
      <w:r>
        <w:t>3. Per conseguire gli obiettivi di cui al comma 1, la Regione, nell’ambito delle risorse disponibili anche di provenienza statale ed europea, favorisce:</w:t>
      </w:r>
    </w:p>
    <w:p w:rsidR="00E47006" w:rsidRDefault="00E47006" w:rsidP="00E47006">
      <w:pPr>
        <w:spacing w:after="0" w:line="20" w:lineRule="atLeast"/>
        <w:jc w:val="both"/>
      </w:pPr>
      <w:r>
        <w:t>a) la valorizzazione delle biblioteche regionali o di immobili di proprietà regionale in disuso con caratteristiche idonee nonché gli interventi di ristrutturazione funzionale degli spazi di libero incontro e ’acquisizione di dotazioni strumentali e tecnologiche;</w:t>
      </w:r>
    </w:p>
    <w:p w:rsidR="00E47006" w:rsidRDefault="00E47006" w:rsidP="00E47006">
      <w:pPr>
        <w:spacing w:after="0" w:line="20" w:lineRule="atLeast"/>
        <w:jc w:val="both"/>
      </w:pPr>
      <w:r>
        <w:lastRenderedPageBreak/>
        <w:t xml:space="preserve"> b) i progetti diretti a stimolare le capacità creative dei giovani attraverso l’utilizzo delle nuove tecnologie ed a valorizzare anche l’artigianato tradizionale e l’imprenditorialità giovanile, quali fattori aggreganti economico - sociali. </w:t>
      </w:r>
    </w:p>
    <w:p w:rsidR="00E47006" w:rsidRDefault="00E47006" w:rsidP="00E47006">
      <w:pPr>
        <w:spacing w:after="0" w:line="20" w:lineRule="atLeast"/>
        <w:jc w:val="both"/>
      </w:pPr>
      <w:r>
        <w:t xml:space="preserve">Art. 8. Mobilità ed esperienze </w:t>
      </w:r>
    </w:p>
    <w:p w:rsidR="00E47006" w:rsidRDefault="00E47006" w:rsidP="00E47006">
      <w:pPr>
        <w:spacing w:after="0" w:line="20" w:lineRule="atLeast"/>
        <w:jc w:val="both"/>
      </w:pPr>
      <w:r>
        <w:t xml:space="preserve">1. La Regione promuove, d’intesa con le amministrazioni statali, locali ed europee preposte, le attività legate alla mobilità, in ingresso ed in uscita, dei giovani mediante le politiche del volontariato e degli scambi in particolare con i Paesi dell’Unione europea e con quelli dell’area del Mediterraneo, nei settori dell’istruzione, della formazione e della cittadinanza attiva. Le attività attuate nel rispetto della normativa statale e comunitaria vigente costituiscono opportunità fondamentali per favorire l’acquisizione di esperienze, competenze e per accrescere l’impegno dei giovani nella società. </w:t>
      </w:r>
    </w:p>
    <w:p w:rsidR="00E47006" w:rsidRDefault="00E47006" w:rsidP="00E47006">
      <w:pPr>
        <w:spacing w:after="0" w:line="20" w:lineRule="atLeast"/>
        <w:jc w:val="both"/>
      </w:pPr>
      <w:r>
        <w:t xml:space="preserve">2. La Regione ed i comuni riconoscono per i giovani il valore dell’acquisizione delle esperienze tramite l’educazione non formale ed informale, in coerenza con quanto promosso anche dai programmi europei che le sostengono. A tal fine, promuovono scambi giovanili, attività di volontariato, progetti d’iniziativa giovanile, seminari e corsi ideati e realizzati anche direttamente dai giovani e dalle loro associazioni. 3. La Regione, anche d’intesa con i Comuni, promuove le iniziative e le attività del dialogo europeo strutturato con i giovani, di cui alla Comunicazione della Commissione al Consiglio del 20 luglio 2006, relativa alle politiche europee in materia di partecipazione e informazione dei giovani COM (2006) 417 ed alla Risoluzione del Consiglio sull’incoraggiamento della partecipazione dei giovani alla vita democratica dell’Europa (2015/C417/02). </w:t>
      </w:r>
    </w:p>
    <w:p w:rsidR="00E47006" w:rsidRDefault="00E47006" w:rsidP="00E47006">
      <w:pPr>
        <w:spacing w:after="0" w:line="20" w:lineRule="atLeast"/>
        <w:jc w:val="both"/>
      </w:pPr>
      <w:r>
        <w:t xml:space="preserve">Art. 9. Bullismo, cyberbullismo e revenge porn </w:t>
      </w:r>
    </w:p>
    <w:p w:rsidR="00E47006" w:rsidRDefault="00E47006" w:rsidP="00E47006">
      <w:pPr>
        <w:spacing w:after="0" w:line="20" w:lineRule="atLeast"/>
        <w:jc w:val="both"/>
      </w:pPr>
      <w:r>
        <w:t xml:space="preserve">1. La Regione promuove e sostiene azioni di prevenzione e contrasto dei fenomeni del bullismo, del cyberbullismo e del revenge porn volte alla diffusione della cultura della legalità, al rispetto della dignità dell’individuo nella sua diversità e alla tutela della integrità psico-fisica dei giovani adolescenti, con particolare riferimento all’ambiente scolastico e all’utilizzo degli strumenti informatici e della rete internet. 2. Per le finalità di cui al comma 1, la Regione favorisce la realizzazione di iniziative e progetti che possono riguardare: </w:t>
      </w:r>
    </w:p>
    <w:p w:rsidR="00E47006" w:rsidRDefault="00E47006" w:rsidP="00E47006">
      <w:pPr>
        <w:spacing w:after="0" w:line="20" w:lineRule="atLeast"/>
        <w:jc w:val="both"/>
      </w:pPr>
      <w:r>
        <w:t xml:space="preserve">a) campagne di sensibilizzazione e informazione rivolte agli studenti e alle loro famiglie; </w:t>
      </w:r>
    </w:p>
    <w:p w:rsidR="00E47006" w:rsidRDefault="00E47006" w:rsidP="00E47006">
      <w:pPr>
        <w:spacing w:after="0" w:line="20" w:lineRule="atLeast"/>
        <w:jc w:val="both"/>
      </w:pPr>
      <w:r>
        <w:t xml:space="preserve">b) attività di carattere culturale, sociale e sportivo sui temi della legalità e del rispetto delle diversità e sull’uso consapevole della rete internet; c) formazione del personale scolastico ed educativo; d) programmi di sostegno per le vittime di bullismo, cyberbullismo e revenge porn. </w:t>
      </w:r>
    </w:p>
    <w:p w:rsidR="00E47006" w:rsidRDefault="00E47006" w:rsidP="00E47006">
      <w:pPr>
        <w:spacing w:after="0" w:line="20" w:lineRule="atLeast"/>
        <w:jc w:val="both"/>
      </w:pPr>
      <w:r>
        <w:t xml:space="preserve">Art. 10. Azioni di comunicazione e informazione </w:t>
      </w:r>
    </w:p>
    <w:p w:rsidR="00E47006" w:rsidRDefault="00E47006" w:rsidP="00E47006">
      <w:pPr>
        <w:spacing w:after="0" w:line="20" w:lineRule="atLeast"/>
        <w:jc w:val="both"/>
      </w:pPr>
      <w:r>
        <w:t xml:space="preserve">1. La Regione riconosce l’informazione per i giovani quale strumento fondamentale di conoscenza, consapevolezza e offerta di opportunità in rapporto alle possibilità di scelta negli ambiti di vita che li riguardano. </w:t>
      </w:r>
    </w:p>
    <w:p w:rsidR="00E47006" w:rsidRDefault="00E47006" w:rsidP="00E47006">
      <w:pPr>
        <w:spacing w:after="0" w:line="20" w:lineRule="atLeast"/>
        <w:jc w:val="both"/>
      </w:pPr>
      <w:r>
        <w:t xml:space="preserve">2. La Regione garantisce ai giovani il diritto all’informazione e alle pari opportunità di accesso ai servizi informativi presenti sul territorio regionale, anche attraverso l’attivazione di canali sui principali social network per fornire informazioni sulle iniziative poste in essere. </w:t>
      </w:r>
    </w:p>
    <w:p w:rsidR="00E47006" w:rsidRDefault="00E47006" w:rsidP="00E47006">
      <w:pPr>
        <w:spacing w:after="0" w:line="20" w:lineRule="atLeast"/>
        <w:jc w:val="both"/>
      </w:pPr>
      <w:r>
        <w:t xml:space="preserve">3. La Regione in collaborazione con gli enti locali e le organizzazioni giovanili rappresentate nel Forum di cui all’art. 12, nell’ambito del Programma di cui all’art. 5, promuove la realizzazione di una piattaforma digitale denominata «I giovani per la Sicilia» che rappresenta il sistema di comunicazione informatica e costituisce uno spazio di partecipazione diretta dei giovani in materia di politiche giovanili. </w:t>
      </w:r>
    </w:p>
    <w:p w:rsidR="00E47006" w:rsidRDefault="00E47006" w:rsidP="00E47006">
      <w:pPr>
        <w:spacing w:after="0" w:line="20" w:lineRule="atLeast"/>
        <w:jc w:val="both"/>
      </w:pPr>
      <w:r>
        <w:t>4. Per attuare gli obiettivi di cui al comma 2, la Regione, nell’ambito delle risorse disponibili, provvede:</w:t>
      </w:r>
    </w:p>
    <w:p w:rsidR="00E47006" w:rsidRDefault="00E47006" w:rsidP="00E47006">
      <w:pPr>
        <w:spacing w:after="0" w:line="20" w:lineRule="atLeast"/>
        <w:jc w:val="both"/>
      </w:pPr>
      <w:r>
        <w:t xml:space="preserve">a) ad individuare le tematiche di interesse giovanile; </w:t>
      </w:r>
    </w:p>
    <w:p w:rsidR="00E47006" w:rsidRDefault="00E47006" w:rsidP="00E47006">
      <w:pPr>
        <w:spacing w:after="0" w:line="20" w:lineRule="atLeast"/>
        <w:jc w:val="both"/>
      </w:pPr>
      <w:r>
        <w:t xml:space="preserve">b) ad aprire canali di comunicazione in grado di migliorare l’accessibilità e la fruibilità del servizio presso un target giovanile, con la realizzazione di un portale che tenga conto anche delle reti promosse dall’Unione europea in materia di informazione e di politiche giovanili; </w:t>
      </w:r>
    </w:p>
    <w:p w:rsidR="00E47006" w:rsidRDefault="00E47006" w:rsidP="00E47006">
      <w:pPr>
        <w:spacing w:after="0" w:line="20" w:lineRule="atLeast"/>
        <w:jc w:val="both"/>
      </w:pPr>
      <w:r>
        <w:t xml:space="preserve">c) a potenziare la comunicazione con applicazioni moderne e tecnologiche dedicate e gratuite; d) a sperimentare il ricorso alle reti peer-to-peer per diffondere elevati flussi di dati in tempo reale. </w:t>
      </w:r>
    </w:p>
    <w:p w:rsidR="00E47006" w:rsidRDefault="00E47006" w:rsidP="00E47006">
      <w:pPr>
        <w:spacing w:after="0" w:line="20" w:lineRule="atLeast"/>
        <w:jc w:val="both"/>
      </w:pPr>
      <w:r>
        <w:t xml:space="preserve">Art. 11. La settimana dei giovani </w:t>
      </w:r>
    </w:p>
    <w:p w:rsidR="00E47006" w:rsidRDefault="00E47006" w:rsidP="00E47006">
      <w:pPr>
        <w:spacing w:after="0" w:line="20" w:lineRule="atLeast"/>
        <w:jc w:val="both"/>
      </w:pPr>
      <w:r>
        <w:t xml:space="preserve">1. La Regione nell’ambito del Programma di cui all’art. 5 promuove, con il coinvolgimento partecipato delle comunità, degli enti locali, di associazioni senza fini di lucro del settore in ambito regionale, la «Settimana dei giovani», in concomitanza con la Festa dell’Europa del 9 maggio. </w:t>
      </w:r>
    </w:p>
    <w:p w:rsidR="00E47006" w:rsidRDefault="00E47006" w:rsidP="00E47006">
      <w:pPr>
        <w:spacing w:after="0" w:line="20" w:lineRule="atLeast"/>
        <w:jc w:val="both"/>
      </w:pPr>
      <w:r>
        <w:lastRenderedPageBreak/>
        <w:t xml:space="preserve">2. La settimana dei giovani è dedicata ad iniziative che integrano creatività, talento e valorizzazione dei giovani in ottica europea, al fine di sensibilizzare la collettività sui bisogni giovanili e di favorire lo scambio di conoscenze e competenze anche tramite forum e dibattiti online. </w:t>
      </w:r>
    </w:p>
    <w:p w:rsidR="00E47006" w:rsidRDefault="00E47006" w:rsidP="00E47006">
      <w:pPr>
        <w:spacing w:after="0" w:line="20" w:lineRule="atLeast"/>
        <w:jc w:val="both"/>
      </w:pPr>
      <w:r>
        <w:t xml:space="preserve">TITOLO IV FORUM REGIONALE DEI GIOVANI E OSSERVATORIO REGIONALE DELLE POLITICHE GIOVANILI </w:t>
      </w:r>
    </w:p>
    <w:p w:rsidR="00E47006" w:rsidRDefault="00E47006" w:rsidP="00E47006">
      <w:pPr>
        <w:spacing w:after="0" w:line="20" w:lineRule="atLeast"/>
        <w:jc w:val="both"/>
      </w:pPr>
      <w:r>
        <w:t xml:space="preserve">Art. 12. Forum regionale dei giovani </w:t>
      </w:r>
    </w:p>
    <w:p w:rsidR="00E47006" w:rsidRDefault="00E47006" w:rsidP="00E47006">
      <w:pPr>
        <w:spacing w:after="0" w:line="20" w:lineRule="atLeast"/>
        <w:jc w:val="both"/>
      </w:pPr>
      <w:r>
        <w:t xml:space="preserve">1. Presso l’Assessorato regionale della famiglia, delle politiche sociali e del lavoro è istituito il «Forum regionale dei giovani», di seguito denominato Forum, quale organismo stabile di riferimento e confronto tra i giovani, la Regione e gli enti locali. </w:t>
      </w:r>
    </w:p>
    <w:p w:rsidR="00E47006" w:rsidRDefault="00E47006" w:rsidP="00E47006">
      <w:pPr>
        <w:spacing w:after="0" w:line="20" w:lineRule="atLeast"/>
        <w:jc w:val="both"/>
      </w:pPr>
      <w:r>
        <w:t xml:space="preserve">2. Il Forum, che opera secondo le modalità di cui al comma 2 dell’art. 4, è un organismo indipendente, di partecipazione e consultazione in materia di politiche giovanili. Scopo primario del nuovo organismo di partecipazione giovanile è favorire occasioni di confronto tra le nuove generazioni creando così un rapporto sempre più stretto tra giovani e le istituzioni. Il Forum si propone di avvicinare i giovani alle istituzioni e queste ultime al mondo dei giovani. Il Forum ha il compito di: </w:t>
      </w:r>
    </w:p>
    <w:p w:rsidR="00E47006" w:rsidRDefault="00E47006" w:rsidP="00E47006">
      <w:pPr>
        <w:spacing w:after="0" w:line="20" w:lineRule="atLeast"/>
        <w:jc w:val="both"/>
      </w:pPr>
      <w:r>
        <w:t xml:space="preserve">a) rappresentare gli interessi e le aspirazioni dei giovani; </w:t>
      </w:r>
    </w:p>
    <w:p w:rsidR="00E47006" w:rsidRDefault="00E47006" w:rsidP="00E47006">
      <w:pPr>
        <w:spacing w:after="0" w:line="20" w:lineRule="atLeast"/>
        <w:jc w:val="both"/>
      </w:pPr>
      <w:r>
        <w:t xml:space="preserve">b) favorire la loro presa in carico da parte delle istituzioni, attraverso la loro partecipazione attiva alla vita sociale e politica; </w:t>
      </w:r>
    </w:p>
    <w:p w:rsidR="00E47006" w:rsidRDefault="00E47006" w:rsidP="00E47006">
      <w:pPr>
        <w:spacing w:after="0" w:line="20" w:lineRule="atLeast"/>
        <w:jc w:val="both"/>
      </w:pPr>
      <w:r>
        <w:t xml:space="preserve">c) essere veicolo per la diffusione di stimoli provenienti dall’azione dei Forum comunali e provinciali. </w:t>
      </w:r>
    </w:p>
    <w:p w:rsidR="00E47006" w:rsidRDefault="00E47006" w:rsidP="00E47006">
      <w:pPr>
        <w:spacing w:after="0" w:line="20" w:lineRule="atLeast"/>
        <w:jc w:val="both"/>
      </w:pPr>
      <w:r>
        <w:t xml:space="preserve">3. Il forum è composto da rappresentanti legali o dai loro delegati delle organizzazioni/associazioni giovanili di rilevanza regionale individuate dal Registro regionale delle associazioni giovanili ai sensi dell’art. 14, e in particolare: </w:t>
      </w:r>
    </w:p>
    <w:p w:rsidR="00E47006" w:rsidRDefault="00E47006" w:rsidP="00E47006">
      <w:pPr>
        <w:spacing w:after="0" w:line="20" w:lineRule="atLeast"/>
        <w:jc w:val="both"/>
      </w:pPr>
      <w:r>
        <w:t xml:space="preserve">a) da un delegato delle associazioni giovanili di categoria; </w:t>
      </w:r>
    </w:p>
    <w:p w:rsidR="00E47006" w:rsidRDefault="00E47006" w:rsidP="00E47006">
      <w:pPr>
        <w:spacing w:after="0" w:line="20" w:lineRule="atLeast"/>
        <w:jc w:val="both"/>
      </w:pPr>
      <w:r>
        <w:t xml:space="preserve">b) da un delegato delle organizzazioni giovanili dei sindacati; </w:t>
      </w:r>
    </w:p>
    <w:p w:rsidR="00E47006" w:rsidRDefault="00E47006" w:rsidP="00E47006">
      <w:pPr>
        <w:spacing w:after="0" w:line="20" w:lineRule="atLeast"/>
        <w:jc w:val="both"/>
      </w:pPr>
      <w:r>
        <w:t xml:space="preserve">c) dai delegati delle associazioni giovanili del terzo settore; </w:t>
      </w:r>
    </w:p>
    <w:p w:rsidR="00E47006" w:rsidRDefault="00E47006" w:rsidP="00E47006">
      <w:pPr>
        <w:spacing w:after="0" w:line="20" w:lineRule="atLeast"/>
        <w:jc w:val="both"/>
      </w:pPr>
      <w:r>
        <w:t xml:space="preserve">d) dai rappresentanti degli organi superiori eletti delle Università di Catania, Palermo, Messina, Enna; </w:t>
      </w:r>
    </w:p>
    <w:p w:rsidR="00E47006" w:rsidRDefault="00E47006" w:rsidP="00E47006">
      <w:pPr>
        <w:spacing w:after="0" w:line="20" w:lineRule="atLeast"/>
        <w:jc w:val="both"/>
      </w:pPr>
      <w:r>
        <w:t xml:space="preserve">e) dalla rappresentanza studentesca all’interno dei consigli di amministrazione degli enti regionali per il diritto allo studio (ERSU); f) da un rappresentante delle consulte comunali per ogni provincia, scelto su base elettiva tra i Presidenti delle consulte giovanili comunali. </w:t>
      </w:r>
    </w:p>
    <w:p w:rsidR="00E47006" w:rsidRDefault="00E47006" w:rsidP="00E47006">
      <w:pPr>
        <w:spacing w:after="0" w:line="20" w:lineRule="atLeast"/>
        <w:jc w:val="both"/>
      </w:pPr>
      <w:r>
        <w:t xml:space="preserve">4. Il Forum può esprimere pareri sulle materie di cui all’art. 2 e sulla Programmazione regionale triennale di cui all’art. 5 nonché sullo stato di attuazione e l’impatto della normativa regionale sulle politiche giovanili. 5. Il Forum è organizzato su base elettiva ed è nominato dall’Assessore regionale per la famiglia, le politiche sociali e il lavoro entro sessanta giorni dalla data di entrata in vigore della presente legge. I componenti del Forum restano in carica sino al rinnovo dei rispettivi organi di provenienza e comunicano tempestivamente all’Assessorato regionale della famiglia, delle politiche sociali e del lavoro le nuove rappresentanze per il rinnovo delle cariche. Il Forum continua ad esercitare i propri compiti fino all’insediamento del nuovo organo. Ogni organizzazione può, in ogni momento, sostituire il proprio rappresentante mediante comunicazione scritta indirizzata all’Assessorato. Entro sessanta giorni dalla sua costituzione, il Forum elegge a maggioranza assoluta un presidente ed un segretario ed adotta un regolamento per il suo funzionamento nel rispetto della normativa regionale. </w:t>
      </w:r>
    </w:p>
    <w:p w:rsidR="00E47006" w:rsidRDefault="00E47006" w:rsidP="00E47006">
      <w:pPr>
        <w:spacing w:after="0" w:line="20" w:lineRule="atLeast"/>
        <w:jc w:val="both"/>
      </w:pPr>
      <w:r>
        <w:t xml:space="preserve">6. Il Forum con la propria attività contribuisce alla definizione dell’indirizzo politico della Regione sulle tematiche giovanili e, a tal fine: </w:t>
      </w:r>
    </w:p>
    <w:p w:rsidR="00E47006" w:rsidRDefault="00E47006" w:rsidP="00E47006">
      <w:pPr>
        <w:spacing w:after="0" w:line="20" w:lineRule="atLeast"/>
        <w:jc w:val="both"/>
      </w:pPr>
      <w:r>
        <w:t xml:space="preserve">a) formula proposte in tema di politiche giovanili da sottoporre ai competenti organi regionali; </w:t>
      </w:r>
    </w:p>
    <w:p w:rsidR="00E47006" w:rsidRDefault="00E47006" w:rsidP="00E47006">
      <w:pPr>
        <w:spacing w:after="0" w:line="20" w:lineRule="atLeast"/>
        <w:jc w:val="both"/>
      </w:pPr>
      <w:r>
        <w:t xml:space="preserve">b) presenta alla Giunta regionale, entro il 30 novembre di ogni anno, il proprio programma delle attività per l’anno successivo; </w:t>
      </w:r>
    </w:p>
    <w:p w:rsidR="00E47006" w:rsidRDefault="00E47006" w:rsidP="00E47006">
      <w:pPr>
        <w:spacing w:after="0" w:line="20" w:lineRule="atLeast"/>
        <w:jc w:val="both"/>
      </w:pPr>
      <w:r>
        <w:t xml:space="preserve">c) presenta, entro la fine del mese di febbraio, una relazione annuale alla Giunta regionale sulle attività svolte nell’anno precedente; </w:t>
      </w:r>
    </w:p>
    <w:p w:rsidR="00E47006" w:rsidRDefault="00E47006" w:rsidP="00E47006">
      <w:pPr>
        <w:spacing w:after="0" w:line="20" w:lineRule="atLeast"/>
        <w:jc w:val="both"/>
      </w:pPr>
      <w:r>
        <w:t xml:space="preserve">d) esprime parere sul programma triennale. </w:t>
      </w:r>
    </w:p>
    <w:p w:rsidR="00E47006" w:rsidRDefault="00E47006" w:rsidP="00E47006">
      <w:pPr>
        <w:spacing w:after="0" w:line="20" w:lineRule="atLeast"/>
        <w:jc w:val="both"/>
      </w:pPr>
      <w:r>
        <w:t xml:space="preserve">7. La Regione promuove di concerto con il Forum iniziative volte all’avvicinamento delle Scuole-Università e le imprese. </w:t>
      </w:r>
    </w:p>
    <w:p w:rsidR="00E47006" w:rsidRDefault="00E47006" w:rsidP="00E47006">
      <w:pPr>
        <w:spacing w:after="0" w:line="20" w:lineRule="atLeast"/>
        <w:jc w:val="both"/>
      </w:pPr>
      <w:r>
        <w:t xml:space="preserve">8. Il Forum, organizzato per specifiche tematiche, si riunisce ordinariamente almeno tre volte l’anno. Può riunirsi, altresì, in seduta straordinaria per iniziativa del suo presidente o quando lo richiedano almeno la metà dei componenti. Il Forum si avvale dell’attività dell’Osservatorio regionale di cui all’art. 15. </w:t>
      </w:r>
    </w:p>
    <w:p w:rsidR="00E47006" w:rsidRDefault="00E47006" w:rsidP="00E47006">
      <w:pPr>
        <w:spacing w:after="0" w:line="20" w:lineRule="atLeast"/>
        <w:jc w:val="both"/>
      </w:pPr>
      <w:r>
        <w:t xml:space="preserve">9. La partecipazione ai lavori del Forum è a titolo gratuito e non comporta alcuna indennità. </w:t>
      </w:r>
    </w:p>
    <w:p w:rsidR="00E47006" w:rsidRDefault="00E47006" w:rsidP="00E47006">
      <w:pPr>
        <w:spacing w:after="0" w:line="20" w:lineRule="atLeast"/>
        <w:jc w:val="both"/>
      </w:pPr>
      <w:r>
        <w:lastRenderedPageBreak/>
        <w:t xml:space="preserve">10. Il Forum organizza una riunione almeno una volta all’anno sulle politiche giovanili alla quale possono partecipare: </w:t>
      </w:r>
    </w:p>
    <w:p w:rsidR="00E47006" w:rsidRDefault="00E47006" w:rsidP="00E47006">
      <w:pPr>
        <w:spacing w:after="0" w:line="20" w:lineRule="atLeast"/>
        <w:jc w:val="both"/>
      </w:pPr>
      <w:r>
        <w:t xml:space="preserve">a) le organizzazioni di volontariato, le associazioni di promozione e cooperazione sociale attive nel campo delle politiche giovanili; </w:t>
      </w:r>
    </w:p>
    <w:p w:rsidR="00E47006" w:rsidRDefault="00E47006" w:rsidP="00E47006">
      <w:pPr>
        <w:spacing w:after="0" w:line="20" w:lineRule="atLeast"/>
        <w:jc w:val="both"/>
      </w:pPr>
      <w:r>
        <w:t xml:space="preserve">b) gli enti locali; </w:t>
      </w:r>
    </w:p>
    <w:p w:rsidR="00E47006" w:rsidRDefault="00E47006" w:rsidP="00E47006">
      <w:pPr>
        <w:spacing w:after="0" w:line="20" w:lineRule="atLeast"/>
        <w:jc w:val="both"/>
      </w:pPr>
      <w:r>
        <w:t xml:space="preserve">c) le camere di commercio, industria, artigianato e agricoltura; d) le organizzazioni sindacali e le associazioni di categoria; </w:t>
      </w:r>
    </w:p>
    <w:p w:rsidR="00E47006" w:rsidRDefault="00E47006" w:rsidP="00E47006">
      <w:pPr>
        <w:spacing w:after="0" w:line="20" w:lineRule="atLeast"/>
        <w:jc w:val="both"/>
      </w:pPr>
      <w:r>
        <w:t xml:space="preserve">e) le organizzazioni giovanili di ciascun partito politico. </w:t>
      </w:r>
    </w:p>
    <w:p w:rsidR="00E47006" w:rsidRDefault="00E47006" w:rsidP="00E47006">
      <w:pPr>
        <w:spacing w:after="0" w:line="20" w:lineRule="atLeast"/>
        <w:jc w:val="both"/>
      </w:pPr>
      <w:r>
        <w:t xml:space="preserve">Art. 13. Valorizzazione del volontariato </w:t>
      </w:r>
    </w:p>
    <w:p w:rsidR="00E47006" w:rsidRDefault="00E47006" w:rsidP="00E47006">
      <w:pPr>
        <w:spacing w:after="0" w:line="20" w:lineRule="atLeast"/>
        <w:jc w:val="both"/>
      </w:pPr>
      <w:r>
        <w:t xml:space="preserve">1. La Regione promuove il volontariato ed in particolare la partecipazione dei giovani ai progetti di solidarietà e di cittadinanza attiva. </w:t>
      </w:r>
    </w:p>
    <w:p w:rsidR="00E47006" w:rsidRDefault="00E47006" w:rsidP="00E47006">
      <w:pPr>
        <w:spacing w:after="0" w:line="20" w:lineRule="atLeast"/>
        <w:jc w:val="both"/>
      </w:pPr>
      <w:r>
        <w:t>2. La Regione sostiene, nell’ambito delle risorse disponibili, gli enti locali nella realizzazione di azioni specifiche di volontariato nonché dei progetti di solidarietà.</w:t>
      </w:r>
    </w:p>
    <w:p w:rsidR="00E47006" w:rsidRDefault="00E47006" w:rsidP="00E47006">
      <w:pPr>
        <w:spacing w:after="0" w:line="20" w:lineRule="atLeast"/>
        <w:jc w:val="both"/>
      </w:pPr>
      <w:r>
        <w:t xml:space="preserve">3. La Regione promuove le sinergie tra enti pubblici che consentono la partecipazione dei giovani a progetti di elevato grado di specializzazione utili all’acquisizione di esperienze umane e professionali nel loro percorso di vita. </w:t>
      </w:r>
    </w:p>
    <w:p w:rsidR="00E47006" w:rsidRDefault="00E47006" w:rsidP="00E47006">
      <w:pPr>
        <w:spacing w:after="0" w:line="20" w:lineRule="atLeast"/>
        <w:jc w:val="both"/>
      </w:pPr>
      <w:r>
        <w:t xml:space="preserve">Art. 14. Registro regionale delle associazioni giovanili </w:t>
      </w:r>
    </w:p>
    <w:p w:rsidR="00E47006" w:rsidRDefault="00E47006" w:rsidP="00E47006">
      <w:pPr>
        <w:spacing w:after="0" w:line="20" w:lineRule="atLeast"/>
        <w:jc w:val="both"/>
      </w:pPr>
      <w:r>
        <w:t xml:space="preserve">1. La Regione riconosce le azioni in materia di politiche giovanili delle associazioni che operano nella Regione con proprie sedi e strutture e con il carattere della continuità. </w:t>
      </w:r>
    </w:p>
    <w:p w:rsidR="00E47006" w:rsidRDefault="00E47006" w:rsidP="00E47006">
      <w:pPr>
        <w:spacing w:after="0" w:line="20" w:lineRule="atLeast"/>
        <w:jc w:val="both"/>
      </w:pPr>
      <w:r>
        <w:t xml:space="preserve">2. Per l’attuazione del comma 1 è istituito presso la struttura regionale competente il Registro regionale delle associazioni giovanili, di seguito denominato Registro regionale. </w:t>
      </w:r>
    </w:p>
    <w:p w:rsidR="00E47006" w:rsidRDefault="00E47006" w:rsidP="00E47006">
      <w:pPr>
        <w:spacing w:after="0" w:line="20" w:lineRule="atLeast"/>
        <w:jc w:val="both"/>
      </w:pPr>
      <w:r>
        <w:t xml:space="preserve">3. L’iscrizione al Registro regionale è subordinata al possesso dei seguenti requisiti: </w:t>
      </w:r>
    </w:p>
    <w:p w:rsidR="00E47006" w:rsidRDefault="00E47006" w:rsidP="00E47006">
      <w:pPr>
        <w:spacing w:after="0" w:line="20" w:lineRule="atLeast"/>
        <w:jc w:val="both"/>
      </w:pPr>
      <w:r>
        <w:t xml:space="preserve">a) lo statuto in cui risulta che le attività svolte sono coerenti con le aree di interesse delle politiche giovanili previste dalla vigente normativa; </w:t>
      </w:r>
    </w:p>
    <w:p w:rsidR="00E47006" w:rsidRDefault="00E47006" w:rsidP="00E47006">
      <w:pPr>
        <w:spacing w:after="0" w:line="20" w:lineRule="atLeast"/>
        <w:jc w:val="both"/>
      </w:pPr>
      <w:r>
        <w:t xml:space="preserve">b) la consistenza associativa costituita almeno per 1’80 per cento da giovani di età non inferiore ai quattordici e fino a trentacinque anni (trentasei non compiuti); </w:t>
      </w:r>
    </w:p>
    <w:p w:rsidR="00E47006" w:rsidRDefault="00E47006" w:rsidP="00E47006">
      <w:pPr>
        <w:spacing w:after="0" w:line="20" w:lineRule="atLeast"/>
        <w:jc w:val="both"/>
      </w:pPr>
      <w:r>
        <w:t>c) le associazioni costituite da almeno quattro anni e in possesso della documentata attività prevista dalla lettera a</w:t>
      </w:r>
      <w:proofErr w:type="gramStart"/>
      <w:r>
        <w:t>) ;</w:t>
      </w:r>
      <w:proofErr w:type="gramEnd"/>
      <w:r>
        <w:t xml:space="preserve"> </w:t>
      </w:r>
    </w:p>
    <w:p w:rsidR="00E47006" w:rsidRDefault="00E47006" w:rsidP="00E47006">
      <w:pPr>
        <w:spacing w:after="0" w:line="20" w:lineRule="atLeast"/>
        <w:jc w:val="both"/>
      </w:pPr>
      <w:r>
        <w:t>d) la presenza territoriale dimostrabile o con proprie sedi in aree provinciali per le associazioni a carattere regionale o attraverso una percentuale degli associati residenti superiore al 50 per cento in più di quattro liberi Consorzi comunali o Città metropolitane;</w:t>
      </w:r>
    </w:p>
    <w:p w:rsidR="00E47006" w:rsidRDefault="00E47006" w:rsidP="00E47006">
      <w:pPr>
        <w:spacing w:after="0" w:line="20" w:lineRule="atLeast"/>
        <w:jc w:val="both"/>
      </w:pPr>
      <w:r>
        <w:t xml:space="preserve">e) l’assenza dello scopo di lucro. </w:t>
      </w:r>
    </w:p>
    <w:p w:rsidR="00E47006" w:rsidRDefault="00E47006" w:rsidP="00E47006">
      <w:pPr>
        <w:spacing w:after="0" w:line="20" w:lineRule="atLeast"/>
        <w:jc w:val="both"/>
      </w:pPr>
      <w:r>
        <w:t>4. Le procedure per l’iscrizione al Registro regionale e la cancellazione per la mancanza dei requisiti previsti al comma 3 sono disposte con provvedimento amministrativo della struttura regionale competente.</w:t>
      </w:r>
    </w:p>
    <w:p w:rsidR="00E47006" w:rsidRDefault="00E47006" w:rsidP="00E47006">
      <w:pPr>
        <w:spacing w:after="0" w:line="20" w:lineRule="atLeast"/>
        <w:jc w:val="both"/>
      </w:pPr>
      <w:r>
        <w:t xml:space="preserve">5. Le modalità per la tenuta del Registro regionale, la revisione, le modalità ed i termini per la presentazione delle domande di iscrizione e le modalità di cancellazione sono disciplinate con delibera dalla Giunta regionale, su proposta del Assessore regionale per la famiglia, le politiche sociali e il lavoro. </w:t>
      </w:r>
    </w:p>
    <w:p w:rsidR="00E47006" w:rsidRDefault="00E47006" w:rsidP="00E47006">
      <w:pPr>
        <w:spacing w:after="0" w:line="20" w:lineRule="atLeast"/>
        <w:jc w:val="both"/>
      </w:pPr>
      <w:r>
        <w:t xml:space="preserve">Art. 15. Osservatorio regionale delle politiche giovanili </w:t>
      </w:r>
    </w:p>
    <w:p w:rsidR="00E47006" w:rsidRDefault="00E47006" w:rsidP="00E47006">
      <w:pPr>
        <w:spacing w:after="0" w:line="20" w:lineRule="atLeast"/>
        <w:jc w:val="both"/>
      </w:pPr>
      <w:r>
        <w:t xml:space="preserve">1. È istituito presso l’Assessorato regionale della famiglia, delle politiche sociali e del lavoro l’Osservatorio regionale delle politiche giovanili (O.R.P.G.), di seguito denominato Osservatorio, con funzioni di conoscenza e di monitoraggio delle diverse realtà giovanili in Sicilia. </w:t>
      </w:r>
    </w:p>
    <w:p w:rsidR="00E47006" w:rsidRDefault="00E47006" w:rsidP="00E47006">
      <w:pPr>
        <w:spacing w:after="0" w:line="20" w:lineRule="atLeast"/>
        <w:jc w:val="both"/>
      </w:pPr>
      <w:r>
        <w:t xml:space="preserve">2. Entro sessanta giorni dalla data di entrata in vigore della presente legge, la Giunta regionale delibera le modalità di funzionamento e la composizione dell’Osservatorio presieduto dall’Assessore regionale per la famiglia, le politiche sociali e il lavoro. </w:t>
      </w:r>
    </w:p>
    <w:p w:rsidR="00E47006" w:rsidRDefault="00E47006" w:rsidP="00E47006">
      <w:pPr>
        <w:spacing w:after="0" w:line="20" w:lineRule="atLeast"/>
        <w:jc w:val="both"/>
      </w:pPr>
      <w:r>
        <w:t xml:space="preserve">3. L’Osservatorio, operante presso la struttura amministrativa competente in materia, esercita, sulla base delle priorità di indirizzo politico della Regione, i seguenti compiti: </w:t>
      </w:r>
    </w:p>
    <w:p w:rsidR="00E47006" w:rsidRDefault="00E47006" w:rsidP="00E47006">
      <w:pPr>
        <w:spacing w:after="0" w:line="20" w:lineRule="atLeast"/>
        <w:jc w:val="both"/>
      </w:pPr>
      <w:r>
        <w:t xml:space="preserve">a) rilevazione, analisi dei dati relativi agli aspetti sociali, economici e storico-culturali delle realtà giovanili; b) monitoraggio delle caratteristiche, delle aspettative e delle esigenze dei giovani siciliani anche in rapporto al resto del paese; </w:t>
      </w:r>
    </w:p>
    <w:p w:rsidR="00E47006" w:rsidRDefault="00E47006" w:rsidP="00E47006">
      <w:pPr>
        <w:spacing w:after="0" w:line="20" w:lineRule="atLeast"/>
        <w:jc w:val="both"/>
      </w:pPr>
      <w:r>
        <w:t xml:space="preserve">c) info azione e comunicazione sulle tematiche di cui alla presente legge; </w:t>
      </w:r>
    </w:p>
    <w:p w:rsidR="00E47006" w:rsidRDefault="00E47006" w:rsidP="00E47006">
      <w:pPr>
        <w:spacing w:after="0" w:line="20" w:lineRule="atLeast"/>
        <w:jc w:val="both"/>
      </w:pPr>
      <w:r>
        <w:t xml:space="preserve">d) creazione di una banca dati dei servizi offerti ai giovani. </w:t>
      </w:r>
    </w:p>
    <w:p w:rsidR="00E47006" w:rsidRDefault="00E47006" w:rsidP="00E47006">
      <w:pPr>
        <w:spacing w:after="0" w:line="20" w:lineRule="atLeast"/>
        <w:jc w:val="both"/>
      </w:pPr>
      <w:r>
        <w:t xml:space="preserve">4. La partecipazione ai lavori dell’Osservatorio è a titolo gratuito e non comporta alcuna indennità o rimborso delle spese. </w:t>
      </w:r>
    </w:p>
    <w:p w:rsidR="00E47006" w:rsidRDefault="00E47006" w:rsidP="00E47006">
      <w:pPr>
        <w:spacing w:after="0" w:line="20" w:lineRule="atLeast"/>
        <w:jc w:val="both"/>
      </w:pPr>
      <w:r>
        <w:lastRenderedPageBreak/>
        <w:t xml:space="preserve">5. Le attività di segreteria dell’Osservatorio sono assicurate dalla struttura amministrativa competente nell’ambito delle risorse umane, strumentali e finanziarie disponibili a legislazione vigente. </w:t>
      </w:r>
    </w:p>
    <w:p w:rsidR="00E47006" w:rsidRDefault="00E47006" w:rsidP="00E47006">
      <w:pPr>
        <w:spacing w:after="0" w:line="20" w:lineRule="atLeast"/>
        <w:jc w:val="both"/>
      </w:pPr>
      <w:r>
        <w:t xml:space="preserve">6. Dall’attuazione di quanto previsto nel presente articolo non derivano nuovi o maggiori oneri per il bilancio regionale. </w:t>
      </w:r>
    </w:p>
    <w:p w:rsidR="00670259" w:rsidRDefault="00670259" w:rsidP="00E47006">
      <w:pPr>
        <w:spacing w:after="0" w:line="20" w:lineRule="atLeast"/>
        <w:jc w:val="both"/>
      </w:pPr>
    </w:p>
    <w:p w:rsidR="00670259" w:rsidRPr="00670259" w:rsidRDefault="00670259" w:rsidP="00670259">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b/>
        </w:rPr>
      </w:pPr>
      <w:r w:rsidRPr="00670259">
        <w:rPr>
          <w:b/>
        </w:rPr>
        <w:t>IMMIGRATI</w:t>
      </w:r>
    </w:p>
    <w:p w:rsidR="00670259" w:rsidRDefault="00670259" w:rsidP="00E47006">
      <w:pPr>
        <w:spacing w:after="0" w:line="20" w:lineRule="atLeast"/>
        <w:jc w:val="both"/>
      </w:pPr>
    </w:p>
    <w:p w:rsidR="00772A13" w:rsidRPr="006B0B81" w:rsidRDefault="00670259" w:rsidP="00772A13">
      <w:pPr>
        <w:spacing w:after="0" w:line="20" w:lineRule="atLeast"/>
        <w:jc w:val="both"/>
        <w:rPr>
          <w:rFonts w:cstheme="minorHAnsi"/>
        </w:rPr>
      </w:pPr>
      <w:r w:rsidRPr="00670259">
        <w:rPr>
          <w:rFonts w:cstheme="minorHAnsi"/>
          <w:b/>
          <w:lang w:val="en-US"/>
        </w:rPr>
        <w:t>DECRETO 10 luglio 2019</w:t>
      </w:r>
      <w:r>
        <w:rPr>
          <w:rFonts w:cstheme="minorHAnsi"/>
          <w:lang w:val="en-US"/>
        </w:rPr>
        <w:t xml:space="preserve">, </w:t>
      </w:r>
      <w:r w:rsidRPr="00670259">
        <w:rPr>
          <w:rFonts w:cstheme="minorHAnsi"/>
          <w:bCs/>
          <w:lang w:val="en-US"/>
        </w:rPr>
        <w:t xml:space="preserve">Progetto </w:t>
      </w:r>
      <w:r w:rsidRPr="00670259">
        <w:rPr>
          <w:rFonts w:cstheme="minorHAnsi"/>
          <w:bCs/>
          <w:iCs/>
          <w:lang w:val="en-US"/>
        </w:rPr>
        <w:t xml:space="preserve">Integration and Community Care for Asylum and Refugees in Emergency </w:t>
      </w:r>
      <w:r w:rsidRPr="00670259">
        <w:rPr>
          <w:rFonts w:cstheme="minorHAnsi"/>
          <w:bCs/>
          <w:lang w:val="en-US"/>
        </w:rPr>
        <w:t>(I.C.A.R.E.).</w:t>
      </w:r>
      <w:r w:rsidR="00772A13">
        <w:rPr>
          <w:rFonts w:cstheme="minorHAnsi"/>
          <w:bCs/>
          <w:lang w:val="en-US"/>
        </w:rPr>
        <w:t xml:space="preserve"> </w:t>
      </w:r>
      <w:r w:rsidR="00772A13">
        <w:rPr>
          <w:rFonts w:cstheme="minorHAnsi"/>
        </w:rPr>
        <w:t>(</w:t>
      </w:r>
      <w:proofErr w:type="gramStart"/>
      <w:r w:rsidR="00772A13">
        <w:rPr>
          <w:rFonts w:cstheme="minorHAnsi"/>
        </w:rPr>
        <w:t>GURS  n.</w:t>
      </w:r>
      <w:proofErr w:type="gramEnd"/>
      <w:r w:rsidR="00772A13">
        <w:rPr>
          <w:rFonts w:cstheme="minorHAnsi"/>
        </w:rPr>
        <w:t xml:space="preserve"> 36 del 2.8.19)</w:t>
      </w:r>
    </w:p>
    <w:p w:rsidR="00670259" w:rsidRPr="00AE3584" w:rsidRDefault="00670259" w:rsidP="00670259">
      <w:pPr>
        <w:autoSpaceDE w:val="0"/>
        <w:autoSpaceDN w:val="0"/>
        <w:adjustRightInd w:val="0"/>
        <w:spacing w:after="0" w:line="20" w:lineRule="atLeast"/>
        <w:jc w:val="both"/>
        <w:rPr>
          <w:rFonts w:cstheme="minorHAnsi"/>
        </w:rPr>
      </w:pPr>
      <w:r w:rsidRPr="00AE3584">
        <w:rPr>
          <w:rFonts w:cstheme="minorHAnsi"/>
        </w:rPr>
        <w:t>Art. 1</w:t>
      </w:r>
    </w:p>
    <w:p w:rsidR="00670259" w:rsidRPr="00AE3584" w:rsidRDefault="00670259" w:rsidP="00670259">
      <w:pPr>
        <w:autoSpaceDE w:val="0"/>
        <w:autoSpaceDN w:val="0"/>
        <w:adjustRightInd w:val="0"/>
        <w:spacing w:after="0" w:line="20" w:lineRule="atLeast"/>
        <w:jc w:val="both"/>
        <w:rPr>
          <w:rFonts w:cstheme="minorHAnsi"/>
        </w:rPr>
      </w:pPr>
      <w:r w:rsidRPr="00AE3584">
        <w:rPr>
          <w:rFonts w:cstheme="minorHAnsi"/>
        </w:rPr>
        <w:t>È annullato il D.D.G. n. 1102 del 5 giugno 2019 di questo Dipartimento.</w:t>
      </w:r>
    </w:p>
    <w:p w:rsidR="00670259" w:rsidRPr="00AE3584" w:rsidRDefault="00670259" w:rsidP="00670259">
      <w:pPr>
        <w:autoSpaceDE w:val="0"/>
        <w:autoSpaceDN w:val="0"/>
        <w:adjustRightInd w:val="0"/>
        <w:spacing w:after="0" w:line="20" w:lineRule="atLeast"/>
        <w:jc w:val="both"/>
        <w:rPr>
          <w:rFonts w:cstheme="minorHAnsi"/>
        </w:rPr>
      </w:pPr>
      <w:r w:rsidRPr="00AE3584">
        <w:rPr>
          <w:rFonts w:cstheme="minorHAnsi"/>
        </w:rPr>
        <w:t>Art. 2</w:t>
      </w:r>
    </w:p>
    <w:p w:rsidR="00670259" w:rsidRPr="00AE3584" w:rsidRDefault="00670259" w:rsidP="00670259">
      <w:pPr>
        <w:autoSpaceDE w:val="0"/>
        <w:autoSpaceDN w:val="0"/>
        <w:adjustRightInd w:val="0"/>
        <w:spacing w:after="0" w:line="20" w:lineRule="atLeast"/>
        <w:jc w:val="both"/>
        <w:rPr>
          <w:rFonts w:cstheme="minorHAnsi"/>
          <w:lang w:val="en-US"/>
        </w:rPr>
      </w:pPr>
      <w:r w:rsidRPr="00AE3584">
        <w:rPr>
          <w:rFonts w:cstheme="minorHAnsi"/>
        </w:rPr>
        <w:t xml:space="preserve">È approvato l’accordo di partenariato, sottoscritto il 20 dicembre 2018, tra la Regione Emilia-Romagna (Regione Capofila) e la Regione siciliana (ente partner), nonché l’accordo per il finanziamento tra le medesime regioni, sottoscritto il 28 marzo 2019, per la realizzazione del Progetto </w:t>
      </w:r>
      <w:r w:rsidRPr="00AE3584">
        <w:rPr>
          <w:rFonts w:cstheme="minorHAnsi"/>
          <w:lang w:val="en-US"/>
        </w:rPr>
        <w:t>denominato “Integration and Community Care for Asylum and Refugees in Emergency (I.C.A.R.E.)”.</w:t>
      </w:r>
    </w:p>
    <w:p w:rsidR="00670259" w:rsidRPr="00AE3584" w:rsidRDefault="00670259" w:rsidP="00670259">
      <w:pPr>
        <w:autoSpaceDE w:val="0"/>
        <w:autoSpaceDN w:val="0"/>
        <w:adjustRightInd w:val="0"/>
        <w:spacing w:after="0" w:line="20" w:lineRule="atLeast"/>
        <w:jc w:val="both"/>
        <w:rPr>
          <w:rFonts w:cstheme="minorHAnsi"/>
        </w:rPr>
      </w:pPr>
      <w:r w:rsidRPr="00AE3584">
        <w:rPr>
          <w:rFonts w:cstheme="minorHAnsi"/>
        </w:rPr>
        <w:t>Art. 3</w:t>
      </w:r>
    </w:p>
    <w:p w:rsidR="00670259" w:rsidRPr="00AE3584" w:rsidRDefault="00670259" w:rsidP="00670259">
      <w:pPr>
        <w:autoSpaceDE w:val="0"/>
        <w:autoSpaceDN w:val="0"/>
        <w:adjustRightInd w:val="0"/>
        <w:spacing w:after="0" w:line="20" w:lineRule="atLeast"/>
        <w:jc w:val="both"/>
        <w:rPr>
          <w:rFonts w:cstheme="minorHAnsi"/>
        </w:rPr>
      </w:pPr>
      <w:r w:rsidRPr="00AE3584">
        <w:rPr>
          <w:rFonts w:cstheme="minorHAnsi"/>
        </w:rPr>
        <w:t>È conferita delega formale al direttore generale dell’ASP di Trapani, quale capofila regionale del progetto, per l’adozione di tutti gli atti necessari per l’attuazione del</w:t>
      </w:r>
    </w:p>
    <w:p w:rsidR="00670259" w:rsidRPr="00AE3584" w:rsidRDefault="00670259" w:rsidP="00670259">
      <w:pPr>
        <w:autoSpaceDE w:val="0"/>
        <w:autoSpaceDN w:val="0"/>
        <w:adjustRightInd w:val="0"/>
        <w:spacing w:after="0" w:line="20" w:lineRule="atLeast"/>
        <w:jc w:val="both"/>
        <w:rPr>
          <w:rFonts w:cstheme="minorHAnsi"/>
          <w:lang w:val="en-US"/>
        </w:rPr>
      </w:pPr>
      <w:proofErr w:type="gramStart"/>
      <w:r w:rsidRPr="00AE3584">
        <w:rPr>
          <w:rFonts w:cstheme="minorHAnsi"/>
          <w:lang w:val="en-US"/>
        </w:rPr>
        <w:t>progetto</w:t>
      </w:r>
      <w:proofErr w:type="gramEnd"/>
      <w:r w:rsidRPr="00AE3584">
        <w:rPr>
          <w:rFonts w:cstheme="minorHAnsi"/>
          <w:lang w:val="en-US"/>
        </w:rPr>
        <w:t xml:space="preserve"> “Integration and Community Care for Asylum and Refugees in Emergency (I.C.A.R.E.)”.</w:t>
      </w:r>
    </w:p>
    <w:p w:rsidR="00670259" w:rsidRPr="00AE3584" w:rsidRDefault="00670259" w:rsidP="00670259">
      <w:pPr>
        <w:autoSpaceDE w:val="0"/>
        <w:autoSpaceDN w:val="0"/>
        <w:adjustRightInd w:val="0"/>
        <w:spacing w:after="0" w:line="20" w:lineRule="atLeast"/>
        <w:jc w:val="both"/>
        <w:rPr>
          <w:rFonts w:cstheme="minorHAnsi"/>
        </w:rPr>
      </w:pPr>
      <w:r w:rsidRPr="00AE3584">
        <w:rPr>
          <w:rFonts w:cstheme="minorHAnsi"/>
        </w:rPr>
        <w:t>Art. 4</w:t>
      </w:r>
    </w:p>
    <w:p w:rsidR="00670259" w:rsidRPr="00AE3584" w:rsidRDefault="00670259" w:rsidP="00670259">
      <w:pPr>
        <w:autoSpaceDE w:val="0"/>
        <w:autoSpaceDN w:val="0"/>
        <w:adjustRightInd w:val="0"/>
        <w:spacing w:after="0" w:line="20" w:lineRule="atLeast"/>
        <w:jc w:val="both"/>
        <w:rPr>
          <w:rFonts w:cstheme="minorHAnsi"/>
        </w:rPr>
      </w:pPr>
      <w:r w:rsidRPr="00AE3584">
        <w:rPr>
          <w:rFonts w:cstheme="minorHAnsi"/>
        </w:rPr>
        <w:t>Le relazioni istituzionali con le altre regioni e con il Ministero della salute e le attività di indirizzo e coordinamento saranno svolte, congiuntamente con questo Assessorato, dal dott. Antonino Sparaco, quale referente scientifico ed executive manager regionale del progetto e dalla dr.ssa Maria Pia Angelo, quale referente amministrativo del progetto.</w:t>
      </w:r>
    </w:p>
    <w:p w:rsidR="00670259" w:rsidRPr="00AE3584" w:rsidRDefault="00670259" w:rsidP="00670259">
      <w:pPr>
        <w:autoSpaceDE w:val="0"/>
        <w:autoSpaceDN w:val="0"/>
        <w:adjustRightInd w:val="0"/>
        <w:spacing w:after="0" w:line="20" w:lineRule="atLeast"/>
        <w:jc w:val="both"/>
        <w:rPr>
          <w:rFonts w:cstheme="minorHAnsi"/>
        </w:rPr>
      </w:pPr>
      <w:r w:rsidRPr="00AE3584">
        <w:rPr>
          <w:rFonts w:cstheme="minorHAnsi"/>
        </w:rPr>
        <w:t>Art. 5</w:t>
      </w:r>
    </w:p>
    <w:p w:rsidR="00670259" w:rsidRPr="00AE3584" w:rsidRDefault="00670259" w:rsidP="00670259">
      <w:pPr>
        <w:autoSpaceDE w:val="0"/>
        <w:autoSpaceDN w:val="0"/>
        <w:adjustRightInd w:val="0"/>
        <w:spacing w:after="0" w:line="20" w:lineRule="atLeast"/>
        <w:jc w:val="both"/>
        <w:rPr>
          <w:rFonts w:cstheme="minorHAnsi"/>
        </w:rPr>
      </w:pPr>
      <w:r w:rsidRPr="00AE3584">
        <w:rPr>
          <w:rFonts w:cstheme="minorHAnsi"/>
        </w:rPr>
        <w:t>È assegnato all’Azienda sanitaria provinciale di Trapani il finanziamento descritto all’art. 3 dell’Accordo tra la Regione siciliana e la Regione Emilia Romagna, per le attività progettuali e la predisposizione di tutti gli atti necessari all’attuazione del progetto da realizzare con le altre AA.SS.PP. aderenti di questa regione, pari ad € 2.023.248,57.</w:t>
      </w:r>
    </w:p>
    <w:p w:rsidR="00670259" w:rsidRPr="00AE3584" w:rsidRDefault="00670259" w:rsidP="00670259">
      <w:pPr>
        <w:autoSpaceDE w:val="0"/>
        <w:autoSpaceDN w:val="0"/>
        <w:adjustRightInd w:val="0"/>
        <w:spacing w:after="0" w:line="20" w:lineRule="atLeast"/>
        <w:jc w:val="both"/>
        <w:rPr>
          <w:rFonts w:cstheme="minorHAnsi"/>
        </w:rPr>
      </w:pPr>
      <w:r w:rsidRPr="00AE3584">
        <w:rPr>
          <w:rFonts w:cstheme="minorHAnsi"/>
        </w:rPr>
        <w:t>Art. 6</w:t>
      </w:r>
    </w:p>
    <w:p w:rsidR="00670259" w:rsidRPr="00AE3584" w:rsidRDefault="00670259" w:rsidP="00670259">
      <w:pPr>
        <w:autoSpaceDE w:val="0"/>
        <w:autoSpaceDN w:val="0"/>
        <w:adjustRightInd w:val="0"/>
        <w:spacing w:after="0" w:line="20" w:lineRule="atLeast"/>
        <w:jc w:val="both"/>
        <w:rPr>
          <w:rFonts w:cstheme="minorHAnsi"/>
        </w:rPr>
      </w:pPr>
      <w:r w:rsidRPr="00AE3584">
        <w:rPr>
          <w:rFonts w:cstheme="minorHAnsi"/>
        </w:rPr>
        <w:t>La Regione Emilia Romagna trasferirà alla Regione siciliana l’80% del finanziamento complessivo concesso dall’Unione europea pari a euro 1.618.598,86, secondo il seguente schema:</w:t>
      </w:r>
    </w:p>
    <w:p w:rsidR="00670259" w:rsidRPr="00AE3584" w:rsidRDefault="00670259" w:rsidP="00670259">
      <w:pPr>
        <w:autoSpaceDE w:val="0"/>
        <w:autoSpaceDN w:val="0"/>
        <w:adjustRightInd w:val="0"/>
        <w:spacing w:after="0" w:line="20" w:lineRule="atLeast"/>
        <w:jc w:val="both"/>
        <w:rPr>
          <w:rFonts w:cstheme="minorHAnsi"/>
        </w:rPr>
      </w:pPr>
      <w:r w:rsidRPr="00AE3584">
        <w:rPr>
          <w:rFonts w:cstheme="minorHAnsi"/>
        </w:rPr>
        <w:t>• 40% alla sottoscrizione degli accordi di partenariato corrispondente a € 647.439,54;</w:t>
      </w:r>
    </w:p>
    <w:p w:rsidR="00670259" w:rsidRPr="00AE3584" w:rsidRDefault="00670259" w:rsidP="00670259">
      <w:pPr>
        <w:autoSpaceDE w:val="0"/>
        <w:autoSpaceDN w:val="0"/>
        <w:adjustRightInd w:val="0"/>
        <w:spacing w:after="0" w:line="20" w:lineRule="atLeast"/>
        <w:jc w:val="both"/>
        <w:rPr>
          <w:rFonts w:cstheme="minorHAnsi"/>
        </w:rPr>
      </w:pPr>
      <w:r w:rsidRPr="00AE3584">
        <w:rPr>
          <w:rFonts w:cstheme="minorHAnsi"/>
        </w:rPr>
        <w:t>• 40% alla scadenza del primo semestre di attività, previa presentazione di apposita relazione economica alla Azienda USL di Modena, dalla quale si evincano spese, debitamente certificate tramite audit esterno, almeno pari alle risorse già introitate corrispondente a € 647.439,54;</w:t>
      </w:r>
    </w:p>
    <w:p w:rsidR="00670259" w:rsidRPr="00AE3584" w:rsidRDefault="00670259" w:rsidP="00670259">
      <w:pPr>
        <w:autoSpaceDE w:val="0"/>
        <w:autoSpaceDN w:val="0"/>
        <w:adjustRightInd w:val="0"/>
        <w:spacing w:after="0" w:line="20" w:lineRule="atLeast"/>
        <w:jc w:val="both"/>
        <w:rPr>
          <w:rFonts w:cstheme="minorHAnsi"/>
        </w:rPr>
      </w:pPr>
      <w:r w:rsidRPr="00AE3584">
        <w:rPr>
          <w:rFonts w:cstheme="minorHAnsi"/>
        </w:rPr>
        <w:t>• 20% alla scadenza del primo semestre di attività, previa presentazione di apposita relazione economica alla Azienda USL di Modena, dalla quale si evincano spese, debitamente certificate tramite audit esterno, almeno pari alle risorse già introitate corrispondente a € 323.719,78.</w:t>
      </w:r>
    </w:p>
    <w:p w:rsidR="00670259" w:rsidRPr="00AE3584" w:rsidRDefault="00670259" w:rsidP="00670259">
      <w:pPr>
        <w:autoSpaceDE w:val="0"/>
        <w:autoSpaceDN w:val="0"/>
        <w:adjustRightInd w:val="0"/>
        <w:spacing w:after="0" w:line="20" w:lineRule="atLeast"/>
        <w:jc w:val="both"/>
        <w:rPr>
          <w:rFonts w:cstheme="minorHAnsi"/>
        </w:rPr>
      </w:pPr>
      <w:r w:rsidRPr="00AE3584">
        <w:rPr>
          <w:rFonts w:cstheme="minorHAnsi"/>
        </w:rPr>
        <w:t>Art. 7</w:t>
      </w:r>
    </w:p>
    <w:p w:rsidR="00670259" w:rsidRPr="00AE3584" w:rsidRDefault="00670259" w:rsidP="00670259">
      <w:pPr>
        <w:autoSpaceDE w:val="0"/>
        <w:autoSpaceDN w:val="0"/>
        <w:adjustRightInd w:val="0"/>
        <w:spacing w:after="0" w:line="20" w:lineRule="atLeast"/>
        <w:jc w:val="both"/>
        <w:rPr>
          <w:rFonts w:cstheme="minorHAnsi"/>
        </w:rPr>
      </w:pPr>
      <w:r w:rsidRPr="00AE3584">
        <w:rPr>
          <w:rFonts w:cstheme="minorHAnsi"/>
        </w:rPr>
        <w:t>La Regione Emilia Romagna trasferirà alla Regione siciliana la quota residua (20%) pari a € 404.649,71 a conclusione delle attività.</w:t>
      </w:r>
    </w:p>
    <w:p w:rsidR="00670259" w:rsidRPr="00AE3584" w:rsidRDefault="00670259" w:rsidP="00670259">
      <w:pPr>
        <w:autoSpaceDE w:val="0"/>
        <w:autoSpaceDN w:val="0"/>
        <w:adjustRightInd w:val="0"/>
        <w:spacing w:after="0" w:line="20" w:lineRule="atLeast"/>
        <w:jc w:val="both"/>
        <w:rPr>
          <w:rFonts w:cstheme="minorHAnsi"/>
        </w:rPr>
      </w:pPr>
      <w:r w:rsidRPr="00AE3584">
        <w:rPr>
          <w:rFonts w:cstheme="minorHAnsi"/>
        </w:rPr>
        <w:t>Art. 8</w:t>
      </w:r>
    </w:p>
    <w:p w:rsidR="00670259" w:rsidRPr="00AE3584" w:rsidRDefault="00670259" w:rsidP="00670259">
      <w:pPr>
        <w:autoSpaceDE w:val="0"/>
        <w:autoSpaceDN w:val="0"/>
        <w:adjustRightInd w:val="0"/>
        <w:spacing w:after="0" w:line="20" w:lineRule="atLeast"/>
        <w:jc w:val="both"/>
        <w:rPr>
          <w:rFonts w:cstheme="minorHAnsi"/>
        </w:rPr>
      </w:pPr>
      <w:r w:rsidRPr="00AE3584">
        <w:rPr>
          <w:rFonts w:cstheme="minorHAnsi"/>
        </w:rPr>
        <w:t>Con successivi provvedimenti, non appena verrà trasferita la somma di € 647.439,54 dalla Regione capofila, nonché le successive risorse erogate a stati di avanzamento dei lavori, come previsto all’art. 5 del presente decreto, previa iscrizione dell’intero finanziamento del progetto sugli istituendi capitoli di entrata e di spesa nel bilancio di previsione della Regione per gli anni 2019-2020 e delle relative operazioni di accertamento e impegno, la superiore somma sarà trasferita all’ASP di Trapani, quale capofila regionale del progetto, la quale provvederà, a sua volta, all’erogazione, in quota parte, alle altre Aziende sanitarie provinciali che hanno aderito al progetto.</w:t>
      </w:r>
    </w:p>
    <w:p w:rsidR="00670259" w:rsidRPr="00AE3584" w:rsidRDefault="00670259" w:rsidP="00670259">
      <w:pPr>
        <w:autoSpaceDE w:val="0"/>
        <w:autoSpaceDN w:val="0"/>
        <w:adjustRightInd w:val="0"/>
        <w:spacing w:after="0" w:line="20" w:lineRule="atLeast"/>
        <w:jc w:val="both"/>
        <w:rPr>
          <w:rFonts w:cstheme="minorHAnsi"/>
        </w:rPr>
      </w:pPr>
      <w:r w:rsidRPr="00AE3584">
        <w:rPr>
          <w:rFonts w:cstheme="minorHAnsi"/>
        </w:rPr>
        <w:t>Art. 9</w:t>
      </w:r>
    </w:p>
    <w:p w:rsidR="00670259" w:rsidRPr="00AE3584" w:rsidRDefault="00670259" w:rsidP="00670259">
      <w:pPr>
        <w:autoSpaceDE w:val="0"/>
        <w:autoSpaceDN w:val="0"/>
        <w:adjustRightInd w:val="0"/>
        <w:spacing w:after="0" w:line="20" w:lineRule="atLeast"/>
        <w:jc w:val="both"/>
        <w:rPr>
          <w:rFonts w:cstheme="minorHAnsi"/>
        </w:rPr>
      </w:pPr>
      <w:r w:rsidRPr="00AE3584">
        <w:rPr>
          <w:rFonts w:cstheme="minorHAnsi"/>
        </w:rPr>
        <w:lastRenderedPageBreak/>
        <w:t>Il dirigente del servizio 8 “Programmazione territoriale ed integrazione socio-sanitaria” del Dipartimento pianificazione strategica è individuato quale soggetto incaricato allo svolgimento delle relazioni istituzionali con le altre Regioni e con il Ministero della salute e per le attività di indirizzo e coordinamento, nonché per le funzioni di un team dedicato alle attività progettuali.</w:t>
      </w:r>
    </w:p>
    <w:p w:rsidR="00670259" w:rsidRPr="00AE3584" w:rsidRDefault="00670259" w:rsidP="00670259">
      <w:pPr>
        <w:autoSpaceDE w:val="0"/>
        <w:autoSpaceDN w:val="0"/>
        <w:adjustRightInd w:val="0"/>
        <w:spacing w:after="0" w:line="20" w:lineRule="atLeast"/>
        <w:jc w:val="both"/>
        <w:rPr>
          <w:rFonts w:cstheme="minorHAnsi"/>
        </w:rPr>
      </w:pPr>
      <w:r w:rsidRPr="00AE3584">
        <w:rPr>
          <w:rFonts w:cstheme="minorHAnsi"/>
        </w:rPr>
        <w:t>Art. 10</w:t>
      </w:r>
    </w:p>
    <w:p w:rsidR="00670259" w:rsidRPr="00AE3584" w:rsidRDefault="00670259" w:rsidP="00670259">
      <w:pPr>
        <w:autoSpaceDE w:val="0"/>
        <w:autoSpaceDN w:val="0"/>
        <w:adjustRightInd w:val="0"/>
        <w:spacing w:after="0" w:line="20" w:lineRule="atLeast"/>
        <w:jc w:val="both"/>
        <w:rPr>
          <w:rFonts w:cstheme="minorHAnsi"/>
        </w:rPr>
      </w:pPr>
      <w:r w:rsidRPr="00AE3584">
        <w:rPr>
          <w:rFonts w:cstheme="minorHAnsi"/>
        </w:rPr>
        <w:t>Il cofinanziamento regionale al progetto è pari ad € 224.805,40, e consiste in prestazioni di ore lavorative degli operatori in orario istituzionale e comprende la quota di ore lavoro valorizzata in € 22.500,00 destinate al team di progetto di questo Dipartimento.</w:t>
      </w:r>
    </w:p>
    <w:p w:rsidR="00670259" w:rsidRPr="00AE3584" w:rsidRDefault="00670259" w:rsidP="00670259">
      <w:pPr>
        <w:autoSpaceDE w:val="0"/>
        <w:autoSpaceDN w:val="0"/>
        <w:adjustRightInd w:val="0"/>
        <w:spacing w:after="0" w:line="20" w:lineRule="atLeast"/>
        <w:jc w:val="both"/>
        <w:rPr>
          <w:rFonts w:cstheme="minorHAnsi"/>
        </w:rPr>
      </w:pPr>
      <w:r w:rsidRPr="00AE3584">
        <w:rPr>
          <w:rFonts w:cstheme="minorHAnsi"/>
        </w:rPr>
        <w:t>Art. 11</w:t>
      </w:r>
    </w:p>
    <w:p w:rsidR="00670259" w:rsidRPr="00AE3584" w:rsidRDefault="00670259" w:rsidP="00670259">
      <w:pPr>
        <w:autoSpaceDE w:val="0"/>
        <w:autoSpaceDN w:val="0"/>
        <w:adjustRightInd w:val="0"/>
        <w:spacing w:after="0" w:line="20" w:lineRule="atLeast"/>
        <w:jc w:val="both"/>
        <w:rPr>
          <w:rFonts w:cstheme="minorHAnsi"/>
        </w:rPr>
      </w:pPr>
      <w:r w:rsidRPr="00AE3584">
        <w:rPr>
          <w:rFonts w:cstheme="minorHAnsi"/>
        </w:rPr>
        <w:t>Dall’adozione del presente provvedimento non derivano nuovi o maggiori oneri a carico del bilancio della Regione.</w:t>
      </w:r>
    </w:p>
    <w:p w:rsidR="00670259" w:rsidRDefault="00670259" w:rsidP="00E47006">
      <w:pPr>
        <w:spacing w:after="0" w:line="20" w:lineRule="atLeast"/>
        <w:jc w:val="both"/>
      </w:pPr>
    </w:p>
    <w:p w:rsidR="00E47006" w:rsidRPr="00670259" w:rsidRDefault="00670259" w:rsidP="00670259">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color w:val="000000"/>
        </w:rPr>
      </w:pPr>
      <w:r w:rsidRPr="00670259">
        <w:rPr>
          <w:rFonts w:cstheme="minorHAnsi"/>
          <w:b/>
          <w:color w:val="000000"/>
        </w:rPr>
        <w:t>SANITÀ</w:t>
      </w:r>
    </w:p>
    <w:p w:rsidR="00670259" w:rsidRDefault="00670259" w:rsidP="00DB75E8">
      <w:pPr>
        <w:autoSpaceDE w:val="0"/>
        <w:autoSpaceDN w:val="0"/>
        <w:adjustRightInd w:val="0"/>
        <w:spacing w:after="0" w:line="20" w:lineRule="atLeast"/>
        <w:jc w:val="both"/>
        <w:rPr>
          <w:rFonts w:cstheme="minorHAnsi"/>
          <w:color w:val="000000"/>
        </w:rPr>
      </w:pPr>
    </w:p>
    <w:p w:rsidR="00B66976" w:rsidRPr="006B0B81" w:rsidRDefault="00B66976" w:rsidP="00B66976">
      <w:pPr>
        <w:spacing w:after="0" w:line="20" w:lineRule="atLeast"/>
        <w:jc w:val="both"/>
        <w:rPr>
          <w:rFonts w:cstheme="minorHAnsi"/>
        </w:rPr>
      </w:pPr>
      <w:r w:rsidRPr="00A8290E">
        <w:rPr>
          <w:rFonts w:cstheme="minorHAnsi"/>
          <w:b/>
        </w:rPr>
        <w:t xml:space="preserve">DECRETO 25 luglio </w:t>
      </w:r>
      <w:proofErr w:type="gramStart"/>
      <w:r w:rsidRPr="00A8290E">
        <w:rPr>
          <w:rFonts w:cstheme="minorHAnsi"/>
          <w:b/>
        </w:rPr>
        <w:t>2019</w:t>
      </w:r>
      <w:r>
        <w:rPr>
          <w:rFonts w:cstheme="minorHAnsi"/>
        </w:rPr>
        <w:t xml:space="preserve">, </w:t>
      </w:r>
      <w:r w:rsidRPr="006B0B81">
        <w:rPr>
          <w:rFonts w:cstheme="minorHAnsi"/>
        </w:rPr>
        <w:t xml:space="preserve"> Aggiornamento</w:t>
      </w:r>
      <w:proofErr w:type="gramEnd"/>
      <w:r w:rsidRPr="006B0B81">
        <w:rPr>
          <w:rFonts w:cstheme="minorHAnsi"/>
        </w:rPr>
        <w:t xml:space="preserve"> del Prontuario terapeutico ospedaliero - territoriale della Regione siciliana</w:t>
      </w:r>
      <w:r>
        <w:rPr>
          <w:rFonts w:cstheme="minorHAnsi"/>
        </w:rPr>
        <w:t>. (</w:t>
      </w:r>
      <w:proofErr w:type="gramStart"/>
      <w:r>
        <w:rPr>
          <w:rFonts w:cstheme="minorHAnsi"/>
        </w:rPr>
        <w:t>GURS  n.</w:t>
      </w:r>
      <w:proofErr w:type="gramEnd"/>
      <w:r>
        <w:rPr>
          <w:rFonts w:cstheme="minorHAnsi"/>
        </w:rPr>
        <w:t xml:space="preserve"> 36 del 2.8.19)</w:t>
      </w:r>
    </w:p>
    <w:p w:rsidR="00B66976" w:rsidRDefault="00B66976" w:rsidP="00B66976">
      <w:pPr>
        <w:spacing w:after="0" w:line="20" w:lineRule="atLeast"/>
        <w:jc w:val="both"/>
        <w:rPr>
          <w:rFonts w:cstheme="minorHAnsi"/>
        </w:rPr>
      </w:pPr>
      <w:r>
        <w:rPr>
          <w:rFonts w:cstheme="minorHAnsi"/>
        </w:rPr>
        <w:t xml:space="preserve">Art. 1 </w:t>
      </w:r>
    </w:p>
    <w:p w:rsidR="00B66976" w:rsidRDefault="00B66976" w:rsidP="00B66976">
      <w:pPr>
        <w:spacing w:after="0" w:line="20" w:lineRule="atLeast"/>
        <w:jc w:val="both"/>
        <w:rPr>
          <w:rFonts w:cstheme="minorHAnsi"/>
        </w:rPr>
      </w:pPr>
      <w:r>
        <w:rPr>
          <w:rFonts w:cstheme="minorHAnsi"/>
        </w:rPr>
        <w:t>I</w:t>
      </w:r>
      <w:r w:rsidRPr="006B0B81">
        <w:rPr>
          <w:rFonts w:cstheme="minorHAnsi"/>
        </w:rPr>
        <w:t xml:space="preserve">l Prontuario terapeutico ospedaliero/territoriale della Regione siciliana (PTORS) è aggiornato come da allegato al presente decreto, di cui costituisce parte integrante (Allegato 1). </w:t>
      </w:r>
    </w:p>
    <w:p w:rsidR="00B66976" w:rsidRDefault="00B66976" w:rsidP="00B66976">
      <w:pPr>
        <w:spacing w:after="0" w:line="20" w:lineRule="atLeast"/>
        <w:jc w:val="both"/>
        <w:rPr>
          <w:rFonts w:cstheme="minorHAnsi"/>
        </w:rPr>
      </w:pPr>
      <w:r w:rsidRPr="006B0B81">
        <w:rPr>
          <w:rFonts w:cstheme="minorHAnsi"/>
        </w:rPr>
        <w:t xml:space="preserve">Art. 2 </w:t>
      </w:r>
    </w:p>
    <w:p w:rsidR="00B66976" w:rsidRDefault="00B66976" w:rsidP="00B66976">
      <w:pPr>
        <w:spacing w:after="0" w:line="20" w:lineRule="atLeast"/>
        <w:jc w:val="both"/>
        <w:rPr>
          <w:rFonts w:cstheme="minorHAnsi"/>
        </w:rPr>
      </w:pPr>
      <w:r w:rsidRPr="006B0B81">
        <w:rPr>
          <w:rFonts w:cstheme="minorHAnsi"/>
        </w:rPr>
        <w:t xml:space="preserve">Il presente PTORS è da applicarsi in modo vincolante dalle strutture sanitarie della Regione per le forniture di prodotti farmaceutici. I principi attivi in esso contenuti devono essere utilizzati nel rispetto delle indicazioni autorizzate, delle limitazioni previste e, laddove previsto da specifici provvedimenti regionali o espressamente riconosciuto nel presente decreto, unicamente da parte dei Centri individuati. La compilazione dei registri di monitoraggio AIFA è condizione indispensabile ai fini della prescrizione a carico del SSR. Il mancato espletamento delle procedure di condivisione del rischio costituisce danno erariale. I clinici non possono pertanto prescrivere e/o impiegare farmaci non inclusi nel PTORS, ad eccezione delle condizioni di cui all’articolo 3. </w:t>
      </w:r>
    </w:p>
    <w:p w:rsidR="00B66976" w:rsidRDefault="00B66976" w:rsidP="00B66976">
      <w:pPr>
        <w:spacing w:after="0" w:line="20" w:lineRule="atLeast"/>
        <w:jc w:val="both"/>
        <w:rPr>
          <w:rFonts w:cstheme="minorHAnsi"/>
        </w:rPr>
      </w:pPr>
      <w:r w:rsidRPr="006B0B81">
        <w:rPr>
          <w:rFonts w:cstheme="minorHAnsi"/>
        </w:rPr>
        <w:t>Art. 3</w:t>
      </w:r>
    </w:p>
    <w:p w:rsidR="00B66976" w:rsidRDefault="00B66976" w:rsidP="00470750">
      <w:pPr>
        <w:spacing w:after="0" w:line="20" w:lineRule="atLeast"/>
        <w:jc w:val="both"/>
        <w:rPr>
          <w:rFonts w:cstheme="minorHAnsi"/>
        </w:rPr>
      </w:pPr>
      <w:r w:rsidRPr="006B0B81">
        <w:rPr>
          <w:rFonts w:cstheme="minorHAnsi"/>
        </w:rPr>
        <w:t xml:space="preserve">La prescrizione, e l’eventuale impiego, di un farmaco non ancora incluso in PTORS deve rappresentare condizione eccezionale e limitata ai casi in cui non esiste una valida alternativa terapeutica rimborsabile dal SSN. In tal caso, la richiesta nominale per il singolo paziente, firmata dal responsabile dell’Unità operativa o, in sua assenza, dal dirigente medico che ne fa le veci, con le generalità del paziente, il numero di cartella clinica e la motivazione del giudizio di indispensabilità e di insostituibilità, dovrà essere inviata alla direzione sanitaria per l’eventuale autorizzazione. I costi di tali trattamenti non potranno essere posti in compensazione economica. </w:t>
      </w:r>
    </w:p>
    <w:p w:rsidR="00B66976" w:rsidRDefault="00B66976" w:rsidP="00670259">
      <w:pPr>
        <w:autoSpaceDE w:val="0"/>
        <w:autoSpaceDN w:val="0"/>
        <w:adjustRightInd w:val="0"/>
        <w:spacing w:after="0" w:line="20" w:lineRule="atLeast"/>
        <w:jc w:val="both"/>
        <w:rPr>
          <w:rFonts w:cstheme="minorHAnsi"/>
          <w:b/>
        </w:rPr>
      </w:pPr>
    </w:p>
    <w:p w:rsidR="00670259" w:rsidRPr="008D7396" w:rsidRDefault="00670259" w:rsidP="00670259">
      <w:pPr>
        <w:autoSpaceDE w:val="0"/>
        <w:autoSpaceDN w:val="0"/>
        <w:adjustRightInd w:val="0"/>
        <w:spacing w:after="0" w:line="20" w:lineRule="atLeast"/>
        <w:jc w:val="both"/>
        <w:rPr>
          <w:rFonts w:cstheme="minorHAnsi"/>
          <w:bCs/>
        </w:rPr>
      </w:pPr>
      <w:r w:rsidRPr="008D7396">
        <w:rPr>
          <w:rFonts w:cstheme="minorHAnsi"/>
          <w:b/>
        </w:rPr>
        <w:t>DECRETO 9 luglio 2019,</w:t>
      </w:r>
      <w:r>
        <w:rPr>
          <w:rFonts w:cstheme="minorHAnsi"/>
        </w:rPr>
        <w:t xml:space="preserve"> </w:t>
      </w:r>
      <w:r w:rsidRPr="008D7396">
        <w:rPr>
          <w:rFonts w:cstheme="minorHAnsi"/>
          <w:bCs/>
        </w:rPr>
        <w:t xml:space="preserve">Recepimento del D.M. salute 10 agosto 2018, pubblicato nella </w:t>
      </w:r>
      <w:r w:rsidRPr="008D7396">
        <w:rPr>
          <w:rFonts w:cstheme="minorHAnsi"/>
          <w:bCs/>
          <w:i/>
          <w:iCs/>
        </w:rPr>
        <w:t xml:space="preserve">Gazzetta Ufficiale </w:t>
      </w:r>
      <w:r w:rsidRPr="008D7396">
        <w:rPr>
          <w:rFonts w:cstheme="minorHAnsi"/>
          <w:bCs/>
        </w:rPr>
        <w:t>della Repubblica italiana n. 199 del 28 agosto 2018, con il quale sono stati definiti i nuovi limiti massimi di spesa per l’erogazione dei prodotti senza glutine ai celiaci, in aggiornamento del precedente D.M. 4 maggio 2006. (GURS n. 36 del 2.8.19)</w:t>
      </w:r>
    </w:p>
    <w:p w:rsidR="00670259" w:rsidRPr="008D7396" w:rsidRDefault="00670259" w:rsidP="00670259">
      <w:pPr>
        <w:autoSpaceDE w:val="0"/>
        <w:autoSpaceDN w:val="0"/>
        <w:adjustRightInd w:val="0"/>
        <w:spacing w:after="0" w:line="20" w:lineRule="atLeast"/>
        <w:jc w:val="both"/>
        <w:rPr>
          <w:rFonts w:cstheme="minorHAnsi"/>
          <w:color w:val="000000"/>
        </w:rPr>
      </w:pPr>
      <w:r w:rsidRPr="008D7396">
        <w:rPr>
          <w:rFonts w:cstheme="minorHAnsi"/>
          <w:color w:val="000000"/>
        </w:rPr>
        <w:t>Art. 1</w:t>
      </w:r>
    </w:p>
    <w:p w:rsidR="00670259" w:rsidRPr="008D7396" w:rsidRDefault="00670259" w:rsidP="00670259">
      <w:pPr>
        <w:autoSpaceDE w:val="0"/>
        <w:autoSpaceDN w:val="0"/>
        <w:adjustRightInd w:val="0"/>
        <w:spacing w:after="0" w:line="20" w:lineRule="atLeast"/>
        <w:jc w:val="both"/>
        <w:rPr>
          <w:rFonts w:cstheme="minorHAnsi"/>
          <w:color w:val="000000"/>
        </w:rPr>
      </w:pPr>
      <w:r w:rsidRPr="008D7396">
        <w:rPr>
          <w:rFonts w:cstheme="minorHAnsi"/>
          <w:color w:val="000000"/>
        </w:rPr>
        <w:t>Recepire formalmente il decreto 10 agosto 2018 -Limiti massimi di spesa per l’erogazione dei prodotti senza glutine, di cui all’articolo 4, commi 1 e 2, della legge</w:t>
      </w:r>
      <w:r w:rsidR="00470750">
        <w:rPr>
          <w:rFonts w:cstheme="minorHAnsi"/>
          <w:color w:val="000000"/>
        </w:rPr>
        <w:t xml:space="preserve"> </w:t>
      </w:r>
      <w:r w:rsidRPr="008D7396">
        <w:rPr>
          <w:rFonts w:cstheme="minorHAnsi"/>
          <w:color w:val="000000"/>
        </w:rPr>
        <w:t xml:space="preserve">4 luglio 2005, n. 123, recante: «Norme per la protezione dei soggetti malati di celiachia», pubblicato nella </w:t>
      </w:r>
      <w:r w:rsidRPr="008D7396">
        <w:rPr>
          <w:rFonts w:cstheme="minorHAnsi"/>
          <w:i/>
          <w:iCs/>
          <w:color w:val="000000"/>
        </w:rPr>
        <w:t xml:space="preserve">Gazzetta Ufficiale </w:t>
      </w:r>
      <w:r w:rsidRPr="008D7396">
        <w:rPr>
          <w:rFonts w:cstheme="minorHAnsi"/>
          <w:color w:val="000000"/>
        </w:rPr>
        <w:t>n. 199 del 28 agosto 2018, adeguando la normativa regionale a quanto sancito nello stesso decreto.</w:t>
      </w:r>
    </w:p>
    <w:p w:rsidR="00670259" w:rsidRPr="008D7396" w:rsidRDefault="00670259" w:rsidP="00670259">
      <w:pPr>
        <w:autoSpaceDE w:val="0"/>
        <w:autoSpaceDN w:val="0"/>
        <w:adjustRightInd w:val="0"/>
        <w:spacing w:after="0" w:line="20" w:lineRule="atLeast"/>
        <w:jc w:val="both"/>
        <w:rPr>
          <w:rFonts w:cstheme="minorHAnsi"/>
          <w:color w:val="000000"/>
        </w:rPr>
      </w:pPr>
      <w:r w:rsidRPr="008D7396">
        <w:rPr>
          <w:rFonts w:cstheme="minorHAnsi"/>
          <w:color w:val="000000"/>
        </w:rPr>
        <w:t>Art. 2</w:t>
      </w:r>
    </w:p>
    <w:p w:rsidR="00670259" w:rsidRDefault="00670259" w:rsidP="00670259">
      <w:pPr>
        <w:autoSpaceDE w:val="0"/>
        <w:autoSpaceDN w:val="0"/>
        <w:adjustRightInd w:val="0"/>
        <w:spacing w:after="0" w:line="20" w:lineRule="atLeast"/>
        <w:jc w:val="both"/>
        <w:rPr>
          <w:rFonts w:cstheme="minorHAnsi"/>
          <w:color w:val="000000"/>
        </w:rPr>
      </w:pPr>
      <w:r w:rsidRPr="008D7396">
        <w:rPr>
          <w:rFonts w:cstheme="minorHAnsi"/>
          <w:color w:val="000000"/>
        </w:rPr>
        <w:t>Adottare i nuovi limiti massimi di spesa di cui all’allegato 1 del D.M. 10 agosto 2018, di seguito riportati, per l’erogazione a carico del Servizio sanitario nazionale degli alimenti con la dicitura «senza glutine, specificatamente formulati per celiaci» o «senza glutine, specificatamente formulati per persone intolleranti al glutine» per persone affette da morbo celiaco, compresa la variante clinica della dermatite erpetiforme, ai sensi dell’art. 4 della legge 4 luglio 2005, n. 123.</w:t>
      </w:r>
    </w:p>
    <w:p w:rsidR="00470750" w:rsidRDefault="00470750" w:rsidP="00670259">
      <w:pPr>
        <w:autoSpaceDE w:val="0"/>
        <w:autoSpaceDN w:val="0"/>
        <w:adjustRightInd w:val="0"/>
        <w:spacing w:after="0" w:line="20" w:lineRule="atLeast"/>
        <w:jc w:val="both"/>
        <w:rPr>
          <w:rFonts w:cstheme="minorHAnsi"/>
          <w:color w:val="000000"/>
        </w:rPr>
      </w:pPr>
    </w:p>
    <w:p w:rsidR="00772A13" w:rsidRDefault="00470750" w:rsidP="00772A13">
      <w:pPr>
        <w:autoSpaceDE w:val="0"/>
        <w:autoSpaceDN w:val="0"/>
        <w:adjustRightInd w:val="0"/>
        <w:spacing w:after="0" w:line="20" w:lineRule="atLeast"/>
        <w:jc w:val="both"/>
        <w:rPr>
          <w:rFonts w:cstheme="minorHAnsi"/>
          <w:bCs/>
        </w:rPr>
      </w:pPr>
      <w:r w:rsidRPr="00A8290E">
        <w:rPr>
          <w:rFonts w:cstheme="minorHAnsi"/>
          <w:b/>
        </w:rPr>
        <w:t>DECRETO 16 luglio 2019</w:t>
      </w:r>
      <w:r w:rsidRPr="006B0B81">
        <w:rPr>
          <w:rFonts w:cstheme="minorHAnsi"/>
        </w:rPr>
        <w:t>. Costituzione di un Gruppo di lavoro sull’obesità patologica</w:t>
      </w:r>
      <w:r w:rsidR="00772A13">
        <w:rPr>
          <w:rFonts w:cstheme="minorHAnsi"/>
        </w:rPr>
        <w:t>.</w:t>
      </w:r>
      <w:r w:rsidR="00772A13" w:rsidRPr="00772A13">
        <w:rPr>
          <w:rFonts w:cstheme="minorHAnsi"/>
          <w:bCs/>
        </w:rPr>
        <w:t xml:space="preserve"> </w:t>
      </w:r>
      <w:r w:rsidR="00772A13" w:rsidRPr="008D7396">
        <w:rPr>
          <w:rFonts w:cstheme="minorHAnsi"/>
          <w:bCs/>
        </w:rPr>
        <w:t>(GURS n. 36 del 2.8.19)</w:t>
      </w:r>
    </w:p>
    <w:p w:rsidR="00470750" w:rsidRDefault="00470750" w:rsidP="00470750">
      <w:pPr>
        <w:spacing w:after="0" w:line="20" w:lineRule="atLeast"/>
        <w:jc w:val="both"/>
        <w:rPr>
          <w:rFonts w:cstheme="minorHAnsi"/>
        </w:rPr>
      </w:pPr>
      <w:r w:rsidRPr="006B0B81">
        <w:rPr>
          <w:rFonts w:cstheme="minorHAnsi"/>
        </w:rPr>
        <w:t xml:space="preserve">Art. 1 </w:t>
      </w:r>
    </w:p>
    <w:p w:rsidR="00470750" w:rsidRDefault="00470750" w:rsidP="00470750">
      <w:pPr>
        <w:spacing w:after="0" w:line="20" w:lineRule="atLeast"/>
        <w:jc w:val="both"/>
        <w:rPr>
          <w:rFonts w:cstheme="minorHAnsi"/>
        </w:rPr>
      </w:pPr>
      <w:r w:rsidRPr="006B0B81">
        <w:rPr>
          <w:rFonts w:cstheme="minorHAnsi"/>
        </w:rPr>
        <w:t xml:space="preserve">Per le motivazioni in premessa, è costituito presso l’Assessorato della salute della Regione siciliana il Gruppo di lavoro sull’obesità patologica così composto: Esperti esterni: – prof. Luigi Piazza, presidente della SICOB e direttore della U.O.C. “Chirurgia generale” dell’ARNAS “Garibaldi” di Catania; – prof. Domenico Cucinotta, docente di medicina interna presso l’Università degli studi di Messina; – prof.ssa Lucia Frittita, docente di endocrinologia presso l’Università degli studi di Catania; – dott. Giuseppe Mastrandrea, chirurgo bariatrico presso la Casa di cura “Macchiarella” di Palermo; – prof. Giuseppe Navarra, docente di chirurgia presso l’Università degli studi di Messina; – prof. Giovanni Pantuso, docente di chirurgia presso l’A.O.U. Policlinico “P. Giaccone” di Palermo; – dott.ssa Valentina Scialfa, medico competente presso l’A.R.N.A.S. “Garibaldi” di Catania; – prof. Silvio Buscemi A.O.U. Policlinico “P. Giaccone” di Palermo - segretario regionale S.I.O.; – dr. Daniele Buttitta, medico nutrizionista. Per l’Assessorato della salute: – dirigente responsabile del servizio 4 “Programmazione ospedaliera” - DPS. Il Gruppo di lavoro di cui sopra potrà essere integrato, ove necessario, delle figure professionali operanti nel Sistema sanitario regionale o in altre istituzioni e/o tavoli tecnici già operanti su materie correlate. Lo stesso opererà presso l’Assessorato regionale della salute e le funzioni di supporto organizzativo ed amministrativo saranno assicurate dall’ufficio competente del servizio </w:t>
      </w:r>
      <w:proofErr w:type="gramStart"/>
      <w:r w:rsidRPr="006B0B81">
        <w:rPr>
          <w:rFonts w:cstheme="minorHAnsi"/>
        </w:rPr>
        <w:t>“ Programmazione</w:t>
      </w:r>
      <w:proofErr w:type="gramEnd"/>
      <w:r w:rsidRPr="006B0B81">
        <w:rPr>
          <w:rFonts w:cstheme="minorHAnsi"/>
        </w:rPr>
        <w:t xml:space="preserve"> ospedaliera” del Dipartimento pianificazione strategica. Nessun compenso è dovuto ai componenti, eventuali spese di trasferte necessarie per la partecipazione ai lavori restano a carico dell’amministrazione di appartenenza. </w:t>
      </w:r>
    </w:p>
    <w:p w:rsidR="00470750" w:rsidRDefault="00470750" w:rsidP="00470750">
      <w:pPr>
        <w:spacing w:after="0" w:line="20" w:lineRule="atLeast"/>
        <w:jc w:val="both"/>
        <w:rPr>
          <w:rFonts w:cstheme="minorHAnsi"/>
        </w:rPr>
      </w:pPr>
      <w:r w:rsidRPr="006B0B81">
        <w:rPr>
          <w:rFonts w:cstheme="minorHAnsi"/>
        </w:rPr>
        <w:t xml:space="preserve">Art. 2 </w:t>
      </w:r>
    </w:p>
    <w:p w:rsidR="00470750" w:rsidRDefault="00470750" w:rsidP="00470750">
      <w:pPr>
        <w:spacing w:after="0" w:line="20" w:lineRule="atLeast"/>
        <w:jc w:val="both"/>
        <w:rPr>
          <w:rFonts w:cstheme="minorHAnsi"/>
        </w:rPr>
      </w:pPr>
      <w:r>
        <w:rPr>
          <w:rFonts w:cstheme="minorHAnsi"/>
        </w:rPr>
        <w:t>I</w:t>
      </w:r>
      <w:r w:rsidRPr="006B0B81">
        <w:rPr>
          <w:rFonts w:cstheme="minorHAnsi"/>
        </w:rPr>
        <w:t xml:space="preserve">l Gruppo di lavoro ha il compito di supportare l’Assessorato sugli aspetti di prevenzione e sugli aspetti clinico assistenziali, allo scopo di definire in tutto l’ambito regionale linee di indirizzo coordinate ed omogenee. </w:t>
      </w:r>
    </w:p>
    <w:p w:rsidR="00470750" w:rsidRPr="006B0B81" w:rsidRDefault="00470750" w:rsidP="00470750">
      <w:pPr>
        <w:spacing w:after="0" w:line="20" w:lineRule="atLeast"/>
        <w:jc w:val="both"/>
        <w:rPr>
          <w:rFonts w:cstheme="minorHAnsi"/>
        </w:rPr>
      </w:pPr>
    </w:p>
    <w:p w:rsidR="00470750" w:rsidRPr="006B0B81" w:rsidRDefault="00470750" w:rsidP="00470750">
      <w:pPr>
        <w:spacing w:after="0" w:line="20" w:lineRule="atLeast"/>
        <w:jc w:val="both"/>
        <w:rPr>
          <w:rFonts w:cstheme="minorHAnsi"/>
        </w:rPr>
      </w:pPr>
      <w:r w:rsidRPr="00A8290E">
        <w:rPr>
          <w:rFonts w:cstheme="minorHAnsi"/>
          <w:b/>
        </w:rPr>
        <w:t xml:space="preserve">DECRETO 25 luglio </w:t>
      </w:r>
      <w:proofErr w:type="gramStart"/>
      <w:r w:rsidRPr="00A8290E">
        <w:rPr>
          <w:rFonts w:cstheme="minorHAnsi"/>
          <w:b/>
        </w:rPr>
        <w:t>2019</w:t>
      </w:r>
      <w:r>
        <w:rPr>
          <w:rFonts w:cstheme="minorHAnsi"/>
        </w:rPr>
        <w:t xml:space="preserve">, </w:t>
      </w:r>
      <w:r w:rsidRPr="006B0B81">
        <w:rPr>
          <w:rFonts w:cstheme="minorHAnsi"/>
        </w:rPr>
        <w:t xml:space="preserve"> Aggiornamento</w:t>
      </w:r>
      <w:proofErr w:type="gramEnd"/>
      <w:r w:rsidRPr="006B0B81">
        <w:rPr>
          <w:rFonts w:cstheme="minorHAnsi"/>
        </w:rPr>
        <w:t xml:space="preserve"> del Prontuario terapeutico ospedaliero - territoriale della Regione siciliana</w:t>
      </w:r>
      <w:r>
        <w:rPr>
          <w:rFonts w:cstheme="minorHAnsi"/>
        </w:rPr>
        <w:t>. (</w:t>
      </w:r>
      <w:proofErr w:type="gramStart"/>
      <w:r>
        <w:rPr>
          <w:rFonts w:cstheme="minorHAnsi"/>
        </w:rPr>
        <w:t>GURS  n.</w:t>
      </w:r>
      <w:proofErr w:type="gramEnd"/>
      <w:r>
        <w:rPr>
          <w:rFonts w:cstheme="minorHAnsi"/>
        </w:rPr>
        <w:t xml:space="preserve"> 36 del 2.8.19)</w:t>
      </w:r>
    </w:p>
    <w:p w:rsidR="00470750" w:rsidRDefault="00470750" w:rsidP="00470750">
      <w:pPr>
        <w:spacing w:after="0" w:line="20" w:lineRule="atLeast"/>
        <w:jc w:val="both"/>
        <w:rPr>
          <w:rFonts w:cstheme="minorHAnsi"/>
        </w:rPr>
      </w:pPr>
      <w:r>
        <w:rPr>
          <w:rFonts w:cstheme="minorHAnsi"/>
        </w:rPr>
        <w:t xml:space="preserve">Art. 1 </w:t>
      </w:r>
    </w:p>
    <w:p w:rsidR="00470750" w:rsidRDefault="00470750" w:rsidP="00470750">
      <w:pPr>
        <w:spacing w:after="0" w:line="20" w:lineRule="atLeast"/>
        <w:jc w:val="both"/>
        <w:rPr>
          <w:rFonts w:cstheme="minorHAnsi"/>
        </w:rPr>
      </w:pPr>
      <w:r>
        <w:rPr>
          <w:rFonts w:cstheme="minorHAnsi"/>
        </w:rPr>
        <w:t>I</w:t>
      </w:r>
      <w:r w:rsidRPr="006B0B81">
        <w:rPr>
          <w:rFonts w:cstheme="minorHAnsi"/>
        </w:rPr>
        <w:t xml:space="preserve">l Prontuario terapeutico ospedaliero/territoriale della Regione siciliana (PTORS) è aggiornato come da allegato al presente decreto, di cui costituisce parte integrante (Allegato 1). Art. 2 Il presente PTORS è da applicarsi in modo vincolante dalle strutture sanitarie della Regione per le forniture di prodotti farmaceutici. I principi attivi in esso contenuti devono essere utilizzati nel rispetto delle indicazioni autorizzate, delle limitazioni previste e, laddove previsto da specifici provvedimenti regionali o espressamente riconosciuto nel presente decreto, unicamente da parte dei Centri individuati. La compilazione dei registri di monitoraggio AIFA è condizione indispensabile ai fini della prescrizione a carico del SSR. Il mancato espletamento delle procedure di condivisione del rischio costituisce danno erariale. I clinici non possono pertanto prescrivere e/o impiegare farmaci non inclusi nel PTORS, ad eccezione delle condizioni di cui all’articolo 3. </w:t>
      </w:r>
    </w:p>
    <w:p w:rsidR="00470750" w:rsidRDefault="00470750" w:rsidP="00470750">
      <w:pPr>
        <w:spacing w:after="0" w:line="20" w:lineRule="atLeast"/>
        <w:jc w:val="both"/>
        <w:rPr>
          <w:rFonts w:cstheme="minorHAnsi"/>
        </w:rPr>
      </w:pPr>
      <w:r w:rsidRPr="006B0B81">
        <w:rPr>
          <w:rFonts w:cstheme="minorHAnsi"/>
        </w:rPr>
        <w:t xml:space="preserve">Art. 3 La prescrizione, e l’eventuale impiego, di un farmaco non ancora incluso in PTORS deve rappresentare condizione eccezionale e limitata ai casi in cui non esiste una valida alternativa terapeutica rimborsabile dal SSN. In tal caso, la richiesta nominale per il singolo paziente, firmata dal responsabile dell’Unità operativa o, in sua assenza, dal dirigente medico che ne fa le veci, con le generalità del paziente, il numero di cartella clinica e la motivazione del giudizio di indispensabilità e di insostituibilità, dovrà essere inviata alla direzione sanitaria per l’eventuale autorizzazione. I costi di tali trattamenti non potranno essere posti in compensazione economica. </w:t>
      </w:r>
    </w:p>
    <w:p w:rsidR="00470750" w:rsidRDefault="00470750" w:rsidP="00470750">
      <w:pPr>
        <w:spacing w:after="0" w:line="20" w:lineRule="atLeast"/>
        <w:jc w:val="both"/>
        <w:rPr>
          <w:rFonts w:cstheme="minorHAnsi"/>
        </w:rPr>
      </w:pPr>
    </w:p>
    <w:p w:rsidR="00470750" w:rsidRDefault="00470750" w:rsidP="00470750">
      <w:pPr>
        <w:spacing w:after="0" w:line="20" w:lineRule="atLeast"/>
        <w:jc w:val="both"/>
        <w:rPr>
          <w:rFonts w:cstheme="minorHAnsi"/>
        </w:rPr>
      </w:pPr>
      <w:r w:rsidRPr="00A8290E">
        <w:rPr>
          <w:rFonts w:cstheme="minorHAnsi"/>
          <w:b/>
        </w:rPr>
        <w:t>DECRETO 29 luglio 2019.</w:t>
      </w:r>
      <w:r w:rsidRPr="006B0B81">
        <w:rPr>
          <w:rFonts w:cstheme="minorHAnsi"/>
        </w:rPr>
        <w:t xml:space="preserve"> Soglie prescrittive per il triennio 2019-2021. </w:t>
      </w:r>
    </w:p>
    <w:p w:rsidR="00470750" w:rsidRDefault="00470750" w:rsidP="00470750">
      <w:pPr>
        <w:spacing w:after="0" w:line="20" w:lineRule="atLeast"/>
        <w:jc w:val="both"/>
        <w:rPr>
          <w:rFonts w:cstheme="minorHAnsi"/>
        </w:rPr>
      </w:pPr>
      <w:r w:rsidRPr="006B0B81">
        <w:rPr>
          <w:rFonts w:cstheme="minorHAnsi"/>
        </w:rPr>
        <w:t xml:space="preserve">Art. 1 </w:t>
      </w:r>
    </w:p>
    <w:p w:rsidR="00470750" w:rsidRDefault="00470750" w:rsidP="00470750">
      <w:pPr>
        <w:spacing w:after="0" w:line="20" w:lineRule="atLeast"/>
        <w:jc w:val="both"/>
        <w:rPr>
          <w:rFonts w:cstheme="minorHAnsi"/>
        </w:rPr>
      </w:pPr>
      <w:r w:rsidRPr="006B0B81">
        <w:rPr>
          <w:rFonts w:cstheme="minorHAnsi"/>
        </w:rPr>
        <w:t>Per le motivazioni di cui in premessa, le AA.SS.PP. devono tendere ai parametri di riferimento indicati nelle tabelle di cui all’allegato A al presente decreto, che ne costituisce parte integrante, in termini di spesa massima da sostenere per ciascuna delle seguenti categorie: A02 – Farmaci per disturbi correlati all’acidità, A10 – Farmaci usati nel diabete, C09 – Sostanze ad azione sul sistema renina-angiotensina, C10 – Sostanze modificatrici dei lipidi, G04 – Urologici, J01 – Antibatterici per uso sistemico, J02 – Antimicotici per uso sistemico, M01 – Farmaci antinfiammatori ed antireumatici, M05 – Farmaci per il trattame</w:t>
      </w:r>
      <w:r>
        <w:rPr>
          <w:rFonts w:cstheme="minorHAnsi"/>
        </w:rPr>
        <w:t xml:space="preserve">nto delle malattie delle ossa. </w:t>
      </w:r>
    </w:p>
    <w:p w:rsidR="00470750" w:rsidRDefault="00470750" w:rsidP="00470750">
      <w:pPr>
        <w:spacing w:after="0" w:line="20" w:lineRule="atLeast"/>
        <w:jc w:val="both"/>
        <w:rPr>
          <w:rFonts w:cstheme="minorHAnsi"/>
        </w:rPr>
      </w:pPr>
      <w:r w:rsidRPr="006B0B81">
        <w:rPr>
          <w:rFonts w:cstheme="minorHAnsi"/>
        </w:rPr>
        <w:lastRenderedPageBreak/>
        <w:t xml:space="preserve">Art. 2 </w:t>
      </w:r>
    </w:p>
    <w:p w:rsidR="00470750" w:rsidRDefault="00470750" w:rsidP="00470750">
      <w:pPr>
        <w:spacing w:after="0" w:line="20" w:lineRule="atLeast"/>
        <w:jc w:val="both"/>
        <w:rPr>
          <w:rFonts w:cstheme="minorHAnsi"/>
        </w:rPr>
      </w:pPr>
      <w:r w:rsidRPr="006B0B81">
        <w:rPr>
          <w:rFonts w:cstheme="minorHAnsi"/>
        </w:rPr>
        <w:t xml:space="preserve">Adempimenti a carico delle Aziende sanitarie provinciali I direttori generali delle AA.SS.PP. devono provvedere a: </w:t>
      </w:r>
    </w:p>
    <w:p w:rsidR="00470750" w:rsidRDefault="00470750" w:rsidP="00470750">
      <w:pPr>
        <w:spacing w:after="0" w:line="20" w:lineRule="atLeast"/>
        <w:jc w:val="both"/>
        <w:rPr>
          <w:rFonts w:cstheme="minorHAnsi"/>
        </w:rPr>
      </w:pPr>
      <w:r w:rsidRPr="006B0B81">
        <w:rPr>
          <w:rFonts w:cstheme="minorHAnsi"/>
        </w:rPr>
        <w:t xml:space="preserve">2.1) individuare, attraverso il supporto del coordinatore dell’area territoriale, del direttore delle cure primarie, del responsabile del servizio farmaceutico e dei referenti farmacisti e della medicina di base per l’appropriatezza prescrittiva, e sentiti i comitati aziendali di medicina generale, i Comitati aziendali di pediatria e i Comitati consultivi zonali per la specialistica ambulatoriale, specifici obiettivi per i singoli medici prescrittori, ed eventuali sistemi da attivare in caso di superamento degli stessi, affinché a livello provinciale vengano raggiunti i valori previsti di cui all’Allegato A; </w:t>
      </w:r>
    </w:p>
    <w:p w:rsidR="00470750" w:rsidRDefault="00470750" w:rsidP="00470750">
      <w:pPr>
        <w:spacing w:after="0" w:line="20" w:lineRule="atLeast"/>
        <w:jc w:val="both"/>
        <w:rPr>
          <w:rFonts w:cstheme="minorHAnsi"/>
        </w:rPr>
      </w:pPr>
      <w:r w:rsidRPr="006B0B81">
        <w:rPr>
          <w:rFonts w:cstheme="minorHAnsi"/>
        </w:rPr>
        <w:t xml:space="preserve">2.2) trasmettere a questo Assessorato specifica relazione contenente le risultanze dei lavori prodotti per l’individuazione di quanto previsto al punto 2.1); </w:t>
      </w:r>
    </w:p>
    <w:p w:rsidR="00470750" w:rsidRPr="006B0B81" w:rsidRDefault="00470750" w:rsidP="00470750">
      <w:pPr>
        <w:spacing w:after="0" w:line="20" w:lineRule="atLeast"/>
        <w:jc w:val="both"/>
        <w:rPr>
          <w:rFonts w:cstheme="minorHAnsi"/>
        </w:rPr>
      </w:pPr>
      <w:r w:rsidRPr="006B0B81">
        <w:rPr>
          <w:rFonts w:cstheme="minorHAnsi"/>
        </w:rPr>
        <w:t>2.3) rafforzare il controllo delle prescrizioni di tali medicinali secondo le indicazioni riportate nelle relative schede tecniche ed eventuali limitazioni previste dalla nota AIFA e/o da provvedimenti nazionali e regionali; 2.4) effettuare mensilmente la verifica del rispetto dei parametri di cui all’allegato A del presente decreto; 2.5) trasmettere mensilmente a ciascun medico prescrittore apposito report sulle categorie sopra citate ripor</w:t>
      </w:r>
    </w:p>
    <w:p w:rsidR="00470750" w:rsidRDefault="00470750" w:rsidP="00470750">
      <w:pPr>
        <w:spacing w:after="0" w:line="20" w:lineRule="atLeast"/>
        <w:jc w:val="both"/>
        <w:rPr>
          <w:rFonts w:cstheme="minorHAnsi"/>
        </w:rPr>
      </w:pPr>
      <w:proofErr w:type="gramStart"/>
      <w:r w:rsidRPr="006B0B81">
        <w:rPr>
          <w:rFonts w:cstheme="minorHAnsi"/>
        </w:rPr>
        <w:t>tando</w:t>
      </w:r>
      <w:proofErr w:type="gramEnd"/>
      <w:r w:rsidRPr="006B0B81">
        <w:rPr>
          <w:rFonts w:cstheme="minorHAnsi"/>
        </w:rPr>
        <w:t xml:space="preserve"> le percentuali di scostamento dei consumi generati dalle proprie prescrizioni rispetto ai parametri individuati, di cui al punto 2.1 del presente decreto ed attivare i sistemi previsti in caso di superamento degli obiettivi assegnati. </w:t>
      </w:r>
    </w:p>
    <w:p w:rsidR="00470750" w:rsidRDefault="00470750" w:rsidP="00470750">
      <w:pPr>
        <w:spacing w:after="0" w:line="20" w:lineRule="atLeast"/>
        <w:jc w:val="both"/>
        <w:rPr>
          <w:rFonts w:cstheme="minorHAnsi"/>
        </w:rPr>
      </w:pPr>
      <w:r w:rsidRPr="006B0B81">
        <w:rPr>
          <w:rFonts w:cstheme="minorHAnsi"/>
        </w:rPr>
        <w:t xml:space="preserve">Art. 3 </w:t>
      </w:r>
    </w:p>
    <w:p w:rsidR="00470750" w:rsidRDefault="00470750" w:rsidP="00470750">
      <w:pPr>
        <w:spacing w:after="0" w:line="20" w:lineRule="atLeast"/>
        <w:jc w:val="both"/>
        <w:rPr>
          <w:rFonts w:cstheme="minorHAnsi"/>
        </w:rPr>
      </w:pPr>
      <w:r w:rsidRPr="006B0B81">
        <w:rPr>
          <w:rFonts w:cstheme="minorHAnsi"/>
        </w:rPr>
        <w:t xml:space="preserve">Le disposizioni del presente decreto saranno oggetto di specifico monitoraggio periodico le cui risultanze saranno funzionali alla valutazione dell’attività dei direttori generali. Le disposizioni medesime potranno essere modificate sulla base di eventuali osservazioni rese dai ministeri affiancanti, cui il presente provvedimento verrà trasmesso attraverso il sistema documentale SIVEAS. </w:t>
      </w:r>
    </w:p>
    <w:p w:rsidR="00470750" w:rsidRDefault="00470750" w:rsidP="00470750">
      <w:pPr>
        <w:spacing w:after="0" w:line="20" w:lineRule="atLeast"/>
        <w:jc w:val="both"/>
        <w:rPr>
          <w:rFonts w:cstheme="minorHAnsi"/>
        </w:rPr>
      </w:pPr>
      <w:r w:rsidRPr="006B0B81">
        <w:rPr>
          <w:rFonts w:cstheme="minorHAnsi"/>
        </w:rPr>
        <w:t xml:space="preserve">Art. 4 </w:t>
      </w:r>
    </w:p>
    <w:p w:rsidR="00470750" w:rsidRDefault="00470750" w:rsidP="00470750">
      <w:pPr>
        <w:spacing w:after="0" w:line="20" w:lineRule="atLeast"/>
        <w:jc w:val="both"/>
        <w:rPr>
          <w:rFonts w:cstheme="minorHAnsi"/>
        </w:rPr>
      </w:pPr>
      <w:r w:rsidRPr="006B0B81">
        <w:rPr>
          <w:rFonts w:cstheme="minorHAnsi"/>
        </w:rPr>
        <w:t xml:space="preserve">Le categorie terapeutiche di cui all’articolo 1 potranno essere integrate sulla base dei risultati relativi ai consumi registrati nel periodo 2019-2021. </w:t>
      </w:r>
    </w:p>
    <w:p w:rsidR="00BC4DC2" w:rsidRDefault="00BC4DC2" w:rsidP="00470750">
      <w:pPr>
        <w:spacing w:after="0" w:line="20" w:lineRule="atLeast"/>
        <w:jc w:val="both"/>
        <w:rPr>
          <w:rFonts w:cstheme="minorHAnsi"/>
        </w:rPr>
      </w:pPr>
    </w:p>
    <w:p w:rsidR="00BC4DC2" w:rsidRDefault="00BC4DC2" w:rsidP="00BC4DC2">
      <w:pPr>
        <w:spacing w:after="0" w:line="20" w:lineRule="atLeast"/>
        <w:jc w:val="center"/>
        <w:rPr>
          <w:rFonts w:ascii="Broadway" w:hAnsi="Broadway" w:cstheme="majorHAnsi"/>
          <w:b/>
          <w:sz w:val="40"/>
          <w:szCs w:val="40"/>
        </w:rPr>
      </w:pPr>
      <w:r>
        <w:rPr>
          <w:rFonts w:ascii="Broadway" w:hAnsi="Broadway" w:cstheme="majorHAnsi"/>
          <w:b/>
          <w:sz w:val="40"/>
          <w:szCs w:val="40"/>
        </w:rPr>
        <w:t xml:space="preserve">TOSCANA  </w:t>
      </w:r>
    </w:p>
    <w:p w:rsidR="00BC4DC2" w:rsidRPr="006B0B81" w:rsidRDefault="00BC4DC2" w:rsidP="00470750">
      <w:pPr>
        <w:spacing w:after="0" w:line="20" w:lineRule="atLeast"/>
        <w:jc w:val="both"/>
        <w:rPr>
          <w:rFonts w:cstheme="minorHAnsi"/>
        </w:rPr>
      </w:pPr>
    </w:p>
    <w:p w:rsidR="003C3C6B" w:rsidRPr="006C063A" w:rsidRDefault="003C3C6B" w:rsidP="003C3C6B">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0" w:lineRule="atLeast"/>
        <w:jc w:val="center"/>
        <w:rPr>
          <w:rFonts w:cstheme="minorHAnsi"/>
          <w:b/>
          <w:bCs/>
          <w:color w:val="FFFFFF"/>
        </w:rPr>
      </w:pPr>
      <w:r w:rsidRPr="006C063A">
        <w:rPr>
          <w:rFonts w:cstheme="minorHAnsi"/>
          <w:b/>
          <w:color w:val="000000"/>
        </w:rPr>
        <w:t>AMMINISTRAZIONE REGIONALE</w:t>
      </w:r>
    </w:p>
    <w:p w:rsidR="003C3C6B" w:rsidRPr="001223F4" w:rsidRDefault="003C3C6B" w:rsidP="003C3C6B">
      <w:pPr>
        <w:spacing w:after="0" w:line="20" w:lineRule="atLeast"/>
        <w:jc w:val="both"/>
        <w:rPr>
          <w:rFonts w:ascii="Corbel" w:hAnsi="Corbel" w:cs="DecimaWE-Bold"/>
          <w:b/>
          <w:bCs/>
          <w:color w:val="FFFFFF"/>
          <w:sz w:val="28"/>
          <w:szCs w:val="28"/>
        </w:rPr>
      </w:pPr>
    </w:p>
    <w:p w:rsidR="00625922" w:rsidRPr="001C2B07" w:rsidRDefault="003C3C6B" w:rsidP="00625922">
      <w:pPr>
        <w:pStyle w:val="Pa0"/>
        <w:spacing w:line="20" w:lineRule="atLeast"/>
        <w:jc w:val="both"/>
        <w:rPr>
          <w:rStyle w:val="A0"/>
          <w:rFonts w:asciiTheme="minorHAnsi" w:hAnsiTheme="minorHAnsi" w:cstheme="minorHAnsi"/>
          <w:b w:val="0"/>
          <w:sz w:val="22"/>
          <w:szCs w:val="22"/>
        </w:rPr>
      </w:pPr>
      <w:r w:rsidRPr="006C063A">
        <w:rPr>
          <w:rFonts w:cstheme="minorHAnsi"/>
          <w:b/>
          <w:color w:val="000000"/>
        </w:rPr>
        <w:t xml:space="preserve">RISOLUZIONE 31 luglio 2019, </w:t>
      </w:r>
      <w:r w:rsidRPr="006C063A">
        <w:rPr>
          <w:rFonts w:cstheme="minorHAnsi"/>
          <w:b/>
          <w:bCs/>
          <w:color w:val="000000"/>
        </w:rPr>
        <w:t>n. 268</w:t>
      </w:r>
      <w:r>
        <w:rPr>
          <w:rFonts w:cstheme="minorHAnsi"/>
          <w:b/>
          <w:bCs/>
          <w:color w:val="000000"/>
        </w:rPr>
        <w:t xml:space="preserve">, </w:t>
      </w:r>
      <w:r w:rsidRPr="006C063A">
        <w:rPr>
          <w:rFonts w:cstheme="minorHAnsi"/>
          <w:bCs/>
          <w:color w:val="000000"/>
        </w:rPr>
        <w:t>Risoluzione approvata nella seduta del Consiglio regionale del 31 luglio 2019, collegata alla delibera</w:t>
      </w:r>
      <w:r w:rsidRPr="006C063A">
        <w:rPr>
          <w:rFonts w:cstheme="minorHAnsi"/>
          <w:bCs/>
          <w:color w:val="000000"/>
        </w:rPr>
        <w:softHyphen/>
        <w:t>zione 31 luglio 2019, n. 54 (Documento di economia e finanza regionale “DEFR” 2020. Approvazione). In merito alle procedure inerenti alla realizzazione del “Regionalismo differenziato”, ai sensi dell’articolo 116 della Costituzione</w:t>
      </w:r>
      <w:proofErr w:type="gramStart"/>
      <w:r w:rsidRPr="006C063A">
        <w:rPr>
          <w:rFonts w:cstheme="minorHAnsi"/>
          <w:bCs/>
          <w:color w:val="000000"/>
        </w:rPr>
        <w:t>.</w:t>
      </w:r>
      <w:r w:rsidR="00625922">
        <w:rPr>
          <w:rFonts w:cstheme="minorHAnsi"/>
          <w:bCs/>
          <w:color w:val="000000"/>
        </w:rPr>
        <w:t xml:space="preserve"> </w:t>
      </w:r>
      <w:r w:rsidR="00625922" w:rsidRPr="001C2B07">
        <w:rPr>
          <w:rStyle w:val="A0"/>
          <w:rFonts w:asciiTheme="minorHAnsi" w:hAnsiTheme="minorHAnsi" w:cstheme="minorHAnsi"/>
          <w:b w:val="0"/>
          <w:sz w:val="22"/>
          <w:szCs w:val="22"/>
        </w:rPr>
        <w:t>.</w:t>
      </w:r>
      <w:proofErr w:type="gramEnd"/>
      <w:r w:rsidR="00625922" w:rsidRPr="001C2B07">
        <w:rPr>
          <w:rStyle w:val="A0"/>
          <w:rFonts w:asciiTheme="minorHAnsi" w:hAnsiTheme="minorHAnsi" w:cstheme="minorHAnsi"/>
          <w:sz w:val="22"/>
          <w:szCs w:val="22"/>
        </w:rPr>
        <w:t xml:space="preserve"> </w:t>
      </w:r>
      <w:r w:rsidR="00625922">
        <w:rPr>
          <w:rStyle w:val="A0"/>
          <w:rFonts w:asciiTheme="minorHAnsi" w:hAnsiTheme="minorHAnsi" w:cstheme="minorHAnsi"/>
          <w:sz w:val="22"/>
          <w:szCs w:val="22"/>
        </w:rPr>
        <w:t xml:space="preserve"> (</w:t>
      </w:r>
      <w:r w:rsidR="00625922" w:rsidRPr="001C2B07">
        <w:rPr>
          <w:rStyle w:val="A0"/>
          <w:rFonts w:asciiTheme="minorHAnsi" w:hAnsiTheme="minorHAnsi" w:cstheme="minorHAnsi"/>
          <w:b w:val="0"/>
          <w:sz w:val="22"/>
          <w:szCs w:val="22"/>
        </w:rPr>
        <w:t>BUR n. 39 del 9</w:t>
      </w:r>
      <w:r w:rsidR="00625922">
        <w:rPr>
          <w:rStyle w:val="A0"/>
          <w:rFonts w:asciiTheme="minorHAnsi" w:hAnsiTheme="minorHAnsi" w:cstheme="minorHAnsi"/>
          <w:b w:val="0"/>
          <w:sz w:val="22"/>
          <w:szCs w:val="22"/>
        </w:rPr>
        <w:t>.</w:t>
      </w:r>
      <w:r w:rsidR="00625922" w:rsidRPr="001C2B07">
        <w:rPr>
          <w:rStyle w:val="A0"/>
          <w:rFonts w:asciiTheme="minorHAnsi" w:hAnsiTheme="minorHAnsi" w:cstheme="minorHAnsi"/>
          <w:b w:val="0"/>
          <w:sz w:val="22"/>
          <w:szCs w:val="22"/>
        </w:rPr>
        <w:t>8.19)</w:t>
      </w:r>
    </w:p>
    <w:p w:rsidR="003C3C6B" w:rsidRPr="006C063A" w:rsidRDefault="003C3C6B" w:rsidP="003C3C6B">
      <w:pPr>
        <w:autoSpaceDE w:val="0"/>
        <w:autoSpaceDN w:val="0"/>
        <w:adjustRightInd w:val="0"/>
        <w:spacing w:after="0" w:line="20" w:lineRule="atLeast"/>
        <w:jc w:val="both"/>
        <w:rPr>
          <w:rFonts w:cstheme="minorHAnsi"/>
          <w:color w:val="000000"/>
        </w:rPr>
      </w:pPr>
      <w:r w:rsidRPr="006C063A">
        <w:rPr>
          <w:rFonts w:cstheme="minorHAnsi"/>
          <w:color w:val="000000"/>
        </w:rPr>
        <w:t>IL CONSIGLIO REGIONALE</w:t>
      </w:r>
    </w:p>
    <w:p w:rsidR="003C3C6B" w:rsidRPr="006C063A" w:rsidRDefault="003C3C6B" w:rsidP="003C3C6B">
      <w:pPr>
        <w:autoSpaceDE w:val="0"/>
        <w:autoSpaceDN w:val="0"/>
        <w:adjustRightInd w:val="0"/>
        <w:spacing w:after="0" w:line="20" w:lineRule="atLeast"/>
        <w:ind w:firstLine="280"/>
        <w:jc w:val="both"/>
        <w:rPr>
          <w:rFonts w:cstheme="minorHAnsi"/>
          <w:color w:val="000000"/>
        </w:rPr>
      </w:pPr>
      <w:r w:rsidRPr="006C063A">
        <w:rPr>
          <w:rFonts w:cstheme="minorHAnsi"/>
          <w:color w:val="000000"/>
        </w:rPr>
        <w:t>Premesso che:</w:t>
      </w:r>
    </w:p>
    <w:p w:rsidR="003C3C6B" w:rsidRPr="006C063A" w:rsidRDefault="003C3C6B" w:rsidP="003C3C6B">
      <w:pPr>
        <w:autoSpaceDE w:val="0"/>
        <w:autoSpaceDN w:val="0"/>
        <w:adjustRightInd w:val="0"/>
        <w:spacing w:after="0" w:line="20" w:lineRule="atLeast"/>
        <w:ind w:firstLine="280"/>
        <w:jc w:val="both"/>
        <w:rPr>
          <w:rFonts w:cstheme="minorHAnsi"/>
          <w:color w:val="000000"/>
        </w:rPr>
      </w:pPr>
      <w:r w:rsidRPr="006C063A">
        <w:rPr>
          <w:rFonts w:cstheme="minorHAnsi"/>
          <w:color w:val="000000"/>
        </w:rPr>
        <w:t>- l’articolo 5 della Costituzione prevede che la Repubblica, una e indivisibile, riconosce e promuove le autonomie locali;</w:t>
      </w:r>
    </w:p>
    <w:p w:rsidR="003C3C6B" w:rsidRPr="006C063A" w:rsidRDefault="003C3C6B" w:rsidP="003C3C6B">
      <w:pPr>
        <w:autoSpaceDE w:val="0"/>
        <w:autoSpaceDN w:val="0"/>
        <w:adjustRightInd w:val="0"/>
        <w:spacing w:after="0" w:line="20" w:lineRule="atLeast"/>
        <w:ind w:firstLine="280"/>
        <w:jc w:val="both"/>
        <w:rPr>
          <w:rFonts w:cstheme="minorHAnsi"/>
          <w:color w:val="000000"/>
        </w:rPr>
      </w:pPr>
      <w:r w:rsidRPr="006C063A">
        <w:rPr>
          <w:rFonts w:cstheme="minorHAnsi"/>
          <w:color w:val="000000"/>
        </w:rPr>
        <w:t>- l’articolo 117 della Costituzione stabilisce le materie di competenza statale e quelle di competenza regionale, riconoscendo così che le regioni sono dotate di potere legislativo secondo i principi stabiliti dalla Costituzione;</w:t>
      </w:r>
    </w:p>
    <w:p w:rsidR="003C3C6B" w:rsidRPr="006C063A" w:rsidRDefault="003C3C6B" w:rsidP="003C3C6B">
      <w:pPr>
        <w:autoSpaceDE w:val="0"/>
        <w:autoSpaceDN w:val="0"/>
        <w:adjustRightInd w:val="0"/>
        <w:spacing w:after="0" w:line="20" w:lineRule="atLeast"/>
        <w:ind w:firstLine="280"/>
        <w:jc w:val="both"/>
        <w:rPr>
          <w:rFonts w:cstheme="minorHAnsi"/>
          <w:color w:val="000000"/>
        </w:rPr>
      </w:pPr>
      <w:r w:rsidRPr="006C063A">
        <w:rPr>
          <w:rFonts w:cstheme="minorHAnsi"/>
          <w:color w:val="000000"/>
        </w:rPr>
        <w:t>- l’articolo 118 della Costituzione richiama, in materia di ripartizione delle competenze amministrative tra comuni, province, città metropolitane, regioni e Stato, i principi di sussidiarietà, differenziazione e adeguatezza che il legislatore statale e i legislatori regionali sono tenuti a rispettare nell’attribuire le funzioni amministrative ai livelli territoriali di governo, richiamati all’articolo 114 della Costituzione quali elementi costitutivi della Repubblica;</w:t>
      </w:r>
    </w:p>
    <w:p w:rsidR="003C3C6B" w:rsidRPr="006C063A" w:rsidRDefault="003C3C6B" w:rsidP="003C3C6B">
      <w:pPr>
        <w:autoSpaceDE w:val="0"/>
        <w:autoSpaceDN w:val="0"/>
        <w:adjustRightInd w:val="0"/>
        <w:spacing w:after="0" w:line="20" w:lineRule="atLeast"/>
        <w:ind w:firstLine="280"/>
        <w:jc w:val="both"/>
        <w:rPr>
          <w:rFonts w:cstheme="minorHAnsi"/>
          <w:color w:val="000000"/>
        </w:rPr>
      </w:pPr>
      <w:r w:rsidRPr="006C063A">
        <w:rPr>
          <w:rFonts w:cstheme="minorHAnsi"/>
          <w:color w:val="000000"/>
        </w:rPr>
        <w:t xml:space="preserve">- l’articolo 119 della Costituzione prevede l’autonomia finanziaria dei comuni, delle province, delle città metropolitane e delle regioni, fermo restando il rispetto dell’equilibrio di bilancio e dei vincoli economici e finanziari derivanti dall’ordinamento europeo. Il medesimo articolo stabilisce anche le risorse derivanti dalle </w:t>
      </w:r>
      <w:r w:rsidRPr="006C063A">
        <w:rPr>
          <w:rFonts w:cstheme="minorHAnsi"/>
          <w:color w:val="000000"/>
        </w:rPr>
        <w:lastRenderedPageBreak/>
        <w:t>fondi di finanziamento in esso contenute consentono a comuni, province, città metropolitane e regioni di finanziare integralmente le funzioni pubbliche loro attribuite;</w:t>
      </w:r>
    </w:p>
    <w:p w:rsidR="003C3C6B" w:rsidRPr="006C063A" w:rsidRDefault="003C3C6B" w:rsidP="003C3C6B">
      <w:pPr>
        <w:autoSpaceDE w:val="0"/>
        <w:autoSpaceDN w:val="0"/>
        <w:adjustRightInd w:val="0"/>
        <w:spacing w:after="0" w:line="20" w:lineRule="atLeast"/>
        <w:ind w:firstLine="280"/>
        <w:jc w:val="both"/>
        <w:rPr>
          <w:rFonts w:cstheme="minorHAnsi"/>
          <w:color w:val="000000"/>
        </w:rPr>
      </w:pPr>
      <w:r w:rsidRPr="006C063A">
        <w:rPr>
          <w:rFonts w:cstheme="minorHAnsi"/>
          <w:color w:val="000000"/>
        </w:rPr>
        <w:t>Visto, in particolare, l’articolo 116, comma terzo, della Costituzione che stabilisce: “ulteriori forme di condizioni particolari di autonomia, concernenti le materie di cui al terzo comma dell’articolo 117 e le materie indicate dal secondo comma del medesimo articolo alle lettere l), limitatamente all’organizzazione della giustizia di pace, n) e s), possono essere attribuite alle Regioni, con legge dello Stato, su iniziativa della regione interessata, sentiti gli enti locali, nel rispetto dei principi di cui all’articolo 119. La legge è approvata dalle Camere a maggioranza assoluta dei componenti, sulla base di intesa fra Stato e la regione interessata”;</w:t>
      </w:r>
    </w:p>
    <w:p w:rsidR="003C3C6B" w:rsidRPr="006C063A" w:rsidRDefault="003C3C6B" w:rsidP="003C3C6B">
      <w:pPr>
        <w:autoSpaceDE w:val="0"/>
        <w:autoSpaceDN w:val="0"/>
        <w:adjustRightInd w:val="0"/>
        <w:spacing w:after="0" w:line="20" w:lineRule="atLeast"/>
        <w:jc w:val="both"/>
        <w:rPr>
          <w:rFonts w:cstheme="minorHAnsi"/>
          <w:color w:val="000000"/>
        </w:rPr>
      </w:pPr>
      <w:r w:rsidRPr="006C063A">
        <w:rPr>
          <w:rFonts w:cstheme="minorHAnsi"/>
          <w:color w:val="000000"/>
        </w:rPr>
        <w:t>Tenuto conto che il Consiglio regionale ha approvato:</w:t>
      </w:r>
    </w:p>
    <w:p w:rsidR="003C3C6B" w:rsidRPr="006C063A" w:rsidRDefault="003C3C6B" w:rsidP="003C3C6B">
      <w:pPr>
        <w:autoSpaceDE w:val="0"/>
        <w:autoSpaceDN w:val="0"/>
        <w:adjustRightInd w:val="0"/>
        <w:spacing w:after="0" w:line="20" w:lineRule="atLeast"/>
        <w:jc w:val="both"/>
        <w:rPr>
          <w:rFonts w:cstheme="minorHAnsi"/>
          <w:color w:val="000000"/>
        </w:rPr>
      </w:pPr>
      <w:r w:rsidRPr="006C063A">
        <w:rPr>
          <w:rFonts w:cstheme="minorHAnsi"/>
          <w:color w:val="000000"/>
        </w:rPr>
        <w:t>- la risoluzione 19 settembre 2017, 163 (In merito all’avvio delle procedure finalizzate all’attribuzione di condizioni particolari di autonomia ai sensi dell’articolo 116, comma terzo, della Costituzione);</w:t>
      </w:r>
    </w:p>
    <w:p w:rsidR="003C3C6B" w:rsidRPr="006C063A" w:rsidRDefault="003C3C6B" w:rsidP="003C3C6B">
      <w:pPr>
        <w:autoSpaceDE w:val="0"/>
        <w:autoSpaceDN w:val="0"/>
        <w:adjustRightInd w:val="0"/>
        <w:spacing w:after="0" w:line="20" w:lineRule="atLeast"/>
        <w:jc w:val="both"/>
        <w:rPr>
          <w:rFonts w:cstheme="minorHAnsi"/>
          <w:color w:val="000000"/>
        </w:rPr>
      </w:pPr>
      <w:r w:rsidRPr="006C063A">
        <w:rPr>
          <w:rFonts w:cstheme="minorHAnsi"/>
          <w:color w:val="000000"/>
        </w:rPr>
        <w:t>- la risoluzione 17 luglio 2018, n. 217 collegata alla comunicazione n. 30 della Giunta regionale (Proposte di regionalismo differenziato per la Regione Toscana);</w:t>
      </w:r>
    </w:p>
    <w:p w:rsidR="003C3C6B" w:rsidRPr="006C063A" w:rsidRDefault="003C3C6B" w:rsidP="003C3C6B">
      <w:pPr>
        <w:autoSpaceDE w:val="0"/>
        <w:autoSpaceDN w:val="0"/>
        <w:adjustRightInd w:val="0"/>
        <w:spacing w:after="0" w:line="20" w:lineRule="atLeast"/>
        <w:jc w:val="both"/>
        <w:rPr>
          <w:rFonts w:cstheme="minorHAnsi"/>
          <w:color w:val="000000"/>
        </w:rPr>
      </w:pPr>
      <w:r w:rsidRPr="006C063A">
        <w:rPr>
          <w:rFonts w:cstheme="minorHAnsi"/>
          <w:color w:val="000000"/>
        </w:rPr>
        <w:t>Tutto ciò premesso, constatato e considerato;</w:t>
      </w:r>
    </w:p>
    <w:p w:rsidR="003C3C6B" w:rsidRPr="006C063A" w:rsidRDefault="003C3C6B" w:rsidP="003C3C6B">
      <w:pPr>
        <w:autoSpaceDE w:val="0"/>
        <w:autoSpaceDN w:val="0"/>
        <w:adjustRightInd w:val="0"/>
        <w:spacing w:after="0" w:line="20" w:lineRule="atLeast"/>
        <w:jc w:val="both"/>
        <w:rPr>
          <w:rFonts w:cstheme="minorHAnsi"/>
          <w:color w:val="000000"/>
        </w:rPr>
      </w:pPr>
      <w:r w:rsidRPr="006C063A">
        <w:rPr>
          <w:rFonts w:cstheme="minorHAnsi"/>
          <w:color w:val="000000"/>
        </w:rPr>
        <w:t>IMPEGNA</w:t>
      </w:r>
    </w:p>
    <w:p w:rsidR="003C3C6B" w:rsidRPr="006C063A" w:rsidRDefault="003C3C6B" w:rsidP="003C3C6B">
      <w:pPr>
        <w:autoSpaceDE w:val="0"/>
        <w:autoSpaceDN w:val="0"/>
        <w:adjustRightInd w:val="0"/>
        <w:spacing w:after="0" w:line="20" w:lineRule="atLeast"/>
        <w:jc w:val="both"/>
        <w:rPr>
          <w:rFonts w:cstheme="minorHAnsi"/>
          <w:color w:val="000000"/>
        </w:rPr>
      </w:pPr>
      <w:r w:rsidRPr="006C063A">
        <w:rPr>
          <w:rFonts w:cstheme="minorHAnsi"/>
          <w:color w:val="000000"/>
        </w:rPr>
        <w:t>IL PRESIDENTE DELLA GIUNTA REGIONALE</w:t>
      </w:r>
    </w:p>
    <w:p w:rsidR="003C3C6B" w:rsidRPr="006C063A" w:rsidRDefault="003C3C6B" w:rsidP="003C3C6B">
      <w:pPr>
        <w:autoSpaceDE w:val="0"/>
        <w:autoSpaceDN w:val="0"/>
        <w:adjustRightInd w:val="0"/>
        <w:spacing w:after="0" w:line="20" w:lineRule="atLeast"/>
        <w:jc w:val="both"/>
        <w:rPr>
          <w:rFonts w:cstheme="minorHAnsi"/>
          <w:color w:val="000000"/>
        </w:rPr>
      </w:pPr>
      <w:proofErr w:type="gramStart"/>
      <w:r w:rsidRPr="006C063A">
        <w:rPr>
          <w:rFonts w:cstheme="minorHAnsi"/>
          <w:color w:val="000000"/>
        </w:rPr>
        <w:t>ad</w:t>
      </w:r>
      <w:proofErr w:type="gramEnd"/>
      <w:r w:rsidRPr="006C063A">
        <w:rPr>
          <w:rFonts w:cstheme="minorHAnsi"/>
          <w:color w:val="000000"/>
        </w:rPr>
        <w:t xml:space="preserve"> applicare gli indirizzi politici deliberati dal Consiglio regionale con particolare riferimento alla risoluzione 163/2017 e alla risoluzione 217/2018;</w:t>
      </w:r>
    </w:p>
    <w:p w:rsidR="003C3C6B" w:rsidRDefault="003C3C6B" w:rsidP="003C3C6B">
      <w:pPr>
        <w:autoSpaceDE w:val="0"/>
        <w:autoSpaceDN w:val="0"/>
        <w:adjustRightInd w:val="0"/>
        <w:spacing w:after="0" w:line="20" w:lineRule="atLeast"/>
        <w:jc w:val="both"/>
        <w:rPr>
          <w:rFonts w:cstheme="minorHAnsi"/>
          <w:color w:val="000000"/>
        </w:rPr>
      </w:pPr>
      <w:proofErr w:type="gramStart"/>
      <w:r w:rsidRPr="006C063A">
        <w:rPr>
          <w:rFonts w:cstheme="minorHAnsi"/>
          <w:color w:val="000000"/>
        </w:rPr>
        <w:t>a</w:t>
      </w:r>
      <w:proofErr w:type="gramEnd"/>
      <w:r w:rsidRPr="006C063A">
        <w:rPr>
          <w:rFonts w:cstheme="minorHAnsi"/>
          <w:color w:val="000000"/>
        </w:rPr>
        <w:t xml:space="preserve"> riferire al Consiglio regionale, nella prima seduta di settembre, circa le azioni e gli atti volti a garantire alla Regione Toscana maggiore autonomia, nel rispetto delle procedure definite dall’articolo 116 della Costituzione</w:t>
      </w:r>
      <w:r>
        <w:rPr>
          <w:rFonts w:cstheme="minorHAnsi"/>
          <w:color w:val="000000"/>
        </w:rPr>
        <w:t>.</w:t>
      </w:r>
    </w:p>
    <w:p w:rsidR="003C3C6B" w:rsidRDefault="003C3C6B" w:rsidP="00670259">
      <w:pPr>
        <w:autoSpaceDE w:val="0"/>
        <w:autoSpaceDN w:val="0"/>
        <w:adjustRightInd w:val="0"/>
        <w:spacing w:after="0" w:line="20" w:lineRule="atLeast"/>
        <w:jc w:val="both"/>
        <w:rPr>
          <w:rFonts w:cstheme="minorHAnsi"/>
          <w:color w:val="000000"/>
        </w:rPr>
      </w:pPr>
    </w:p>
    <w:p w:rsidR="003C3C6B" w:rsidRPr="006C063A" w:rsidRDefault="003C3C6B" w:rsidP="003C3C6B">
      <w:pPr>
        <w:pStyle w:val="Default"/>
        <w:pBdr>
          <w:top w:val="single" w:sz="4" w:space="1" w:color="auto"/>
          <w:left w:val="single" w:sz="4" w:space="4" w:color="auto"/>
          <w:bottom w:val="single" w:sz="4" w:space="1" w:color="auto"/>
          <w:right w:val="single" w:sz="4" w:space="4" w:color="auto"/>
          <w:between w:val="single" w:sz="4" w:space="1" w:color="auto"/>
          <w:bar w:val="single" w:sz="4" w:color="auto"/>
        </w:pBdr>
        <w:jc w:val="center"/>
        <w:rPr>
          <w:rFonts w:asciiTheme="minorHAnsi" w:hAnsiTheme="minorHAnsi" w:cstheme="minorHAnsi"/>
          <w:b/>
          <w:sz w:val="22"/>
          <w:szCs w:val="22"/>
        </w:rPr>
      </w:pPr>
      <w:r w:rsidRPr="006C063A">
        <w:rPr>
          <w:rFonts w:asciiTheme="minorHAnsi" w:hAnsiTheme="minorHAnsi" w:cstheme="minorHAnsi"/>
          <w:b/>
          <w:sz w:val="22"/>
          <w:szCs w:val="22"/>
        </w:rPr>
        <w:t>PROGRAMMAZIONE</w:t>
      </w:r>
    </w:p>
    <w:p w:rsidR="003C3C6B" w:rsidRDefault="003C3C6B" w:rsidP="003C3C6B">
      <w:pPr>
        <w:pStyle w:val="Pa0"/>
        <w:spacing w:line="20" w:lineRule="atLeast"/>
        <w:jc w:val="both"/>
        <w:rPr>
          <w:rStyle w:val="A0"/>
          <w:rFonts w:asciiTheme="minorHAnsi" w:hAnsiTheme="minorHAnsi" w:cstheme="minorHAnsi"/>
          <w:bCs w:val="0"/>
          <w:sz w:val="22"/>
          <w:szCs w:val="22"/>
        </w:rPr>
      </w:pPr>
    </w:p>
    <w:p w:rsidR="003C3C6B" w:rsidRPr="001C2B07" w:rsidRDefault="003C3C6B" w:rsidP="003C3C6B">
      <w:pPr>
        <w:pStyle w:val="Pa0"/>
        <w:spacing w:line="20" w:lineRule="atLeast"/>
        <w:jc w:val="both"/>
        <w:rPr>
          <w:rStyle w:val="A0"/>
          <w:rFonts w:asciiTheme="minorHAnsi" w:hAnsiTheme="minorHAnsi" w:cstheme="minorHAnsi"/>
          <w:b w:val="0"/>
          <w:sz w:val="22"/>
          <w:szCs w:val="22"/>
        </w:rPr>
      </w:pPr>
      <w:r w:rsidRPr="001C2B07">
        <w:rPr>
          <w:rStyle w:val="A0"/>
          <w:rFonts w:asciiTheme="minorHAnsi" w:hAnsiTheme="minorHAnsi" w:cstheme="minorHAnsi"/>
          <w:bCs w:val="0"/>
          <w:sz w:val="22"/>
          <w:szCs w:val="22"/>
        </w:rPr>
        <w:t xml:space="preserve">DCR  31 luglio 2019, </w:t>
      </w:r>
      <w:r w:rsidRPr="001C2B07">
        <w:rPr>
          <w:rStyle w:val="A0"/>
          <w:rFonts w:asciiTheme="minorHAnsi" w:hAnsiTheme="minorHAnsi" w:cstheme="minorHAnsi"/>
          <w:sz w:val="22"/>
          <w:szCs w:val="22"/>
        </w:rPr>
        <w:t xml:space="preserve">n. 54, </w:t>
      </w:r>
      <w:r w:rsidRPr="001C2B07">
        <w:rPr>
          <w:rStyle w:val="A0"/>
          <w:rFonts w:asciiTheme="minorHAnsi" w:hAnsiTheme="minorHAnsi" w:cstheme="minorHAnsi"/>
          <w:b w:val="0"/>
          <w:sz w:val="22"/>
          <w:szCs w:val="22"/>
        </w:rPr>
        <w:t>Documento di economia e finanza regionale (DEFR) 2020 - Approvazione.</w:t>
      </w:r>
      <w:r w:rsidRPr="001C2B07">
        <w:rPr>
          <w:rStyle w:val="A0"/>
          <w:rFonts w:asciiTheme="minorHAnsi" w:hAnsiTheme="minorHAnsi" w:cstheme="minorHAnsi"/>
          <w:sz w:val="22"/>
          <w:szCs w:val="22"/>
        </w:rPr>
        <w:t xml:space="preserve"> </w:t>
      </w:r>
      <w:r>
        <w:rPr>
          <w:rStyle w:val="A0"/>
          <w:rFonts w:asciiTheme="minorHAnsi" w:hAnsiTheme="minorHAnsi" w:cstheme="minorHAnsi"/>
          <w:sz w:val="22"/>
          <w:szCs w:val="22"/>
        </w:rPr>
        <w:t xml:space="preserve"> (</w:t>
      </w:r>
      <w:r w:rsidRPr="001C2B07">
        <w:rPr>
          <w:rStyle w:val="A0"/>
          <w:rFonts w:asciiTheme="minorHAnsi" w:hAnsiTheme="minorHAnsi" w:cstheme="minorHAnsi"/>
          <w:b w:val="0"/>
          <w:sz w:val="22"/>
          <w:szCs w:val="22"/>
        </w:rPr>
        <w:t>BUR n. 39 del 9</w:t>
      </w:r>
      <w:r>
        <w:rPr>
          <w:rStyle w:val="A0"/>
          <w:rFonts w:asciiTheme="minorHAnsi" w:hAnsiTheme="minorHAnsi" w:cstheme="minorHAnsi"/>
          <w:b w:val="0"/>
          <w:sz w:val="22"/>
          <w:szCs w:val="22"/>
        </w:rPr>
        <w:t>.</w:t>
      </w:r>
      <w:r w:rsidRPr="001C2B07">
        <w:rPr>
          <w:rStyle w:val="A0"/>
          <w:rFonts w:asciiTheme="minorHAnsi" w:hAnsiTheme="minorHAnsi" w:cstheme="minorHAnsi"/>
          <w:b w:val="0"/>
          <w:sz w:val="22"/>
          <w:szCs w:val="22"/>
        </w:rPr>
        <w:t>8.19)</w:t>
      </w:r>
    </w:p>
    <w:p w:rsidR="003C3C6B" w:rsidRPr="001C2B07" w:rsidRDefault="003C3C6B" w:rsidP="003C3C6B">
      <w:pPr>
        <w:autoSpaceDE w:val="0"/>
        <w:autoSpaceDN w:val="0"/>
        <w:adjustRightInd w:val="0"/>
        <w:spacing w:after="0" w:line="20" w:lineRule="atLeast"/>
        <w:jc w:val="both"/>
        <w:rPr>
          <w:rFonts w:cstheme="minorHAnsi"/>
          <w:b/>
          <w:bCs/>
          <w:color w:val="000000"/>
        </w:rPr>
      </w:pPr>
      <w:r w:rsidRPr="001C2B07">
        <w:rPr>
          <w:rFonts w:cstheme="minorHAnsi"/>
          <w:b/>
          <w:bCs/>
          <w:color w:val="000000"/>
        </w:rPr>
        <w:t xml:space="preserve">Progetto regionale 17 Lotta alla povertà e inclusione sociale </w:t>
      </w:r>
    </w:p>
    <w:p w:rsidR="003C3C6B" w:rsidRPr="001C2B07" w:rsidRDefault="003C3C6B" w:rsidP="003C3C6B">
      <w:pPr>
        <w:autoSpaceDE w:val="0"/>
        <w:autoSpaceDN w:val="0"/>
        <w:adjustRightInd w:val="0"/>
        <w:spacing w:after="0" w:line="20" w:lineRule="atLeast"/>
        <w:jc w:val="both"/>
        <w:rPr>
          <w:rFonts w:cstheme="minorHAnsi"/>
          <w:b/>
          <w:bCs/>
          <w:color w:val="000000"/>
        </w:rPr>
      </w:pPr>
      <w:r w:rsidRPr="001C2B07">
        <w:rPr>
          <w:rFonts w:cstheme="minorHAnsi"/>
          <w:b/>
          <w:bCs/>
          <w:color w:val="000000"/>
        </w:rPr>
        <w:t xml:space="preserve">1. OBIETTIVI E PRIORITÀ PER IL 2020 </w:t>
      </w:r>
    </w:p>
    <w:p w:rsidR="003C3C6B" w:rsidRDefault="003C3C6B" w:rsidP="003C3C6B">
      <w:pPr>
        <w:autoSpaceDE w:val="0"/>
        <w:autoSpaceDN w:val="0"/>
        <w:adjustRightInd w:val="0"/>
        <w:spacing w:after="0" w:line="20" w:lineRule="atLeast"/>
        <w:jc w:val="both"/>
        <w:rPr>
          <w:rFonts w:cstheme="minorHAnsi"/>
          <w:color w:val="000000"/>
        </w:rPr>
      </w:pPr>
      <w:r w:rsidRPr="001C2B07">
        <w:rPr>
          <w:rFonts w:cstheme="minorHAnsi"/>
          <w:color w:val="000000"/>
        </w:rPr>
        <w:t xml:space="preserve">Sul versante dell’inclusione lavorativa dei disoccupati e delle persone vulnerabili, all'inizio dell'anno hanno preso avvio tutti i progetti finanziati col POR FSE 2014-2020 presentati a valere sugli avvisi “Servizi di inclusione sociolavorativa e accompagnamento al lavoro per persone sottoposte a provvedimenti dell’autorità giudiziaria di limitazione o restrizione della libertà individuale” e "Servizi di accompagnamento al lavoro per persone svantaggiate", che si concluderanno rispettivamente il primo a dicembre 2020 e l'altro a luglio 2020. </w:t>
      </w:r>
    </w:p>
    <w:p w:rsidR="003C3C6B" w:rsidRDefault="003C3C6B" w:rsidP="003C3C6B">
      <w:pPr>
        <w:autoSpaceDE w:val="0"/>
        <w:autoSpaceDN w:val="0"/>
        <w:adjustRightInd w:val="0"/>
        <w:spacing w:after="0" w:line="20" w:lineRule="atLeast"/>
        <w:jc w:val="both"/>
        <w:rPr>
          <w:rFonts w:cstheme="minorHAnsi"/>
          <w:color w:val="000000"/>
        </w:rPr>
      </w:pPr>
      <w:r w:rsidRPr="001C2B07">
        <w:rPr>
          <w:rFonts w:cstheme="minorHAnsi"/>
          <w:color w:val="000000"/>
        </w:rPr>
        <w:t xml:space="preserve">Il primo avviso si pone come obiettivo quello di creare a livello regionale un sistema per l’erogazione di sostegni individualizzati a persone sottoposte a provvedimenti dell'Autorità giudiziaria di limitazione o restrizione della libertà individuale, anche attraverso processi di progettazione partecipata rivolti sia al sistema dei servizi pubblici che del privato sociale, fondati sull’integrazione fra politiche sociali, del lavoro e lotta alla povertà. </w:t>
      </w:r>
    </w:p>
    <w:p w:rsidR="003C3C6B" w:rsidRDefault="003C3C6B" w:rsidP="003C3C6B">
      <w:pPr>
        <w:autoSpaceDE w:val="0"/>
        <w:autoSpaceDN w:val="0"/>
        <w:adjustRightInd w:val="0"/>
        <w:spacing w:after="0" w:line="20" w:lineRule="atLeast"/>
        <w:jc w:val="both"/>
        <w:rPr>
          <w:rFonts w:cstheme="minorHAnsi"/>
          <w:color w:val="000000"/>
        </w:rPr>
      </w:pPr>
      <w:r w:rsidRPr="001C2B07">
        <w:rPr>
          <w:rFonts w:cstheme="minorHAnsi"/>
          <w:color w:val="000000"/>
        </w:rPr>
        <w:t xml:space="preserve">Vari i soggetti coinvolti: Amministrazione Penitenziaria, Istituti di pena, Uffici di Esecuzione Penale Esterna, Servizi pubblici per il lavoro, Società della Salute, enti pubblici e privati impegnati sul tema. </w:t>
      </w:r>
    </w:p>
    <w:p w:rsidR="003C3C6B" w:rsidRDefault="003C3C6B" w:rsidP="003C3C6B">
      <w:pPr>
        <w:autoSpaceDE w:val="0"/>
        <w:autoSpaceDN w:val="0"/>
        <w:adjustRightInd w:val="0"/>
        <w:spacing w:after="0" w:line="20" w:lineRule="atLeast"/>
        <w:jc w:val="both"/>
        <w:rPr>
          <w:rFonts w:cstheme="minorHAnsi"/>
          <w:color w:val="000000"/>
        </w:rPr>
      </w:pPr>
      <w:r w:rsidRPr="001C2B07">
        <w:rPr>
          <w:rFonts w:cstheme="minorHAnsi"/>
          <w:color w:val="000000"/>
        </w:rPr>
        <w:t xml:space="preserve">In totale sono attivi 14 progetti di cui 5 relativi a sportelli per le tutele sociali avviati all'interno degli Istituti penitenziari della zona di Firenze, Livorno, Lucca-Massa-Pisa-Volterra, Prato-Pistoia, Grosseto-Arezzo-Siena e 9 più strettamente legati ai percorsi di accompagnamento al lavoro articolati per le aree UEPE Arezzo, Firenze, Pistoia, Prato, Livorno, Massa, Pisa, Lucca Siena-Grosseto. </w:t>
      </w:r>
    </w:p>
    <w:p w:rsidR="003C3C6B" w:rsidRDefault="003C3C6B" w:rsidP="003C3C6B">
      <w:pPr>
        <w:autoSpaceDE w:val="0"/>
        <w:autoSpaceDN w:val="0"/>
        <w:adjustRightInd w:val="0"/>
        <w:spacing w:after="0" w:line="20" w:lineRule="atLeast"/>
        <w:jc w:val="both"/>
        <w:rPr>
          <w:rFonts w:cstheme="minorHAnsi"/>
          <w:color w:val="000000"/>
        </w:rPr>
      </w:pPr>
      <w:r w:rsidRPr="001C2B07">
        <w:rPr>
          <w:rFonts w:cstheme="minorHAnsi"/>
          <w:color w:val="000000"/>
        </w:rPr>
        <w:t xml:space="preserve">L’obiettivo è di includere nei progetti un totale di circa 1700 persone di cui 800 sui servizi di accompagnamento al lavoro. </w:t>
      </w:r>
    </w:p>
    <w:p w:rsidR="003C3C6B" w:rsidRDefault="003C3C6B" w:rsidP="003C3C6B">
      <w:pPr>
        <w:autoSpaceDE w:val="0"/>
        <w:autoSpaceDN w:val="0"/>
        <w:adjustRightInd w:val="0"/>
        <w:spacing w:after="0" w:line="20" w:lineRule="atLeast"/>
        <w:jc w:val="both"/>
        <w:rPr>
          <w:rFonts w:cstheme="minorHAnsi"/>
          <w:color w:val="000000"/>
        </w:rPr>
      </w:pPr>
      <w:r w:rsidRPr="001C2B07">
        <w:rPr>
          <w:rFonts w:cstheme="minorHAnsi"/>
          <w:color w:val="000000"/>
        </w:rPr>
        <w:t xml:space="preserve">L'altro avviso “Servizi di accompagnamento al lavoro per persone svantaggiate” si pone l'obiettivo di accrescere le possibilità, per le persone vulnerabili, di trovare un’occupazione e di rafforzare il sistema territoriale di accompagnamento al lavoro di soggetti svantaggiati in carico ai servizi sociali territoriali. L'avviso contribuisce inoltre, a favorire il collegamento tra i Servizi Sociali zonali e i Centri per l’Impiego e la </w:t>
      </w:r>
      <w:r w:rsidRPr="001C2B07">
        <w:rPr>
          <w:rFonts w:cstheme="minorHAnsi"/>
          <w:color w:val="000000"/>
        </w:rPr>
        <w:lastRenderedPageBreak/>
        <w:t xml:space="preserve">valorizzazione della valutazione multidimensionale e della progettazione personalizzata dei percorsi inclusivi attraverso la presa in carico integrata. </w:t>
      </w:r>
    </w:p>
    <w:p w:rsidR="003C3C6B" w:rsidRDefault="003C3C6B" w:rsidP="003C3C6B">
      <w:pPr>
        <w:autoSpaceDE w:val="0"/>
        <w:autoSpaceDN w:val="0"/>
        <w:adjustRightInd w:val="0"/>
        <w:spacing w:after="0" w:line="20" w:lineRule="atLeast"/>
        <w:jc w:val="both"/>
        <w:rPr>
          <w:rFonts w:cstheme="minorHAnsi"/>
          <w:color w:val="000000"/>
        </w:rPr>
      </w:pPr>
      <w:r w:rsidRPr="001C2B07">
        <w:rPr>
          <w:rFonts w:cstheme="minorHAnsi"/>
          <w:color w:val="000000"/>
        </w:rPr>
        <w:t xml:space="preserve">I progetti approvati ed avviati - n. 26 che rappresentano tutte le zone distretto della Toscana - si rivolgono a soggetti disoccupati o inoccupati, in particolare condizione di svantaggio socio-economico e in carico ai servizi sociali territoriali, con particolare attenzione ai seguenti gruppi vulnerabili: </w:t>
      </w:r>
    </w:p>
    <w:p w:rsidR="003C3C6B" w:rsidRDefault="003C3C6B" w:rsidP="003C3C6B">
      <w:pPr>
        <w:autoSpaceDE w:val="0"/>
        <w:autoSpaceDN w:val="0"/>
        <w:adjustRightInd w:val="0"/>
        <w:spacing w:after="0" w:line="20" w:lineRule="atLeast"/>
        <w:jc w:val="both"/>
        <w:rPr>
          <w:rFonts w:cstheme="minorHAnsi"/>
          <w:color w:val="000000"/>
        </w:rPr>
      </w:pPr>
      <w:proofErr w:type="gramStart"/>
      <w:r w:rsidRPr="001C2B07">
        <w:rPr>
          <w:rFonts w:cstheme="minorHAnsi"/>
          <w:color w:val="000000"/>
        </w:rPr>
        <w:t>donne</w:t>
      </w:r>
      <w:proofErr w:type="gramEnd"/>
      <w:r w:rsidRPr="001C2B07">
        <w:rPr>
          <w:rFonts w:cstheme="minorHAnsi"/>
          <w:color w:val="000000"/>
        </w:rPr>
        <w:t xml:space="preserve"> sole con figli a carico; </w:t>
      </w:r>
    </w:p>
    <w:p w:rsidR="003C3C6B" w:rsidRDefault="003C3C6B" w:rsidP="003C3C6B">
      <w:pPr>
        <w:autoSpaceDE w:val="0"/>
        <w:autoSpaceDN w:val="0"/>
        <w:adjustRightInd w:val="0"/>
        <w:spacing w:after="0" w:line="20" w:lineRule="atLeast"/>
        <w:jc w:val="both"/>
        <w:rPr>
          <w:rFonts w:cstheme="minorHAnsi"/>
          <w:color w:val="000000"/>
        </w:rPr>
      </w:pPr>
      <w:proofErr w:type="gramStart"/>
      <w:r w:rsidRPr="001C2B07">
        <w:rPr>
          <w:rFonts w:cstheme="minorHAnsi"/>
          <w:color w:val="000000"/>
        </w:rPr>
        <w:t>disoccupati</w:t>
      </w:r>
      <w:proofErr w:type="gramEnd"/>
      <w:r w:rsidRPr="001C2B07">
        <w:rPr>
          <w:rFonts w:cstheme="minorHAnsi"/>
          <w:color w:val="000000"/>
        </w:rPr>
        <w:t xml:space="preserve"> che vivono in famiglie multiproblematiche; </w:t>
      </w:r>
    </w:p>
    <w:p w:rsidR="003C3C6B" w:rsidRDefault="003C3C6B" w:rsidP="003C3C6B">
      <w:pPr>
        <w:autoSpaceDE w:val="0"/>
        <w:autoSpaceDN w:val="0"/>
        <w:adjustRightInd w:val="0"/>
        <w:spacing w:after="0" w:line="20" w:lineRule="atLeast"/>
        <w:jc w:val="both"/>
        <w:rPr>
          <w:rFonts w:cstheme="minorHAnsi"/>
          <w:color w:val="000000"/>
        </w:rPr>
      </w:pPr>
      <w:proofErr w:type="gramStart"/>
      <w:r w:rsidRPr="001C2B07">
        <w:rPr>
          <w:rFonts w:cstheme="minorHAnsi"/>
          <w:color w:val="000000"/>
        </w:rPr>
        <w:t>persone</w:t>
      </w:r>
      <w:proofErr w:type="gramEnd"/>
      <w:r w:rsidRPr="001C2B07">
        <w:rPr>
          <w:rFonts w:cstheme="minorHAnsi"/>
          <w:color w:val="000000"/>
        </w:rPr>
        <w:t xml:space="preserve"> appartenenti a nuclei familiari monoreddito; </w:t>
      </w:r>
    </w:p>
    <w:p w:rsidR="003C3C6B" w:rsidRDefault="003C3C6B" w:rsidP="003C3C6B">
      <w:pPr>
        <w:autoSpaceDE w:val="0"/>
        <w:autoSpaceDN w:val="0"/>
        <w:adjustRightInd w:val="0"/>
        <w:spacing w:after="0" w:line="20" w:lineRule="atLeast"/>
        <w:jc w:val="both"/>
        <w:rPr>
          <w:rFonts w:cstheme="minorHAnsi"/>
          <w:color w:val="000000"/>
        </w:rPr>
      </w:pPr>
      <w:proofErr w:type="gramStart"/>
      <w:r w:rsidRPr="001C2B07">
        <w:rPr>
          <w:rFonts w:cstheme="minorHAnsi"/>
          <w:color w:val="000000"/>
        </w:rPr>
        <w:t>persone</w:t>
      </w:r>
      <w:proofErr w:type="gramEnd"/>
      <w:r w:rsidRPr="001C2B07">
        <w:rPr>
          <w:rFonts w:cstheme="minorHAnsi"/>
          <w:color w:val="000000"/>
        </w:rPr>
        <w:t xml:space="preserve"> inserite in strutture di accoglienza o in programmi di intervento in emergenza alloggiativa; </w:t>
      </w:r>
    </w:p>
    <w:p w:rsidR="003C3C6B" w:rsidRDefault="003C3C6B" w:rsidP="003C3C6B">
      <w:pPr>
        <w:autoSpaceDE w:val="0"/>
        <w:autoSpaceDN w:val="0"/>
        <w:adjustRightInd w:val="0"/>
        <w:spacing w:after="0" w:line="20" w:lineRule="atLeast"/>
        <w:jc w:val="both"/>
        <w:rPr>
          <w:rFonts w:cstheme="minorHAnsi"/>
          <w:color w:val="000000"/>
        </w:rPr>
      </w:pPr>
      <w:proofErr w:type="gramStart"/>
      <w:r w:rsidRPr="001C2B07">
        <w:rPr>
          <w:rFonts w:cstheme="minorHAnsi"/>
          <w:color w:val="000000"/>
        </w:rPr>
        <w:t>persone</w:t>
      </w:r>
      <w:proofErr w:type="gramEnd"/>
      <w:r w:rsidRPr="001C2B07">
        <w:rPr>
          <w:rFonts w:cstheme="minorHAnsi"/>
          <w:color w:val="000000"/>
        </w:rPr>
        <w:t xml:space="preserve"> inserite nei programmi di assistenza a favore di vittime di tratta; </w:t>
      </w:r>
    </w:p>
    <w:p w:rsidR="003C3C6B" w:rsidRDefault="003C3C6B" w:rsidP="003C3C6B">
      <w:pPr>
        <w:autoSpaceDE w:val="0"/>
        <w:autoSpaceDN w:val="0"/>
        <w:adjustRightInd w:val="0"/>
        <w:spacing w:after="0" w:line="20" w:lineRule="atLeast"/>
        <w:jc w:val="both"/>
        <w:rPr>
          <w:rFonts w:cstheme="minorHAnsi"/>
          <w:color w:val="000000"/>
        </w:rPr>
      </w:pPr>
      <w:proofErr w:type="gramStart"/>
      <w:r w:rsidRPr="001C2B07">
        <w:rPr>
          <w:rFonts w:cstheme="minorHAnsi"/>
          <w:color w:val="000000"/>
        </w:rPr>
        <w:t>persone</w:t>
      </w:r>
      <w:proofErr w:type="gramEnd"/>
      <w:r w:rsidRPr="001C2B07">
        <w:rPr>
          <w:rFonts w:cstheme="minorHAnsi"/>
          <w:color w:val="000000"/>
        </w:rPr>
        <w:t xml:space="preserve"> inserite nei programmi di intervento e servizi a favore di vittime di violenza nelle relazioni familiari e/o di genere. </w:t>
      </w:r>
    </w:p>
    <w:p w:rsidR="003C3C6B" w:rsidRDefault="003C3C6B" w:rsidP="003C3C6B">
      <w:pPr>
        <w:autoSpaceDE w:val="0"/>
        <w:autoSpaceDN w:val="0"/>
        <w:adjustRightInd w:val="0"/>
        <w:spacing w:after="0" w:line="20" w:lineRule="atLeast"/>
        <w:jc w:val="both"/>
        <w:rPr>
          <w:rFonts w:cstheme="minorHAnsi"/>
          <w:color w:val="000000"/>
        </w:rPr>
      </w:pPr>
      <w:r w:rsidRPr="001C2B07">
        <w:rPr>
          <w:rFonts w:cstheme="minorHAnsi"/>
          <w:color w:val="000000"/>
        </w:rPr>
        <w:t xml:space="preserve">L’obiettivo è attivare circa 1500 progetti individualizzati di accompagnamento al lavoro. </w:t>
      </w:r>
    </w:p>
    <w:p w:rsidR="003C3C6B" w:rsidRDefault="003C3C6B" w:rsidP="003C3C6B">
      <w:pPr>
        <w:autoSpaceDE w:val="0"/>
        <w:autoSpaceDN w:val="0"/>
        <w:adjustRightInd w:val="0"/>
        <w:spacing w:after="0" w:line="20" w:lineRule="atLeast"/>
        <w:jc w:val="both"/>
        <w:rPr>
          <w:rFonts w:cstheme="minorHAnsi"/>
          <w:color w:val="000000"/>
        </w:rPr>
      </w:pPr>
      <w:r w:rsidRPr="001C2B07">
        <w:rPr>
          <w:rFonts w:cstheme="minorHAnsi"/>
          <w:color w:val="000000"/>
        </w:rPr>
        <w:t xml:space="preserve">Contiamo di proseguire nel 2020 - compatibilmente con le risorse disponibile sul POR FSE 2014-20 - nei percorsi di accompagnamento al lavoro dedicati alle persone maggiormente vulnerabili e che necessitano percorsi di sostegno all'inserimento socio-lavorativo. </w:t>
      </w:r>
    </w:p>
    <w:p w:rsidR="003C3C6B" w:rsidRDefault="003C3C6B" w:rsidP="003C3C6B">
      <w:pPr>
        <w:autoSpaceDE w:val="0"/>
        <w:autoSpaceDN w:val="0"/>
        <w:adjustRightInd w:val="0"/>
        <w:spacing w:after="0" w:line="20" w:lineRule="atLeast"/>
        <w:jc w:val="both"/>
        <w:rPr>
          <w:rFonts w:cstheme="minorHAnsi"/>
          <w:color w:val="000000"/>
        </w:rPr>
      </w:pPr>
      <w:r w:rsidRPr="001C2B07">
        <w:rPr>
          <w:rFonts w:cstheme="minorHAnsi"/>
          <w:color w:val="000000"/>
        </w:rPr>
        <w:t xml:space="preserve">Prosegue la sottomisura del PSR attivata nel 2018 con lo scopo di promuovere la realizzazione di progetti volti a sostenere forme di cooperazione tra aziende agricole /forestali e soggetti a finalità sociale in cui l'attività agricola è funzionale alla realizzazione di servizi volti all'inclusione lavorativa, sociale, terapeutico-riabilitativa di soggetti svantaggiati ai sensi </w:t>
      </w:r>
      <w:proofErr w:type="gramStart"/>
      <w:r w:rsidRPr="001C2B07">
        <w:rPr>
          <w:rFonts w:cstheme="minorHAnsi"/>
          <w:color w:val="000000"/>
        </w:rPr>
        <w:t>dell' art.</w:t>
      </w:r>
      <w:proofErr w:type="gramEnd"/>
      <w:r w:rsidRPr="001C2B07">
        <w:rPr>
          <w:rFonts w:cstheme="minorHAnsi"/>
          <w:color w:val="000000"/>
        </w:rPr>
        <w:t xml:space="preserve">4 della L.381/91,con particolare attenzione ai giovani. Con riferimento al disagio abitativo, nel corso del 2020, proseguiranno le azioni volte a favorire l'accesso all'abitazione per soggetti a reddito medio basso, data l'incidenza, spesso insostenibile, sul reddito delle famiglie sia di un mutuo per l'acquisto di un alloggio sia della locazione a canoni di mercato. </w:t>
      </w:r>
    </w:p>
    <w:p w:rsidR="003C3C6B" w:rsidRPr="001223F4" w:rsidRDefault="003C3C6B" w:rsidP="003C3C6B">
      <w:pPr>
        <w:autoSpaceDE w:val="0"/>
        <w:autoSpaceDN w:val="0"/>
        <w:adjustRightInd w:val="0"/>
        <w:spacing w:after="0" w:line="20" w:lineRule="atLeast"/>
        <w:jc w:val="both"/>
        <w:rPr>
          <w:rFonts w:ascii="Corbel" w:hAnsi="Corbel" w:cs="Times New Roman"/>
          <w:color w:val="000000"/>
          <w:sz w:val="28"/>
          <w:szCs w:val="28"/>
        </w:rPr>
      </w:pPr>
      <w:r w:rsidRPr="001C2B07">
        <w:rPr>
          <w:rFonts w:cstheme="minorHAnsi"/>
          <w:color w:val="000000"/>
        </w:rPr>
        <w:t>Potranno essere attivati sia interventi strutturali e permanenti di offerta diretta di alloggi sociali, sia interventi puntuali di sostegno al reddito delle famiglie in difficoltà.</w:t>
      </w:r>
      <w:r w:rsidRPr="001223F4">
        <w:rPr>
          <w:rFonts w:ascii="Corbel" w:hAnsi="Corbel" w:cs="MLGHL P+ Tahoma"/>
          <w:color w:val="000000"/>
          <w:sz w:val="28"/>
          <w:szCs w:val="28"/>
        </w:rPr>
        <w:t xml:space="preserve"> </w:t>
      </w:r>
    </w:p>
    <w:p w:rsidR="003C3C6B" w:rsidRPr="001C2B07" w:rsidRDefault="003C3C6B" w:rsidP="003C3C6B">
      <w:pPr>
        <w:autoSpaceDE w:val="0"/>
        <w:autoSpaceDN w:val="0"/>
        <w:adjustRightInd w:val="0"/>
        <w:spacing w:after="0" w:line="20" w:lineRule="atLeast"/>
        <w:jc w:val="both"/>
        <w:rPr>
          <w:rFonts w:cstheme="minorHAnsi"/>
          <w:b/>
          <w:bCs/>
          <w:color w:val="000000"/>
        </w:rPr>
      </w:pPr>
      <w:r w:rsidRPr="001C2B07">
        <w:rPr>
          <w:rFonts w:cstheme="minorHAnsi"/>
          <w:b/>
          <w:bCs/>
          <w:color w:val="000000"/>
        </w:rPr>
        <w:t xml:space="preserve">Progetto regionale 18 Tutela dei diritti civili e sociali </w:t>
      </w:r>
    </w:p>
    <w:p w:rsidR="003C3C6B" w:rsidRPr="001C2B07" w:rsidRDefault="003C3C6B" w:rsidP="003C3C6B">
      <w:pPr>
        <w:autoSpaceDE w:val="0"/>
        <w:autoSpaceDN w:val="0"/>
        <w:adjustRightInd w:val="0"/>
        <w:spacing w:after="0" w:line="20" w:lineRule="atLeast"/>
        <w:jc w:val="both"/>
        <w:rPr>
          <w:rFonts w:cstheme="minorHAnsi"/>
          <w:b/>
          <w:bCs/>
          <w:color w:val="000000"/>
        </w:rPr>
      </w:pPr>
      <w:r w:rsidRPr="001C2B07">
        <w:rPr>
          <w:rFonts w:cstheme="minorHAnsi"/>
          <w:b/>
          <w:bCs/>
          <w:color w:val="000000"/>
        </w:rPr>
        <w:t xml:space="preserve">1. OBIETTIVI E PRIORITÀ PER IL 2020 </w:t>
      </w:r>
    </w:p>
    <w:p w:rsidR="003C3C6B" w:rsidRDefault="003C3C6B" w:rsidP="003C3C6B">
      <w:pPr>
        <w:autoSpaceDE w:val="0"/>
        <w:autoSpaceDN w:val="0"/>
        <w:adjustRightInd w:val="0"/>
        <w:spacing w:after="0" w:line="20" w:lineRule="atLeast"/>
        <w:jc w:val="both"/>
        <w:rPr>
          <w:rFonts w:cstheme="minorHAnsi"/>
          <w:color w:val="000000"/>
        </w:rPr>
      </w:pPr>
      <w:r w:rsidRPr="001C2B07">
        <w:rPr>
          <w:rFonts w:cstheme="minorHAnsi"/>
          <w:color w:val="000000"/>
        </w:rPr>
        <w:t>La Regione conferma un convinto impegno nella tutela e sostegno delle persone fragili.</w:t>
      </w:r>
    </w:p>
    <w:p w:rsidR="003C3C6B" w:rsidRDefault="003C3C6B" w:rsidP="003C3C6B">
      <w:pPr>
        <w:autoSpaceDE w:val="0"/>
        <w:autoSpaceDN w:val="0"/>
        <w:adjustRightInd w:val="0"/>
        <w:spacing w:after="0" w:line="20" w:lineRule="atLeast"/>
        <w:jc w:val="both"/>
        <w:rPr>
          <w:rFonts w:cstheme="minorHAnsi"/>
          <w:color w:val="000000"/>
        </w:rPr>
      </w:pPr>
      <w:r w:rsidRPr="001C2B07">
        <w:rPr>
          <w:rFonts w:cstheme="minorHAnsi"/>
          <w:color w:val="000000"/>
        </w:rPr>
        <w:t xml:space="preserve"> La tutela dei bisogni delle persone con disabilità rappresenta un obiettivo programmatico prioritario, quindi anche per il 2020 vengono garantite e affermate le azioni previste dalla l.r. 66/2008 “Istituzione del Fondo per la non autosufficienza”, fra cui il Progetto “Vita Indipendente”. </w:t>
      </w:r>
    </w:p>
    <w:p w:rsidR="003C3C6B" w:rsidRDefault="003C3C6B" w:rsidP="003C3C6B">
      <w:pPr>
        <w:autoSpaceDE w:val="0"/>
        <w:autoSpaceDN w:val="0"/>
        <w:adjustRightInd w:val="0"/>
        <w:spacing w:after="0" w:line="20" w:lineRule="atLeast"/>
        <w:jc w:val="both"/>
        <w:rPr>
          <w:rFonts w:cstheme="minorHAnsi"/>
          <w:color w:val="000000"/>
        </w:rPr>
      </w:pPr>
      <w:r w:rsidRPr="001C2B07">
        <w:rPr>
          <w:rFonts w:cstheme="minorHAnsi"/>
          <w:color w:val="000000"/>
        </w:rPr>
        <w:t xml:space="preserve">L'Avviso “Potenziamento dei servizi di continuità assistenziale – buoni servizio per sostegno alla domiciliarità </w:t>
      </w:r>
      <w:proofErr w:type="gramStart"/>
      <w:r w:rsidRPr="001C2B07">
        <w:rPr>
          <w:rFonts w:cstheme="minorHAnsi"/>
          <w:color w:val="000000"/>
        </w:rPr>
        <w:t>“ dovrebbe</w:t>
      </w:r>
      <w:proofErr w:type="gramEnd"/>
      <w:r w:rsidRPr="001C2B07">
        <w:rPr>
          <w:rFonts w:cstheme="minorHAnsi"/>
          <w:color w:val="000000"/>
        </w:rPr>
        <w:t xml:space="preserve"> concludersi a fine 2019, ma sempre sul tema della domiciliarità è in corso di approvazione l'avviso “Sostegno alla domiciliarità per persone con limitazione dell'autonomia”, che prevede due tipi di interventi: </w:t>
      </w:r>
    </w:p>
    <w:p w:rsidR="003C3C6B" w:rsidRDefault="003C3C6B" w:rsidP="003C3C6B">
      <w:pPr>
        <w:autoSpaceDE w:val="0"/>
        <w:autoSpaceDN w:val="0"/>
        <w:adjustRightInd w:val="0"/>
        <w:spacing w:after="0" w:line="20" w:lineRule="atLeast"/>
        <w:jc w:val="both"/>
        <w:rPr>
          <w:rFonts w:cstheme="minorHAnsi"/>
          <w:color w:val="000000"/>
        </w:rPr>
      </w:pPr>
      <w:r w:rsidRPr="001C2B07">
        <w:rPr>
          <w:rFonts w:cstheme="minorHAnsi"/>
          <w:color w:val="000000"/>
        </w:rPr>
        <w:t xml:space="preserve">Percorsi innovativi per la cura e il sostegno familiare di persone affette da demenza lieve o moderata e Ampliamento del servizio di assistenza familiare per persone che presentano un elevato bisogno assistenziale. </w:t>
      </w:r>
    </w:p>
    <w:p w:rsidR="003C3C6B" w:rsidRDefault="003C3C6B" w:rsidP="003C3C6B">
      <w:pPr>
        <w:autoSpaceDE w:val="0"/>
        <w:autoSpaceDN w:val="0"/>
        <w:adjustRightInd w:val="0"/>
        <w:spacing w:after="0" w:line="20" w:lineRule="atLeast"/>
        <w:jc w:val="both"/>
        <w:rPr>
          <w:rFonts w:cstheme="minorHAnsi"/>
          <w:color w:val="000000"/>
        </w:rPr>
      </w:pPr>
      <w:r w:rsidRPr="001C2B07">
        <w:rPr>
          <w:rFonts w:cstheme="minorHAnsi"/>
          <w:color w:val="000000"/>
        </w:rPr>
        <w:t xml:space="preserve">Sulla scorta dei buoni risultati ottenuti dall'avviso Servizi di accompagnamento al lavoro per persone disabili e soggetti vulnerabili conclusosi a novembre 2018 (ben n.1677 persone con progetto personalizzato e 166 assunti a tempo determinato e indeterminato alla fine dei percorsi) nel 2019 sarà approvata la seconda edizione dell'avviso che vedrà, presumibilmente, l'avvio dei progetti all'inizio del 2020. </w:t>
      </w:r>
    </w:p>
    <w:p w:rsidR="003C3C6B" w:rsidRDefault="003C3C6B" w:rsidP="003C3C6B">
      <w:pPr>
        <w:autoSpaceDE w:val="0"/>
        <w:autoSpaceDN w:val="0"/>
        <w:adjustRightInd w:val="0"/>
        <w:spacing w:after="0" w:line="20" w:lineRule="atLeast"/>
        <w:jc w:val="both"/>
        <w:rPr>
          <w:rFonts w:cstheme="minorHAnsi"/>
          <w:color w:val="000000"/>
        </w:rPr>
      </w:pPr>
      <w:r w:rsidRPr="001C2B07">
        <w:rPr>
          <w:rFonts w:cstheme="minorHAnsi"/>
          <w:color w:val="000000"/>
        </w:rPr>
        <w:t xml:space="preserve">Entro luglio 2019 sarà pubblicata la graduatoria dei 23 progetti presentati a valere sull'avviso pubblico POR FSE "Sostegno alle imprese inclusive" il cui obiettivo è favorire l'inserimento socio-lavorativo di categorie deboli e vulnerabili, supportando processi di adeguamento delle imprese ospitanti. </w:t>
      </w:r>
    </w:p>
    <w:p w:rsidR="003C3C6B" w:rsidRDefault="003C3C6B" w:rsidP="003C3C6B">
      <w:pPr>
        <w:autoSpaceDE w:val="0"/>
        <w:autoSpaceDN w:val="0"/>
        <w:adjustRightInd w:val="0"/>
        <w:spacing w:after="0" w:line="20" w:lineRule="atLeast"/>
        <w:jc w:val="both"/>
        <w:rPr>
          <w:rFonts w:cstheme="minorHAnsi"/>
          <w:color w:val="000000"/>
        </w:rPr>
      </w:pPr>
      <w:r w:rsidRPr="001C2B07">
        <w:rPr>
          <w:rFonts w:cstheme="minorHAnsi"/>
          <w:color w:val="000000"/>
        </w:rPr>
        <w:t xml:space="preserve">La stabilità dell'occupazione è un obiettivo primario in tema di soggetti vulnerabili e a tal fine le imprese ospitanti saranno supportate con specifici interventi di sostegno allo sviluppo e all'innovazione, al fine di favorirne la presenza e il posizionamento sul mercato. </w:t>
      </w:r>
    </w:p>
    <w:p w:rsidR="003C3C6B" w:rsidRDefault="003C3C6B" w:rsidP="003C3C6B">
      <w:pPr>
        <w:autoSpaceDE w:val="0"/>
        <w:autoSpaceDN w:val="0"/>
        <w:adjustRightInd w:val="0"/>
        <w:spacing w:after="0" w:line="20" w:lineRule="atLeast"/>
        <w:jc w:val="both"/>
        <w:rPr>
          <w:rFonts w:cstheme="minorHAnsi"/>
          <w:color w:val="000000"/>
        </w:rPr>
      </w:pPr>
      <w:r w:rsidRPr="001C2B07">
        <w:rPr>
          <w:rFonts w:cstheme="minorHAnsi"/>
          <w:color w:val="000000"/>
        </w:rPr>
        <w:t xml:space="preserve">I progetti dovranno concludersi entro 12 mesi a decorrere dalla firma della convenzione con RT e quindi presumibilmente nella seconda metà del 2020. Per quanto concerne l'area degli investimenti, nel 2020 si prevede la riproposizione dell'iniziativa di finanziamento per l'erogazione di contributi in conto capitale a titolo di cofinanziamento a enti locali e altri enti pubblici del territorio per la realizzazione di progetti di investimento nel settore sociale. </w:t>
      </w:r>
    </w:p>
    <w:p w:rsidR="003C3C6B" w:rsidRDefault="003C3C6B" w:rsidP="003C3C6B">
      <w:pPr>
        <w:autoSpaceDE w:val="0"/>
        <w:autoSpaceDN w:val="0"/>
        <w:adjustRightInd w:val="0"/>
        <w:spacing w:after="0" w:line="20" w:lineRule="atLeast"/>
        <w:jc w:val="both"/>
        <w:rPr>
          <w:rFonts w:cstheme="minorHAnsi"/>
          <w:color w:val="000000"/>
        </w:rPr>
      </w:pPr>
      <w:r w:rsidRPr="001C2B07">
        <w:rPr>
          <w:rFonts w:cstheme="minorHAnsi"/>
          <w:color w:val="000000"/>
        </w:rPr>
        <w:t xml:space="preserve">Per quanto concerne l'area infanzia, adolescenza e sostegno alla genitorialità: </w:t>
      </w:r>
    </w:p>
    <w:p w:rsidR="003C3C6B" w:rsidRDefault="003C3C6B" w:rsidP="003C3C6B">
      <w:pPr>
        <w:autoSpaceDE w:val="0"/>
        <w:autoSpaceDN w:val="0"/>
        <w:adjustRightInd w:val="0"/>
        <w:spacing w:after="0" w:line="20" w:lineRule="atLeast"/>
        <w:jc w:val="both"/>
        <w:rPr>
          <w:rFonts w:cstheme="minorHAnsi"/>
          <w:color w:val="000000"/>
        </w:rPr>
      </w:pPr>
      <w:r w:rsidRPr="001C2B07">
        <w:rPr>
          <w:rFonts w:cstheme="minorHAnsi"/>
          <w:color w:val="000000"/>
        </w:rPr>
        <w:lastRenderedPageBreak/>
        <w:t>- consolidamento degli esiti del Programma Nazionale P.I.P.P.I. per la Prevenzione dell'Istituzionalizzazione di minori e per il sostegno alla genitorialità vulnerabile su tutto il territorio regionale e la diffusione degli indirizzi nazionali per l’accompagnamento delle famiglie vulnerabili; saranno sviluppate le azioni di livello regionale, laboratori, percorsi formativi e dispositivi a sostegno dell'implementazione del modello in accordo con il Settore regionale competente in materia di salute mentale infanzia e adolescenza, per favorire la costituzione ed il rafforzamento delle équipe multidisciplinari;</w:t>
      </w:r>
    </w:p>
    <w:p w:rsidR="003C3C6B" w:rsidRDefault="003C3C6B" w:rsidP="003C3C6B">
      <w:pPr>
        <w:autoSpaceDE w:val="0"/>
        <w:autoSpaceDN w:val="0"/>
        <w:adjustRightInd w:val="0"/>
        <w:spacing w:after="0" w:line="20" w:lineRule="atLeast"/>
        <w:jc w:val="both"/>
        <w:rPr>
          <w:rFonts w:cstheme="minorHAnsi"/>
          <w:color w:val="000000"/>
        </w:rPr>
      </w:pPr>
      <w:r w:rsidRPr="001C2B07">
        <w:rPr>
          <w:rFonts w:cstheme="minorHAnsi"/>
          <w:color w:val="000000"/>
        </w:rPr>
        <w:t xml:space="preserve"> - estensione delle progettualità finanziate a valere sui Fondi annuali erogati dal Dipartimento Politiche per la Famiglia a tutte le ventisei Zone Distretto/Società della Salute della Toscana, con l’obiettivo di consolidare il modello di intervento integrato per il sostegno alla genitorialità vulnerabile e assicurare la valutazione multidimensionale dei bisogni attraverso la costituzione o il rafforzamento delle équipe multidisciplinari;</w:t>
      </w:r>
    </w:p>
    <w:p w:rsidR="003C3C6B" w:rsidRDefault="003C3C6B" w:rsidP="003C3C6B">
      <w:pPr>
        <w:autoSpaceDE w:val="0"/>
        <w:autoSpaceDN w:val="0"/>
        <w:adjustRightInd w:val="0"/>
        <w:spacing w:after="0" w:line="20" w:lineRule="atLeast"/>
        <w:jc w:val="both"/>
        <w:rPr>
          <w:rFonts w:cstheme="minorHAnsi"/>
          <w:color w:val="000000"/>
        </w:rPr>
      </w:pPr>
      <w:r w:rsidRPr="001C2B07">
        <w:rPr>
          <w:rFonts w:cstheme="minorHAnsi"/>
          <w:color w:val="000000"/>
        </w:rPr>
        <w:t xml:space="preserve"> - sviluppo nuovo programma triennale 2019/2021 di collaborazione con l'ASP Istituto degli Innocenti di Firenze per il supporto alla programmazione regionale e territoriale per l’area infanzia, adolescenza, famiglie e genitorialità nell'ambito della legge regionale 31/2000:</w:t>
      </w:r>
    </w:p>
    <w:p w:rsidR="003C3C6B" w:rsidRDefault="003C3C6B" w:rsidP="003C3C6B">
      <w:pPr>
        <w:autoSpaceDE w:val="0"/>
        <w:autoSpaceDN w:val="0"/>
        <w:adjustRightInd w:val="0"/>
        <w:spacing w:after="0" w:line="20" w:lineRule="atLeast"/>
        <w:jc w:val="both"/>
        <w:rPr>
          <w:rFonts w:cstheme="minorHAnsi"/>
          <w:color w:val="000000"/>
        </w:rPr>
      </w:pPr>
      <w:r w:rsidRPr="001C2B07">
        <w:rPr>
          <w:rFonts w:cstheme="minorHAnsi"/>
          <w:color w:val="000000"/>
        </w:rPr>
        <w:t>1. monitoraggio indicatori e di dati utili alla costruzione del profilo di salute zonale e collaborazione con Osservatorio Sociale Regionale;</w:t>
      </w:r>
    </w:p>
    <w:p w:rsidR="003C3C6B" w:rsidRDefault="003C3C6B" w:rsidP="003C3C6B">
      <w:pPr>
        <w:autoSpaceDE w:val="0"/>
        <w:autoSpaceDN w:val="0"/>
        <w:adjustRightInd w:val="0"/>
        <w:spacing w:after="0" w:line="20" w:lineRule="atLeast"/>
        <w:jc w:val="both"/>
        <w:rPr>
          <w:rFonts w:cstheme="minorHAnsi"/>
          <w:color w:val="000000"/>
        </w:rPr>
      </w:pPr>
      <w:r w:rsidRPr="001C2B07">
        <w:rPr>
          <w:rFonts w:cstheme="minorHAnsi"/>
          <w:color w:val="000000"/>
        </w:rPr>
        <w:t xml:space="preserve">2. analisi e restituzione alle zone distretto sui risultati della mappatura del contesto socio-demografico e del sistema di servizi presenti; </w:t>
      </w:r>
    </w:p>
    <w:p w:rsidR="003C3C6B" w:rsidRDefault="003C3C6B" w:rsidP="003C3C6B">
      <w:pPr>
        <w:autoSpaceDE w:val="0"/>
        <w:autoSpaceDN w:val="0"/>
        <w:adjustRightInd w:val="0"/>
        <w:spacing w:after="0" w:line="20" w:lineRule="atLeast"/>
        <w:jc w:val="both"/>
        <w:rPr>
          <w:rFonts w:cstheme="minorHAnsi"/>
          <w:color w:val="000000"/>
        </w:rPr>
      </w:pPr>
      <w:r w:rsidRPr="001C2B07">
        <w:rPr>
          <w:rFonts w:cstheme="minorHAnsi"/>
          <w:color w:val="000000"/>
        </w:rPr>
        <w:t xml:space="preserve">3. aggiornamento della rappresentazione zonale delle banche dati sui minori allontanati dalla famiglia e sui minori che vivono in famiglia e che usufruiscono di interventi di sostegno, promozione e prevenzione, al fine di connettere i sistemi di rilevazione e monitoraggio alla programmazione degli interventi ed ai processi di valutazione degli esiti; </w:t>
      </w:r>
    </w:p>
    <w:p w:rsidR="003C3C6B" w:rsidRPr="001C2B07" w:rsidRDefault="003C3C6B" w:rsidP="003C3C6B">
      <w:pPr>
        <w:autoSpaceDE w:val="0"/>
        <w:autoSpaceDN w:val="0"/>
        <w:adjustRightInd w:val="0"/>
        <w:spacing w:after="0" w:line="20" w:lineRule="atLeast"/>
        <w:jc w:val="both"/>
        <w:rPr>
          <w:rFonts w:cstheme="minorHAnsi"/>
          <w:color w:val="000000"/>
        </w:rPr>
      </w:pPr>
      <w:r w:rsidRPr="001C2B07">
        <w:rPr>
          <w:rFonts w:cstheme="minorHAnsi"/>
          <w:color w:val="000000"/>
        </w:rPr>
        <w:t xml:space="preserve">4. diffusione indirizzi regionali per l’identificazione e la mappatura degli interventi di protezione e tutela e di sostegno alla genitorialità, finalizzati a individuare linguaggi comuni e standard di servizio omogenei sul territorio; - monitoraggio percorso per la revisione dell’accordo di programma in materia di adozione alla luce della riforma del sistema sanitario toscano, del nuovo assetto organizzativo delle zone distretto nonché dei consolidati rapporti tra sistema pubblico di protezione e tutela e soggetti privati che operano nel campo dell’adozione internazionale e tra questi ed il sistema scolastico. </w:t>
      </w:r>
    </w:p>
    <w:p w:rsidR="003C3C6B" w:rsidRDefault="003C3C6B" w:rsidP="003C3C6B">
      <w:pPr>
        <w:autoSpaceDE w:val="0"/>
        <w:autoSpaceDN w:val="0"/>
        <w:adjustRightInd w:val="0"/>
        <w:spacing w:after="0" w:line="20" w:lineRule="atLeast"/>
        <w:jc w:val="both"/>
        <w:rPr>
          <w:rFonts w:cstheme="minorHAnsi"/>
          <w:color w:val="000000"/>
        </w:rPr>
      </w:pPr>
      <w:r w:rsidRPr="001C2B07">
        <w:rPr>
          <w:rFonts w:cstheme="minorHAnsi"/>
          <w:color w:val="000000"/>
        </w:rPr>
        <w:t xml:space="preserve">Per il 2020 continueranno le attività di monitoraggio del possesso dei requisiti dei centri antiviolenza e delle case rifugio iscritte o che si iscriveranno all’elenco regionale. </w:t>
      </w:r>
    </w:p>
    <w:p w:rsidR="003C3C6B" w:rsidRDefault="003C3C6B" w:rsidP="003C3C6B">
      <w:pPr>
        <w:autoSpaceDE w:val="0"/>
        <w:autoSpaceDN w:val="0"/>
        <w:adjustRightInd w:val="0"/>
        <w:spacing w:after="0" w:line="20" w:lineRule="atLeast"/>
        <w:jc w:val="both"/>
        <w:rPr>
          <w:rFonts w:cstheme="minorHAnsi"/>
          <w:color w:val="000000"/>
        </w:rPr>
      </w:pPr>
      <w:r w:rsidRPr="001C2B07">
        <w:rPr>
          <w:rFonts w:cstheme="minorHAnsi"/>
          <w:color w:val="000000"/>
        </w:rPr>
        <w:t xml:space="preserve">Sarà data continuità ai finanziamenti ai centri antiviolenza e alle case rifugio con le risorse regionali stanziate sul bilancio regionale pluriennale che attualmente ammontano a 100.000 euro. </w:t>
      </w:r>
    </w:p>
    <w:p w:rsidR="003C3C6B" w:rsidRDefault="003C3C6B" w:rsidP="003C3C6B">
      <w:pPr>
        <w:autoSpaceDE w:val="0"/>
        <w:autoSpaceDN w:val="0"/>
        <w:adjustRightInd w:val="0"/>
        <w:spacing w:after="0" w:line="20" w:lineRule="atLeast"/>
        <w:jc w:val="both"/>
        <w:rPr>
          <w:rFonts w:cstheme="minorHAnsi"/>
          <w:color w:val="000000"/>
        </w:rPr>
      </w:pPr>
      <w:r w:rsidRPr="001C2B07">
        <w:rPr>
          <w:rFonts w:cstheme="minorHAnsi"/>
          <w:color w:val="000000"/>
        </w:rPr>
        <w:t>Proseguiranno i rapporti con il DPO circa il monitoraggio delle risorse di cui ai DPCM emanati ai sensi dell’articolo 5 bis del D.L. n. 93/2013 convertito in legge n. 119/2013 fino al 2020 per centri antiviole</w:t>
      </w:r>
      <w:r w:rsidR="00C55DD5">
        <w:rPr>
          <w:rFonts w:cstheme="minorHAnsi"/>
          <w:color w:val="000000"/>
        </w:rPr>
        <w:t>n</w:t>
      </w:r>
      <w:r w:rsidRPr="001C2B07">
        <w:rPr>
          <w:rFonts w:cstheme="minorHAnsi"/>
          <w:color w:val="000000"/>
        </w:rPr>
        <w:t xml:space="preserve">za e case rifugio e le attività di programmazione delle risorse a valere sui prossimi DPCM. </w:t>
      </w:r>
    </w:p>
    <w:p w:rsidR="003C3C6B" w:rsidRDefault="003C3C6B" w:rsidP="003C3C6B">
      <w:pPr>
        <w:autoSpaceDE w:val="0"/>
        <w:autoSpaceDN w:val="0"/>
        <w:adjustRightInd w:val="0"/>
        <w:spacing w:after="0" w:line="20" w:lineRule="atLeast"/>
        <w:jc w:val="both"/>
        <w:rPr>
          <w:rFonts w:cstheme="minorHAnsi"/>
          <w:color w:val="000000"/>
        </w:rPr>
      </w:pPr>
      <w:r w:rsidRPr="001C2B07">
        <w:rPr>
          <w:rFonts w:cstheme="minorHAnsi"/>
          <w:color w:val="000000"/>
        </w:rPr>
        <w:t xml:space="preserve">Per le politiche di genere sul versante omofobia sarà data continuità all’accordo della rete Ready con risorse appositamente stanziate che attualmente ammontano a 80.000,00 euro per il 2020. Verrà inoltre proseguita la campagna di sensibilizzazione sul numero antiviolenza 1522. </w:t>
      </w:r>
    </w:p>
    <w:p w:rsidR="003C3C6B" w:rsidRDefault="003C3C6B" w:rsidP="003C3C6B">
      <w:pPr>
        <w:autoSpaceDE w:val="0"/>
        <w:autoSpaceDN w:val="0"/>
        <w:adjustRightInd w:val="0"/>
        <w:spacing w:after="0" w:line="20" w:lineRule="atLeast"/>
        <w:jc w:val="both"/>
        <w:rPr>
          <w:rFonts w:cstheme="minorHAnsi"/>
          <w:color w:val="000000"/>
        </w:rPr>
      </w:pPr>
      <w:r w:rsidRPr="001C2B07">
        <w:rPr>
          <w:rFonts w:cstheme="minorHAnsi"/>
          <w:color w:val="000000"/>
        </w:rPr>
        <w:t xml:space="preserve">Ai sensi della l.r. 73/2018 prosegue il contributo finanziario annuale a favore delle famiglie con figli minori disabili gravi. </w:t>
      </w:r>
      <w:proofErr w:type="gramStart"/>
      <w:r w:rsidRPr="001C2B07">
        <w:rPr>
          <w:rFonts w:cstheme="minorHAnsi"/>
          <w:color w:val="000000"/>
        </w:rPr>
        <w:t>per</w:t>
      </w:r>
      <w:proofErr w:type="gramEnd"/>
      <w:r w:rsidRPr="001C2B07">
        <w:rPr>
          <w:rFonts w:cstheme="minorHAnsi"/>
          <w:color w:val="000000"/>
        </w:rPr>
        <w:t xml:space="preserve"> il triennio 2019 – 2021 per ogni minore disabile in presenza di un'accertata condizione di handicap grave di cui all'articolo 3, comma 3, della legge 5 febbraio 1992, n. 104 (legge-quadro per l'assistenza, l'integrazione sociale e i diritti delle persone handicappate). </w:t>
      </w:r>
    </w:p>
    <w:p w:rsidR="003C3C6B" w:rsidRDefault="003C3C6B" w:rsidP="003C3C6B">
      <w:pPr>
        <w:autoSpaceDE w:val="0"/>
        <w:autoSpaceDN w:val="0"/>
        <w:adjustRightInd w:val="0"/>
        <w:spacing w:after="0" w:line="20" w:lineRule="atLeast"/>
        <w:jc w:val="both"/>
        <w:rPr>
          <w:rFonts w:cstheme="minorHAnsi"/>
          <w:color w:val="000000"/>
        </w:rPr>
      </w:pPr>
      <w:r w:rsidRPr="001C2B07">
        <w:rPr>
          <w:rFonts w:cstheme="minorHAnsi"/>
          <w:color w:val="000000"/>
        </w:rPr>
        <w:t xml:space="preserve">Proseguono le attività del Progetto regionale, denominato “Pronto Badante - Interventi di sostegno e integrazione nell'area dell'assistenza familiare in Toscana”. </w:t>
      </w:r>
    </w:p>
    <w:p w:rsidR="003C3C6B" w:rsidRPr="001223F4" w:rsidRDefault="003C3C6B" w:rsidP="003C3C6B">
      <w:pPr>
        <w:autoSpaceDE w:val="0"/>
        <w:autoSpaceDN w:val="0"/>
        <w:adjustRightInd w:val="0"/>
        <w:spacing w:after="0" w:line="20" w:lineRule="atLeast"/>
        <w:jc w:val="both"/>
        <w:rPr>
          <w:rFonts w:ascii="Corbel" w:hAnsi="Corbel" w:cs="Times New Roman"/>
          <w:color w:val="000000"/>
          <w:sz w:val="28"/>
          <w:szCs w:val="28"/>
        </w:rPr>
      </w:pPr>
      <w:r w:rsidRPr="001C2B07">
        <w:rPr>
          <w:rFonts w:cstheme="minorHAnsi"/>
          <w:color w:val="000000"/>
        </w:rPr>
        <w:t>Dare continuità ed attuare nuove azioni specifiche nei settings scuola, comunità, lavoro e servizio sanitario, in coerenza con la programmazione nazionale e regionale in tema di prevenzione, promozione della salute e stili di vita. Le azioni saranno orientate ad incentivare i fattori di protezione e ridurre quelli di rischio attraverso un approccio evidence based, lo sviluppo delle competenze, delle conoscenze e della consapevolezza delle persone di tutte le età, con un approccio “lifecourse” e la promozione di contesti favorevoli all'adozione di scelte consapevoli e salutari. Le azioni già avviate in tal senso da Guadagnare Salute, da Toscana da Ragazzi e dal WHP, saranno sviluppate proseguendo e sviluppando le collaborazioni interdirezionali e interistituzionali nell’ottica della “salute in tutte le politiche”: con l’USR, le Istituzioni Scolastiche, le Università, le aziende sanitarie, gli enti e le imprese, i soggetti del terzo settore</w:t>
      </w:r>
      <w:r w:rsidRPr="001223F4">
        <w:rPr>
          <w:rFonts w:ascii="Corbel" w:hAnsi="Corbel" w:cs="MLGHL P+ Tahoma"/>
          <w:color w:val="000000"/>
          <w:sz w:val="28"/>
          <w:szCs w:val="28"/>
        </w:rPr>
        <w:t xml:space="preserve">. </w:t>
      </w:r>
    </w:p>
    <w:p w:rsidR="003C3C6B" w:rsidRPr="001C2B07" w:rsidRDefault="003C3C6B" w:rsidP="003C3C6B">
      <w:pPr>
        <w:autoSpaceDE w:val="0"/>
        <w:autoSpaceDN w:val="0"/>
        <w:adjustRightInd w:val="0"/>
        <w:spacing w:after="0" w:line="20" w:lineRule="atLeast"/>
        <w:jc w:val="both"/>
        <w:rPr>
          <w:rFonts w:cstheme="minorHAnsi"/>
          <w:b/>
          <w:bCs/>
          <w:color w:val="000000"/>
        </w:rPr>
      </w:pPr>
      <w:r w:rsidRPr="001C2B07">
        <w:rPr>
          <w:rFonts w:cstheme="minorHAnsi"/>
          <w:b/>
          <w:bCs/>
          <w:color w:val="000000"/>
        </w:rPr>
        <w:lastRenderedPageBreak/>
        <w:t xml:space="preserve">Progetto regionale 19 Riforma e sviluppo della qualità sanitaria </w:t>
      </w:r>
    </w:p>
    <w:p w:rsidR="003C3C6B" w:rsidRPr="001C2B07" w:rsidRDefault="003C3C6B" w:rsidP="003C3C6B">
      <w:pPr>
        <w:autoSpaceDE w:val="0"/>
        <w:autoSpaceDN w:val="0"/>
        <w:adjustRightInd w:val="0"/>
        <w:spacing w:after="0" w:line="20" w:lineRule="atLeast"/>
        <w:jc w:val="both"/>
        <w:rPr>
          <w:rFonts w:cstheme="minorHAnsi"/>
          <w:b/>
          <w:bCs/>
          <w:color w:val="000000"/>
        </w:rPr>
      </w:pPr>
      <w:r w:rsidRPr="001C2B07">
        <w:rPr>
          <w:rFonts w:cstheme="minorHAnsi"/>
          <w:b/>
          <w:bCs/>
          <w:color w:val="000000"/>
        </w:rPr>
        <w:t xml:space="preserve">1. OBIETTIVI E PRIORITÀ PER IL 2020 </w:t>
      </w:r>
    </w:p>
    <w:p w:rsidR="003C3C6B" w:rsidRDefault="003C3C6B" w:rsidP="003C3C6B">
      <w:pPr>
        <w:autoSpaceDE w:val="0"/>
        <w:autoSpaceDN w:val="0"/>
        <w:adjustRightInd w:val="0"/>
        <w:spacing w:after="0" w:line="20" w:lineRule="atLeast"/>
        <w:jc w:val="both"/>
        <w:rPr>
          <w:rFonts w:cstheme="minorHAnsi"/>
          <w:color w:val="000000"/>
        </w:rPr>
      </w:pPr>
      <w:r w:rsidRPr="001C2B07">
        <w:rPr>
          <w:rFonts w:cstheme="minorHAnsi"/>
          <w:color w:val="000000"/>
        </w:rPr>
        <w:t xml:space="preserve">La Regione ha promosso e continua a promuovere politiche di investimenti in sanità attraverso la realizzazione di nuovi presidi ospedalieri, la riqualificazione delle strutture sanitarie esistenti e il rinnovo ed ammodernamento del parco tecnologico delle Aziende sanitarie regionali. </w:t>
      </w:r>
    </w:p>
    <w:p w:rsidR="003C3C6B" w:rsidRDefault="003C3C6B" w:rsidP="003C3C6B">
      <w:pPr>
        <w:autoSpaceDE w:val="0"/>
        <w:autoSpaceDN w:val="0"/>
        <w:adjustRightInd w:val="0"/>
        <w:spacing w:after="0" w:line="20" w:lineRule="atLeast"/>
        <w:jc w:val="both"/>
        <w:rPr>
          <w:rFonts w:cstheme="minorHAnsi"/>
          <w:color w:val="000000"/>
        </w:rPr>
      </w:pPr>
      <w:r w:rsidRPr="001C2B07">
        <w:rPr>
          <w:rFonts w:cstheme="minorHAnsi"/>
          <w:color w:val="000000"/>
        </w:rPr>
        <w:t xml:space="preserve">Tali investimenti hanno trovato e continuano a trovare copertura con risorse statali, regionali e aziendali. In particolare, nel quadro degli investimenti previsti nel corso degli anni passati, si segnalano per il 2020 i seguenti interventi. In relazione al Nuovo Presidio Ospedaliero di Livorno, è in fase di valutazione la fattibilità di una ristrutturazione dell’ospedale esistente e la realizzazione di un nuovo monoblocco, oltreché il riuso dei fabbricati esistenti nell’adiacente area ex Pirelli. </w:t>
      </w:r>
    </w:p>
    <w:p w:rsidR="003C3C6B" w:rsidRDefault="003C3C6B" w:rsidP="003C3C6B">
      <w:pPr>
        <w:autoSpaceDE w:val="0"/>
        <w:autoSpaceDN w:val="0"/>
        <w:adjustRightInd w:val="0"/>
        <w:spacing w:after="0" w:line="20" w:lineRule="atLeast"/>
        <w:jc w:val="both"/>
        <w:rPr>
          <w:rFonts w:cstheme="minorHAnsi"/>
          <w:color w:val="000000"/>
        </w:rPr>
      </w:pPr>
      <w:r w:rsidRPr="001C2B07">
        <w:rPr>
          <w:rFonts w:cstheme="minorHAnsi"/>
          <w:color w:val="000000"/>
        </w:rPr>
        <w:t xml:space="preserve">E’ stato approvato con DGR n. 330 del 11/03/2019 uno schema di Accordo di Programma con i contenuti e le scelte concertate con Azienda e Comune che troverà attuazione a partire dal 2020. </w:t>
      </w:r>
    </w:p>
    <w:p w:rsidR="003C3C6B" w:rsidRDefault="003C3C6B" w:rsidP="003C3C6B">
      <w:pPr>
        <w:autoSpaceDE w:val="0"/>
        <w:autoSpaceDN w:val="0"/>
        <w:adjustRightInd w:val="0"/>
        <w:spacing w:after="0" w:line="20" w:lineRule="atLeast"/>
        <w:jc w:val="both"/>
        <w:rPr>
          <w:rFonts w:cstheme="minorHAnsi"/>
          <w:color w:val="000000"/>
        </w:rPr>
      </w:pPr>
      <w:r w:rsidRPr="001C2B07">
        <w:rPr>
          <w:rFonts w:cstheme="minorHAnsi"/>
          <w:color w:val="000000"/>
        </w:rPr>
        <w:t xml:space="preserve">A dicembre 2017 è stato approvato dal CIPE il finanziamento di 10 mln. </w:t>
      </w:r>
      <w:proofErr w:type="gramStart"/>
      <w:r w:rsidRPr="001C2B07">
        <w:rPr>
          <w:rFonts w:cstheme="minorHAnsi"/>
          <w:color w:val="000000"/>
        </w:rPr>
        <w:t>per</w:t>
      </w:r>
      <w:proofErr w:type="gramEnd"/>
      <w:r w:rsidRPr="001C2B07">
        <w:rPr>
          <w:rFonts w:cstheme="minorHAnsi"/>
          <w:color w:val="000000"/>
        </w:rPr>
        <w:t xml:space="preserve"> la realizzazione della nuova palazzina funzionale all’ampliamento dell’Ospedale Santo Stefano di Prato. </w:t>
      </w:r>
    </w:p>
    <w:p w:rsidR="003C3C6B" w:rsidRDefault="003C3C6B" w:rsidP="003C3C6B">
      <w:pPr>
        <w:autoSpaceDE w:val="0"/>
        <w:autoSpaceDN w:val="0"/>
        <w:adjustRightInd w:val="0"/>
        <w:spacing w:after="0" w:line="20" w:lineRule="atLeast"/>
        <w:jc w:val="both"/>
        <w:rPr>
          <w:rFonts w:cstheme="minorHAnsi"/>
          <w:color w:val="000000"/>
        </w:rPr>
      </w:pPr>
      <w:r w:rsidRPr="001C2B07">
        <w:rPr>
          <w:rFonts w:cstheme="minorHAnsi"/>
          <w:color w:val="000000"/>
        </w:rPr>
        <w:t xml:space="preserve">La finalità è quella di adeguare il numero di posti letto dell’ospedale alle mutate esigenze del bacino di utenza ed ampliare gli spazi destinati all’oncologia, rendendo coerenti in termini di efficacia ed efficienza gli spazi fruibili dell’ospedale di Prato alla crescente domanda sanitaria. </w:t>
      </w:r>
    </w:p>
    <w:p w:rsidR="003C3C6B" w:rsidRDefault="003C3C6B" w:rsidP="003C3C6B">
      <w:pPr>
        <w:autoSpaceDE w:val="0"/>
        <w:autoSpaceDN w:val="0"/>
        <w:adjustRightInd w:val="0"/>
        <w:spacing w:after="0" w:line="20" w:lineRule="atLeast"/>
        <w:jc w:val="both"/>
        <w:rPr>
          <w:rFonts w:cstheme="minorHAnsi"/>
          <w:color w:val="000000"/>
        </w:rPr>
      </w:pPr>
      <w:r w:rsidRPr="001C2B07">
        <w:rPr>
          <w:rFonts w:cstheme="minorHAnsi"/>
          <w:color w:val="000000"/>
        </w:rPr>
        <w:t xml:space="preserve">Con DGR n. 274 del 04/03/2019 è stato approvato il progetto di fattibilità tecnico-economica e individuati i soggetti responsabili per la gestione del contributo; il cofinanziamento regionale ammonta a 1,080 mln. </w:t>
      </w:r>
      <w:proofErr w:type="gramStart"/>
      <w:r w:rsidRPr="001C2B07">
        <w:rPr>
          <w:rFonts w:cstheme="minorHAnsi"/>
          <w:color w:val="000000"/>
        </w:rPr>
        <w:t>per</w:t>
      </w:r>
      <w:proofErr w:type="gramEnd"/>
      <w:r w:rsidRPr="001C2B07">
        <w:rPr>
          <w:rFonts w:cstheme="minorHAnsi"/>
          <w:color w:val="000000"/>
        </w:rPr>
        <w:t xml:space="preserve"> il 2020, mentre la quota aziendale finanziata con mutuo è di euro 8.248.412,48. </w:t>
      </w:r>
    </w:p>
    <w:p w:rsidR="003C3C6B" w:rsidRPr="006867E7" w:rsidRDefault="003C3C6B" w:rsidP="003C3C6B">
      <w:pPr>
        <w:autoSpaceDE w:val="0"/>
        <w:autoSpaceDN w:val="0"/>
        <w:adjustRightInd w:val="0"/>
        <w:spacing w:after="0" w:line="20" w:lineRule="atLeast"/>
        <w:jc w:val="both"/>
        <w:rPr>
          <w:rFonts w:cstheme="minorHAnsi"/>
          <w:b/>
          <w:bCs/>
          <w:color w:val="000000"/>
        </w:rPr>
      </w:pPr>
      <w:r w:rsidRPr="006867E7">
        <w:rPr>
          <w:rFonts w:cstheme="minorHAnsi"/>
          <w:b/>
          <w:bCs/>
          <w:color w:val="000000"/>
        </w:rPr>
        <w:t xml:space="preserve">Progetto regionale 22 Politiche per l’accoglienza e l’integrazione dei cittadini stranieri 1. </w:t>
      </w:r>
    </w:p>
    <w:p w:rsidR="003C3C6B" w:rsidRPr="006867E7" w:rsidRDefault="003C3C6B" w:rsidP="003C3C6B">
      <w:pPr>
        <w:autoSpaceDE w:val="0"/>
        <w:autoSpaceDN w:val="0"/>
        <w:adjustRightInd w:val="0"/>
        <w:spacing w:after="0" w:line="20" w:lineRule="atLeast"/>
        <w:jc w:val="both"/>
        <w:rPr>
          <w:rFonts w:cstheme="minorHAnsi"/>
          <w:b/>
          <w:bCs/>
          <w:color w:val="000000"/>
        </w:rPr>
      </w:pPr>
      <w:r w:rsidRPr="006867E7">
        <w:rPr>
          <w:rFonts w:cstheme="minorHAnsi"/>
          <w:b/>
          <w:bCs/>
          <w:color w:val="000000"/>
        </w:rPr>
        <w:t xml:space="preserve">OBIETTIVI E PRIORITÀ PER IL 2020 </w:t>
      </w:r>
    </w:p>
    <w:p w:rsidR="003C3C6B" w:rsidRDefault="003C3C6B" w:rsidP="003C3C6B">
      <w:pPr>
        <w:autoSpaceDE w:val="0"/>
        <w:autoSpaceDN w:val="0"/>
        <w:adjustRightInd w:val="0"/>
        <w:spacing w:after="0" w:line="20" w:lineRule="atLeast"/>
        <w:jc w:val="both"/>
        <w:rPr>
          <w:rFonts w:ascii="Corbel" w:hAnsi="Corbel" w:cs="MLGHL P+ Tahoma"/>
          <w:color w:val="000000"/>
          <w:sz w:val="28"/>
          <w:szCs w:val="28"/>
        </w:rPr>
      </w:pPr>
      <w:r w:rsidRPr="006867E7">
        <w:rPr>
          <w:rFonts w:cstheme="minorHAnsi"/>
          <w:color w:val="000000"/>
        </w:rPr>
        <w:t xml:space="preserve">Con l’approvazione del Decreto Legge 113/2018 convertito con Legge 132/2018 - “Disposizioni urgenti in materia di protezione internazionale e immigrazione, sicurezza pubblica, nonché misure per la funzionalità del Ministero dell'Interno e l'organizzazione e il funzionamento dell'Agenzia nazionale per l'amministrazione e la destinazione dei beni sequestrati e confiscati alla criminalità organizzata”, sono intervenute modifiche normative in materia di immigrazione che richiedono di salvaguardare il lavoro realizzato in questi ultimi anni nella nostra Regione. L’impegno, infatti, è quello di continuare a sostenere e promuovere i principi e le raccomandazioni contenute nel “Libro Bianco” (approvato con DGR n. 1304 del 27/11/2017), quale punto di riferimento delle linee di azione regionali in materia di accoglienza e integrazione per richiedenti asilo e titolari di protezione internazionale. In quest’ottica, gli obiettivi che si intendono rafforzare sono: 1. Collegare in modo strategico le politiche specifiche di intervento per l'accoglienza (in modo particolare per richiedenti asilo e titolari di protezione internazionale) e l'integrazione delle persone straniere alla programmazione territoriale delle politiche socio-sanitarie, politiche del lavoro e politiche della formazione, in particolare linguistica, nell'ottica di privilegiare soluzioni di “comunità” e modelli di intervento integrati sul territorio regionale; 2. Promuovere la realizzazione e/o il rafforzamento dei servizi integrati di orientamento e accompagnamento della persona, di supporto all’inclusione sociale e lavorativa negli ambiti dell’abitare, della formazione linguistica e professionale, dell’inserimento lavorativo e dell’assistenza sanitaria attraverso la ricerca della più stretta e virtuosa collaborazione e sinergia tra gli enti pubblici, i soggetti del Terzo Settore e le altre risorse del territorio regionale; 3. Promuovere e sostenere l'integrazione delle persone straniere e la coesione sociale nelle comunità locali toscane attraverso la realizzazione di specifici percorsi di intervento di livello regionale (rete sportelli informativi, area della formazione civico-linguistica, integrazione scolastica, orientamento e accompagnamento al lavoro, comunicazione e partecipazione). Il conseguimento di quest'ultimo obiettivo trova corrispondenza in interventi programmati con il DEFR 2019 e già attivi, che proseguiranno per il 2020 quali la realizzazione dei progetti dei quali la Regione Toscana è capofila nell’ambito del Fondo Asilo, Migrazione e Integrazione 2014-2020, e precisamente i progetti “SOFT II” e “TEAMS” finalizzati alla facilitazione dell’integrazione dei cittadini di Paesi terzi in vari ambiti e il progetto “SPRINT” finalizzato ad azioni di carattere socio-sanitario. Per quanto riguarda, invece, il tema dei minori stranieri non accompagnati, si confermano gli obiettivi della promozione delle opportunità di accoglienza ed integrazione e della tutela: a) si intende proseguire l’attività di monitoraggio sulla presenza di MSNA, sulla presa in carico da parte dei servizi sociali e sull’accoglienza nelle comunità e negli appartamenti per l'autonomia; b) collaborazione con il Tribunale per i Minorenni e con il Garante regionale per l’Infanzia e </w:t>
      </w:r>
      <w:r w:rsidRPr="006867E7">
        <w:rPr>
          <w:rFonts w:cstheme="minorHAnsi"/>
          <w:color w:val="000000"/>
        </w:rPr>
        <w:lastRenderedPageBreak/>
        <w:t>l’Adolescenza ai fini della promozione del modello di presa in carico e accompagnamento e per la formazione dei tutori volontari.</w:t>
      </w:r>
    </w:p>
    <w:p w:rsidR="003C3C6B" w:rsidRDefault="003C3C6B" w:rsidP="00670259">
      <w:pPr>
        <w:autoSpaceDE w:val="0"/>
        <w:autoSpaceDN w:val="0"/>
        <w:adjustRightInd w:val="0"/>
        <w:spacing w:after="0" w:line="20" w:lineRule="atLeast"/>
        <w:jc w:val="both"/>
        <w:rPr>
          <w:rFonts w:cstheme="minorHAnsi"/>
          <w:color w:val="000000"/>
        </w:rPr>
      </w:pPr>
    </w:p>
    <w:p w:rsidR="00ED20A9" w:rsidRDefault="00ED20A9" w:rsidP="00ED20A9">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Pr>
          <w:rFonts w:cstheme="minorHAnsi"/>
          <w:b/>
        </w:rPr>
        <w:t>SANITÀ</w:t>
      </w:r>
    </w:p>
    <w:p w:rsidR="00ED20A9" w:rsidRDefault="00ED20A9" w:rsidP="00ED20A9">
      <w:pPr>
        <w:spacing w:after="0" w:line="20" w:lineRule="atLeast"/>
        <w:jc w:val="both"/>
        <w:rPr>
          <w:rFonts w:cstheme="minorHAnsi"/>
          <w:b/>
        </w:rPr>
      </w:pPr>
    </w:p>
    <w:p w:rsidR="00ED20A9" w:rsidRPr="006B0B81" w:rsidRDefault="00ED20A9" w:rsidP="00ED20A9">
      <w:pPr>
        <w:spacing w:after="0" w:line="20" w:lineRule="atLeast"/>
        <w:jc w:val="both"/>
        <w:rPr>
          <w:rFonts w:cstheme="minorHAnsi"/>
        </w:rPr>
      </w:pPr>
      <w:r w:rsidRPr="00CA7E42">
        <w:rPr>
          <w:rFonts w:cstheme="minorHAnsi"/>
          <w:b/>
        </w:rPr>
        <w:t>DGR  22 luglio 2019, n. 954</w:t>
      </w:r>
      <w:r w:rsidRPr="006B0B81">
        <w:rPr>
          <w:rFonts w:cstheme="minorHAnsi"/>
        </w:rPr>
        <w:t xml:space="preserve"> DGR n. 652/2013: Protocollo d’Intesa tra Regione Toscana e Inail per l’erogazione di prestazioni di assistenza sanitaria. Proroga. </w:t>
      </w:r>
      <w:r>
        <w:rPr>
          <w:rFonts w:cstheme="minorHAnsi"/>
        </w:rPr>
        <w:t>(</w:t>
      </w:r>
      <w:proofErr w:type="gramStart"/>
      <w:r>
        <w:rPr>
          <w:rFonts w:cstheme="minorHAnsi"/>
        </w:rPr>
        <w:t>BUR  n.</w:t>
      </w:r>
      <w:proofErr w:type="gramEnd"/>
      <w:r>
        <w:rPr>
          <w:rFonts w:cstheme="minorHAnsi"/>
        </w:rPr>
        <w:t xml:space="preserve">  32 del 7.8.19)</w:t>
      </w:r>
    </w:p>
    <w:p w:rsidR="00ED20A9" w:rsidRPr="00CA7E42" w:rsidRDefault="00ED20A9" w:rsidP="00ED20A9">
      <w:pPr>
        <w:spacing w:after="0" w:line="20" w:lineRule="atLeast"/>
        <w:jc w:val="both"/>
        <w:rPr>
          <w:rFonts w:cstheme="minorHAnsi"/>
          <w:b/>
        </w:rPr>
      </w:pPr>
      <w:r w:rsidRPr="00CA7E42">
        <w:rPr>
          <w:rFonts w:cstheme="minorHAnsi"/>
          <w:b/>
        </w:rPr>
        <w:t>Note</w:t>
      </w:r>
    </w:p>
    <w:p w:rsidR="00ED20A9" w:rsidRPr="006B0B81" w:rsidRDefault="00ED20A9" w:rsidP="00ED20A9">
      <w:pPr>
        <w:spacing w:after="0" w:line="20" w:lineRule="atLeast"/>
        <w:jc w:val="both"/>
        <w:rPr>
          <w:rFonts w:cstheme="minorHAnsi"/>
        </w:rPr>
      </w:pPr>
      <w:proofErr w:type="gramStart"/>
      <w:r>
        <w:rPr>
          <w:rFonts w:cstheme="minorHAnsi"/>
        </w:rPr>
        <w:t xml:space="preserve">Si </w:t>
      </w:r>
      <w:r w:rsidRPr="006B0B81">
        <w:rPr>
          <w:rFonts w:cstheme="minorHAnsi"/>
        </w:rPr>
        <w:t xml:space="preserve"> procede</w:t>
      </w:r>
      <w:proofErr w:type="gramEnd"/>
      <w:r w:rsidRPr="006B0B81">
        <w:rPr>
          <w:rFonts w:cstheme="minorHAnsi"/>
        </w:rPr>
        <w:t xml:space="preserve"> alla proroga del protocollo d’intesa tra Regione Toscana e INAIL per l’erogazione, da parte di INAIL, di prestazioni di assistenza sanitaria f</w:t>
      </w:r>
      <w:r>
        <w:rPr>
          <w:rFonts w:cstheme="minorHAnsi"/>
        </w:rPr>
        <w:t>i</w:t>
      </w:r>
      <w:r w:rsidRPr="006B0B81">
        <w:rPr>
          <w:rFonts w:cstheme="minorHAnsi"/>
        </w:rPr>
        <w:t>nalizzate al reinserimento sociale e lavorativo degli infort</w:t>
      </w:r>
      <w:r>
        <w:rPr>
          <w:rFonts w:cstheme="minorHAnsi"/>
        </w:rPr>
        <w:t>unati sul lavoro e tecnopatici.</w:t>
      </w:r>
    </w:p>
    <w:p w:rsidR="00ED20A9" w:rsidRPr="008D7396" w:rsidRDefault="00ED20A9" w:rsidP="00670259">
      <w:pPr>
        <w:autoSpaceDE w:val="0"/>
        <w:autoSpaceDN w:val="0"/>
        <w:adjustRightInd w:val="0"/>
        <w:spacing w:after="0" w:line="20" w:lineRule="atLeast"/>
        <w:jc w:val="both"/>
        <w:rPr>
          <w:rFonts w:cstheme="minorHAnsi"/>
          <w:color w:val="000000"/>
        </w:rPr>
      </w:pPr>
    </w:p>
    <w:p w:rsidR="00FB2B78" w:rsidRDefault="00BC4DC2" w:rsidP="00BC4DC2">
      <w:pPr>
        <w:spacing w:after="0" w:line="20" w:lineRule="atLeast"/>
        <w:jc w:val="center"/>
        <w:rPr>
          <w:rFonts w:ascii="Broadway" w:hAnsi="Broadway" w:cstheme="majorHAnsi"/>
          <w:b/>
          <w:sz w:val="40"/>
          <w:szCs w:val="40"/>
        </w:rPr>
      </w:pPr>
      <w:r>
        <w:rPr>
          <w:rFonts w:ascii="Broadway" w:hAnsi="Broadway" w:cstheme="majorHAnsi"/>
          <w:b/>
          <w:sz w:val="40"/>
          <w:szCs w:val="40"/>
        </w:rPr>
        <w:t xml:space="preserve">VENETO </w:t>
      </w:r>
    </w:p>
    <w:p w:rsidR="00FB2B78" w:rsidRDefault="00FB2B78" w:rsidP="00BC4DC2">
      <w:pPr>
        <w:spacing w:after="0" w:line="20" w:lineRule="atLeast"/>
        <w:jc w:val="center"/>
        <w:rPr>
          <w:rFonts w:ascii="Broadway" w:hAnsi="Broadway" w:cstheme="majorHAnsi"/>
          <w:b/>
          <w:sz w:val="40"/>
          <w:szCs w:val="40"/>
        </w:rPr>
      </w:pPr>
    </w:p>
    <w:p w:rsidR="00FB2B78" w:rsidRPr="00B5684C" w:rsidRDefault="00FB2B78" w:rsidP="00625922">
      <w:pPr>
        <w:pStyle w:val="cust-dettaglio-tipo-atto"/>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FFFFF"/>
        <w:spacing w:before="0" w:beforeAutospacing="0" w:after="0" w:afterAutospacing="0" w:line="20" w:lineRule="atLeast"/>
        <w:jc w:val="center"/>
        <w:textAlignment w:val="baseline"/>
        <w:rPr>
          <w:rFonts w:asciiTheme="minorHAnsi" w:hAnsiTheme="minorHAnsi" w:cstheme="minorHAnsi"/>
          <w:b/>
          <w:caps/>
          <w:sz w:val="22"/>
          <w:szCs w:val="22"/>
        </w:rPr>
      </w:pPr>
      <w:r w:rsidRPr="00B5684C">
        <w:rPr>
          <w:rFonts w:asciiTheme="minorHAnsi" w:hAnsiTheme="minorHAnsi" w:cstheme="minorHAnsi"/>
          <w:b/>
          <w:caps/>
          <w:sz w:val="22"/>
          <w:szCs w:val="22"/>
        </w:rPr>
        <w:t>DIFESA DELLO STATO</w:t>
      </w:r>
    </w:p>
    <w:p w:rsidR="00FB2B78" w:rsidRPr="00B5684C" w:rsidRDefault="00FB2B78" w:rsidP="00B5684C">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caps/>
          <w:sz w:val="22"/>
          <w:szCs w:val="22"/>
        </w:rPr>
      </w:pPr>
    </w:p>
    <w:p w:rsidR="00C55DD5" w:rsidRPr="00B5684C" w:rsidRDefault="00FB2B78" w:rsidP="00B5684C">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Cs/>
          <w:sz w:val="22"/>
          <w:szCs w:val="22"/>
        </w:rPr>
      </w:pPr>
      <w:r w:rsidRPr="00B5684C">
        <w:rPr>
          <w:rFonts w:asciiTheme="minorHAnsi" w:hAnsiTheme="minorHAnsi" w:cstheme="minorHAnsi"/>
          <w:b/>
          <w:caps/>
          <w:sz w:val="22"/>
          <w:szCs w:val="22"/>
        </w:rPr>
        <w:t xml:space="preserve">DGR </w:t>
      </w:r>
      <w:r w:rsidRPr="00B5684C">
        <w:rPr>
          <w:rStyle w:val="cust-dettaglio-tipo-atto-num-data"/>
          <w:rFonts w:asciiTheme="minorHAnsi" w:hAnsiTheme="minorHAnsi" w:cstheme="minorHAnsi"/>
          <w:b/>
          <w:caps/>
          <w:sz w:val="22"/>
          <w:szCs w:val="22"/>
          <w:bdr w:val="none" w:sz="0" w:space="0" w:color="auto" w:frame="1"/>
        </w:rPr>
        <w:t xml:space="preserve">   </w:t>
      </w:r>
      <w:r w:rsidRPr="00B5684C">
        <w:rPr>
          <w:rStyle w:val="cust-dettaglio-tipo-atto-num-data"/>
          <w:rFonts w:asciiTheme="minorHAnsi" w:hAnsiTheme="minorHAnsi" w:cstheme="minorHAnsi"/>
          <w:b/>
          <w:sz w:val="22"/>
          <w:szCs w:val="22"/>
          <w:bdr w:val="none" w:sz="0" w:space="0" w:color="auto" w:frame="1"/>
        </w:rPr>
        <w:t xml:space="preserve">30 luglio 2019, n. 1052, </w:t>
      </w:r>
      <w:r w:rsidRPr="00B5684C">
        <w:rPr>
          <w:rFonts w:asciiTheme="minorHAnsi" w:hAnsiTheme="minorHAnsi" w:cstheme="minorHAnsi"/>
          <w:bCs/>
          <w:sz w:val="22"/>
          <w:szCs w:val="22"/>
        </w:rPr>
        <w:t>Approvazione dello schema di Protocollo d'Intesa tra Regione del Veneto, Parti Sociali, Anci Veneto, Upi Veneto, Banca d'Italia, Unioncamere del Veneto e il Comitato Unitario Ordini Professionali del Veneto, al fine di promuovere e diffondere la cultura della legalità e della cittadinanza responsabile, contribuendo a prevenire e contrastare il fenomeno delle infiltrazioni criminali nel tessuto sociale e produttivo.</w:t>
      </w:r>
      <w:r w:rsidR="00C55DD5" w:rsidRPr="00B5684C">
        <w:rPr>
          <w:rFonts w:asciiTheme="minorHAnsi" w:hAnsiTheme="minorHAnsi" w:cstheme="minorHAnsi"/>
          <w:bCs/>
          <w:sz w:val="22"/>
          <w:szCs w:val="22"/>
        </w:rPr>
        <w:t xml:space="preserve"> (BUR n. 97 del 27.8.19)</w:t>
      </w:r>
    </w:p>
    <w:p w:rsidR="00FB2B78" w:rsidRPr="00B5684C" w:rsidRDefault="00623A12" w:rsidP="00B5684C">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
          <w:bCs/>
          <w:sz w:val="22"/>
          <w:szCs w:val="22"/>
        </w:rPr>
      </w:pPr>
      <w:r w:rsidRPr="00B5684C">
        <w:rPr>
          <w:rFonts w:asciiTheme="minorHAnsi" w:hAnsiTheme="minorHAnsi" w:cstheme="minorHAnsi"/>
          <w:b/>
          <w:bCs/>
          <w:sz w:val="22"/>
          <w:szCs w:val="22"/>
        </w:rPr>
        <w:t xml:space="preserve">PREMESSA </w:t>
      </w:r>
    </w:p>
    <w:p w:rsidR="00FB2B78" w:rsidRPr="00B5684C" w:rsidRDefault="00FB2B78"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Il rispetto della legalità costituisce un valore etico e morale, pilastro imprescindibile di ogni convivenza civile, ma anche un fondamentale valore economico, in quanto condizione necessaria per il pieno sviluppo dei territori, a protezione della libertà degli operatori economici, del regolare svolgimento delle dinamiche imprenditoriali, della trasparenza del mercato e della sana concorrenza.</w:t>
      </w:r>
    </w:p>
    <w:p w:rsidR="00FB2B78" w:rsidRPr="00B5684C" w:rsidRDefault="00FB2B78"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Con la legge regionale 28 dicembre 2012 n. 48, avente ad oggetto: “</w:t>
      </w:r>
      <w:r w:rsidRPr="00B5684C">
        <w:rPr>
          <w:rStyle w:val="Enfasicorsivo"/>
          <w:rFonts w:asciiTheme="minorHAnsi" w:hAnsiTheme="minorHAnsi" w:cstheme="minorHAnsi"/>
          <w:sz w:val="22"/>
          <w:szCs w:val="22"/>
          <w:bdr w:val="none" w:sz="0" w:space="0" w:color="auto" w:frame="1"/>
        </w:rPr>
        <w:t>Misure per l'attuazione coordinata delle politiche regionali a favore della prevenzione del crimine organizzato e mafioso, della corruzione nonché per la promozione della cultura della legalità e della cittadinanza responsabile</w:t>
      </w:r>
      <w:r w:rsidRPr="00B5684C">
        <w:rPr>
          <w:rFonts w:asciiTheme="minorHAnsi" w:hAnsiTheme="minorHAnsi" w:cstheme="minorHAnsi"/>
          <w:sz w:val="22"/>
          <w:szCs w:val="22"/>
        </w:rPr>
        <w:t>”, come modificata dalla legge regionale 26 gennaio 2018 n. 1, la Regione del Veneto ha voluto dare attuazione coordinata a una serie di politiche di intervento regionale con finalità di prevenzione e contrasto del crimine organizzato e mafioso e di promozione della legalità e della cittadinanza responsabile.</w:t>
      </w:r>
    </w:p>
    <w:p w:rsidR="00FB2B78" w:rsidRPr="00B5684C" w:rsidRDefault="00FB2B78"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In particolare, ai sensi dell’art. 8 della citata L.R. n. 48/2012, l’Amministrazione regionale opera per la diffusione della cultura della legalità e della cittadinanza responsabile nel mondo dell’impresa, della cooperazione, del lavoro e delle professioni, per favorire il coinvolgimento degli operatori nelle azioni di prevenzione e contrasto alla criminalità organizzata e mafiosa e, a tal fine, promuove iniziative di sensibilizzazione e di formazione, in collaborazione con le associazioni rappresentative delle imprese, delle banche, della cooperazione e dei lavoratori, nonché con le associazioni, gli ordini ed i collegi dei professionisti.</w:t>
      </w:r>
    </w:p>
    <w:p w:rsidR="00FB2B78" w:rsidRPr="00B5684C" w:rsidRDefault="00FB2B78"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La Regione del Veneto promuove, altresì, iniziative di formazione e di scambio di buone prassi amministrative a favore delle pubbliche amministrazioni regionali e locali, volte a diffondere la cultura dell’etica pubblica, a fornire ai pubblici dipendenti una specifica preparazione e a far maturare la sensibilità alla prevenzione e al contrasto della corruzione e di ogni altro reato connesso alle attività illecite.</w:t>
      </w:r>
    </w:p>
    <w:p w:rsidR="00FB2B78" w:rsidRPr="00B5684C" w:rsidRDefault="00FB2B78"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Ai sensi dell’art. 15 della predetta L.R. n. 48/2012, è stato istituito, presso il Consiglio regionale, “</w:t>
      </w:r>
      <w:r w:rsidRPr="00B5684C">
        <w:rPr>
          <w:rStyle w:val="Enfasicorsivo"/>
          <w:rFonts w:asciiTheme="minorHAnsi" w:hAnsiTheme="minorHAnsi" w:cstheme="minorHAnsi"/>
          <w:sz w:val="22"/>
          <w:szCs w:val="22"/>
          <w:bdr w:val="none" w:sz="0" w:space="0" w:color="auto" w:frame="1"/>
        </w:rPr>
        <w:t>l’Osservatorio per il contrasto alla criminalità organizzata e mafiosa e la promozione della trasparenza</w:t>
      </w:r>
      <w:r w:rsidRPr="00B5684C">
        <w:rPr>
          <w:rFonts w:asciiTheme="minorHAnsi" w:hAnsiTheme="minorHAnsi" w:cstheme="minorHAnsi"/>
          <w:sz w:val="22"/>
          <w:szCs w:val="22"/>
        </w:rPr>
        <w:t>” con il compito di svolgere le seguenti attività:</w:t>
      </w:r>
    </w:p>
    <w:p w:rsidR="00FB2B78" w:rsidRPr="00B5684C" w:rsidRDefault="00FB2B78"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a) raccolta ed analisi di documentazione sulla presenza delle tipologie di criminalità organizzata e mafiosa italiana e internazionale nel territorio regionale, sulle sue infiltrazioni nei diversi settori delle attività economico-produttive, fra i quali il settore della gestione dei rifiuti e della bonifica dei siti contaminati, e sulle iniziative pubbliche e private intraprese per contrastarla;</w:t>
      </w:r>
    </w:p>
    <w:p w:rsidR="00FB2B78" w:rsidRPr="00B5684C" w:rsidRDefault="00FB2B78"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b) elaborazione e proposta al Consiglio regionale di azioni idonee a rafforzare gli interventi di prevenzione e contrasto, con particolare attenzione alle misure per la trasparenza nell’azione amministrativa.</w:t>
      </w:r>
    </w:p>
    <w:p w:rsidR="00FB2B78" w:rsidRPr="00B5684C" w:rsidRDefault="00FB2B78"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lastRenderedPageBreak/>
        <w:t>La Regione del Veneto prosegue senza soluzione di continuità nell’attuazione della citata L.R. n. 48/2012, adottando specifiche misure di prevenzione e contrasto del crimine organizzato e mafioso e attivando azioni positive per diffondere e consolidare la cultura della legalità e della cittadinanza responsabile.</w:t>
      </w:r>
    </w:p>
    <w:p w:rsidR="00FB2B78" w:rsidRPr="00B5684C" w:rsidRDefault="00FB2B78"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L’Amministrazione regionale esercita, altresì, il controllo sull’attuazione della citata legge regionale e valuta i risultati conseguiti nel favorire, nel territorio regionale, la prevenzione e il contrasto del crimine organizzato e mafioso e la promozione della cultura della legalità e della cittadinanza responsabile, ai sensi dell’art. 19 della L.R. n. 48/2012.</w:t>
      </w:r>
    </w:p>
    <w:p w:rsidR="00B5684C" w:rsidRPr="00B5684C" w:rsidRDefault="00B5684C"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b/>
          <w:sz w:val="22"/>
          <w:szCs w:val="22"/>
        </w:rPr>
      </w:pPr>
      <w:r w:rsidRPr="00B5684C">
        <w:rPr>
          <w:rFonts w:asciiTheme="minorHAnsi" w:hAnsiTheme="minorHAnsi" w:cstheme="minorHAnsi"/>
          <w:b/>
          <w:sz w:val="22"/>
          <w:szCs w:val="22"/>
        </w:rPr>
        <w:t>L’IMPEGNO DELLA REGIONE</w:t>
      </w:r>
    </w:p>
    <w:p w:rsidR="00FB2B78" w:rsidRPr="00B5684C" w:rsidRDefault="00FB2B78"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Risulta, inoltre, necessario garantire una presenza istituzionale efficace della Regione del Veneto, rafforzando la cooperazione istituzionale, mediante la sottoscrizione di Protocolli d’Intesa e di accordi con Amministrazioni dello Stato, Associazione Bancaria Italiana (ABI), Banca d’Italia e altri enti e istituzioni: enti locali, mondo scolastico e formativo, sistema di welfare locale, associazionismo e volontariato, associazioni imprenditoriali, organizzazioni sindacali e altri organi competenti al contrasto e alla repressione del fenomeno legato alla criminalità organizzata e mafiosa.</w:t>
      </w:r>
    </w:p>
    <w:p w:rsidR="00FB2B78" w:rsidRPr="00B5684C" w:rsidRDefault="00FB2B78"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L’Amministrazione regionale e le rappresentanze degli imprenditori e dei lavoratori sono chiamati a mantenere la competitività delle attività economiche e del territorio contrastando la concorrenza sleale e a incrementare il capitale di competenze e di posti di lavoro, favorendo una generale qualità del lavoro e del vivere civile nelle comunità.</w:t>
      </w:r>
    </w:p>
    <w:p w:rsidR="00B11841" w:rsidRPr="00B5684C" w:rsidRDefault="00B5684C"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b/>
          <w:sz w:val="22"/>
          <w:szCs w:val="22"/>
        </w:rPr>
      </w:pPr>
      <w:r w:rsidRPr="00B5684C">
        <w:rPr>
          <w:rFonts w:asciiTheme="minorHAnsi" w:hAnsiTheme="minorHAnsi" w:cstheme="minorHAnsi"/>
          <w:b/>
          <w:sz w:val="22"/>
          <w:szCs w:val="22"/>
        </w:rPr>
        <w:t xml:space="preserve">L’ APPORTO DELLE ISTITUZIONI E </w:t>
      </w:r>
      <w:proofErr w:type="gramStart"/>
      <w:r w:rsidRPr="00B5684C">
        <w:rPr>
          <w:rFonts w:asciiTheme="minorHAnsi" w:hAnsiTheme="minorHAnsi" w:cstheme="minorHAnsi"/>
          <w:b/>
          <w:sz w:val="22"/>
          <w:szCs w:val="22"/>
        </w:rPr>
        <w:t>DELLA  SOCIETA</w:t>
      </w:r>
      <w:proofErr w:type="gramEnd"/>
      <w:r w:rsidRPr="00B5684C">
        <w:rPr>
          <w:rFonts w:asciiTheme="minorHAnsi" w:hAnsiTheme="minorHAnsi" w:cstheme="minorHAnsi"/>
          <w:b/>
          <w:sz w:val="22"/>
          <w:szCs w:val="22"/>
        </w:rPr>
        <w:t>’ CIVILE</w:t>
      </w:r>
    </w:p>
    <w:p w:rsidR="00FB2B78" w:rsidRPr="00B5684C" w:rsidRDefault="00FB2B78"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La Regione del Veneto, le Parti Sociali, Anci Veneto, Upi Veneto, Banca d’Italia, Unioncamere del Veneto e il Comitato Unitario Ordini Professionali del Veneto intendono cooperare per assumere un ruolo centrale nella creazione e diffusione della cultura della legalità e della responsabilità individuale e sociale, al fine di contribuire alla crescita e allo sviluppo economico del territorio, nonché al contrasto e alla prevenzione delle infiltrazioni criminali nel tessuto sociale e produttivo.</w:t>
      </w:r>
    </w:p>
    <w:p w:rsidR="00B5684C" w:rsidRPr="00B5684C" w:rsidRDefault="00B5684C"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b/>
          <w:sz w:val="22"/>
          <w:szCs w:val="22"/>
        </w:rPr>
      </w:pPr>
      <w:r w:rsidRPr="00B5684C">
        <w:rPr>
          <w:rFonts w:asciiTheme="minorHAnsi" w:hAnsiTheme="minorHAnsi" w:cstheme="minorHAnsi"/>
          <w:b/>
          <w:sz w:val="22"/>
          <w:szCs w:val="22"/>
        </w:rPr>
        <w:t xml:space="preserve">IL PROTOCOLLO D’INTESA </w:t>
      </w:r>
    </w:p>
    <w:p w:rsidR="00FB2B78" w:rsidRPr="00B5684C" w:rsidRDefault="00FB2B78"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 xml:space="preserve">La Regione del Veneto, le Parti Sociali, Anci Veneto, Upi Veneto, Banca d’Italia, Unioncamere del Veneto e il Comitato Unitario Ordini Professionali del Veneto </w:t>
      </w:r>
      <w:r w:rsidR="00B5684C" w:rsidRPr="00B5684C">
        <w:rPr>
          <w:rFonts w:asciiTheme="minorHAnsi" w:hAnsiTheme="minorHAnsi" w:cstheme="minorHAnsi"/>
          <w:sz w:val="22"/>
          <w:szCs w:val="22"/>
        </w:rPr>
        <w:t>approvano</w:t>
      </w:r>
      <w:r w:rsidRPr="00B5684C">
        <w:rPr>
          <w:rFonts w:asciiTheme="minorHAnsi" w:hAnsiTheme="minorHAnsi" w:cstheme="minorHAnsi"/>
          <w:sz w:val="22"/>
          <w:szCs w:val="22"/>
        </w:rPr>
        <w:t xml:space="preserve"> lo schema di Protocollo d’Intesa, </w:t>
      </w:r>
      <w:r w:rsidR="00B5684C" w:rsidRPr="00B5684C">
        <w:rPr>
          <w:rFonts w:asciiTheme="minorHAnsi" w:hAnsiTheme="minorHAnsi" w:cstheme="minorHAnsi"/>
          <w:sz w:val="22"/>
          <w:szCs w:val="22"/>
        </w:rPr>
        <w:t xml:space="preserve">inteso quale </w:t>
      </w:r>
      <w:r w:rsidRPr="00B5684C">
        <w:rPr>
          <w:rFonts w:asciiTheme="minorHAnsi" w:hAnsiTheme="minorHAnsi" w:cstheme="minorHAnsi"/>
          <w:sz w:val="22"/>
          <w:szCs w:val="22"/>
        </w:rPr>
        <w:t xml:space="preserve">  strumento di prevenzione volto a promuovere e a diffondere la cultura della legalità e della cittadinanza responsabile, a sostenere gli organi deputati al contrasto e alla repressione del fenomeno mafioso, ad ampliare l’informazione rivolta agli operatori economici di ogni settore di attività, nonché a svolgere attività di informazione e di comunicazione.</w:t>
      </w:r>
    </w:p>
    <w:p w:rsidR="00BC4DC2" w:rsidRPr="00B5684C" w:rsidRDefault="00BC4DC2" w:rsidP="00B5684C">
      <w:pPr>
        <w:spacing w:after="0" w:line="20" w:lineRule="atLeast"/>
        <w:jc w:val="both"/>
        <w:rPr>
          <w:rFonts w:cstheme="minorHAnsi"/>
          <w:b/>
          <w:sz w:val="24"/>
          <w:szCs w:val="24"/>
        </w:rPr>
      </w:pPr>
    </w:p>
    <w:p w:rsidR="00EE6659" w:rsidRPr="00B5684C" w:rsidRDefault="00EE6659" w:rsidP="00B5684C">
      <w:pPr>
        <w:pStyle w:val="cust-dettaglio-materia"/>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FFFFF"/>
        <w:spacing w:before="0" w:beforeAutospacing="0" w:after="0" w:afterAutospacing="0" w:line="20" w:lineRule="atLeast"/>
        <w:jc w:val="center"/>
        <w:textAlignment w:val="baseline"/>
        <w:rPr>
          <w:rFonts w:asciiTheme="minorHAnsi" w:hAnsiTheme="minorHAnsi" w:cstheme="minorHAnsi"/>
          <w:b/>
          <w:bCs/>
          <w:sz w:val="22"/>
          <w:szCs w:val="22"/>
        </w:rPr>
      </w:pPr>
      <w:r w:rsidRPr="00B5684C">
        <w:rPr>
          <w:rFonts w:asciiTheme="minorHAnsi" w:hAnsiTheme="minorHAnsi" w:cstheme="minorHAnsi"/>
          <w:b/>
          <w:bCs/>
          <w:sz w:val="22"/>
          <w:szCs w:val="22"/>
        </w:rPr>
        <w:t>FAMIGLIA</w:t>
      </w:r>
    </w:p>
    <w:p w:rsidR="00EE6659" w:rsidRPr="00B5684C" w:rsidRDefault="00EE6659" w:rsidP="00B5684C">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caps/>
          <w:sz w:val="22"/>
          <w:szCs w:val="22"/>
        </w:rPr>
      </w:pPr>
    </w:p>
    <w:p w:rsidR="00EE6659" w:rsidRPr="00B5684C" w:rsidRDefault="00EE6659" w:rsidP="00B5684C">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Cs/>
          <w:sz w:val="22"/>
          <w:szCs w:val="22"/>
        </w:rPr>
      </w:pPr>
      <w:r w:rsidRPr="00B5684C">
        <w:rPr>
          <w:rFonts w:asciiTheme="minorHAnsi" w:hAnsiTheme="minorHAnsi" w:cstheme="minorHAnsi"/>
          <w:b/>
          <w:caps/>
          <w:sz w:val="22"/>
          <w:szCs w:val="22"/>
        </w:rPr>
        <w:t xml:space="preserve">DGR </w:t>
      </w:r>
      <w:r w:rsidRPr="00B5684C">
        <w:rPr>
          <w:rStyle w:val="cust-dettaglio-tipo-atto-num-data"/>
          <w:rFonts w:asciiTheme="minorHAnsi" w:hAnsiTheme="minorHAnsi" w:cstheme="minorHAnsi"/>
          <w:b/>
          <w:caps/>
          <w:sz w:val="22"/>
          <w:szCs w:val="22"/>
          <w:bdr w:val="none" w:sz="0" w:space="0" w:color="auto" w:frame="1"/>
        </w:rPr>
        <w:t xml:space="preserve">  </w:t>
      </w:r>
      <w:r w:rsidRPr="00B5684C">
        <w:rPr>
          <w:rStyle w:val="cust-dettaglio-tipo-atto-num-data"/>
          <w:rFonts w:asciiTheme="minorHAnsi" w:hAnsiTheme="minorHAnsi" w:cstheme="minorHAnsi"/>
          <w:b/>
          <w:sz w:val="22"/>
          <w:szCs w:val="22"/>
          <w:bdr w:val="none" w:sz="0" w:space="0" w:color="auto" w:frame="1"/>
        </w:rPr>
        <w:t>30 luglio 2019, n. 1107</w:t>
      </w:r>
      <w:r w:rsidRPr="00B5684C">
        <w:rPr>
          <w:rStyle w:val="cust-dettaglio-tipo-atto-num-data"/>
          <w:rFonts w:asciiTheme="minorHAnsi" w:hAnsiTheme="minorHAnsi" w:cstheme="minorHAnsi"/>
          <w:sz w:val="22"/>
          <w:szCs w:val="22"/>
          <w:bdr w:val="none" w:sz="0" w:space="0" w:color="auto" w:frame="1"/>
        </w:rPr>
        <w:t xml:space="preserve">, </w:t>
      </w:r>
      <w:r w:rsidRPr="00B5684C">
        <w:rPr>
          <w:rFonts w:asciiTheme="minorHAnsi" w:hAnsiTheme="minorHAnsi" w:cstheme="minorHAnsi"/>
          <w:bCs/>
          <w:sz w:val="22"/>
          <w:szCs w:val="22"/>
        </w:rPr>
        <w:t>Fondo per le Politiche della Famiglia - Decreto Ministeriale del Dipartimento per le Politiche della Famiglia del 30 aprile 2019. Programma attuativo della Regione del Veneto per il sostegno della natalità e della genitorialità nell'ambito delle competenze sociali dei Consultori Familiari pubblici. (BUR n. 97 del 27.8.19)</w:t>
      </w:r>
    </w:p>
    <w:p w:rsidR="00EE6659" w:rsidRPr="00B5684C" w:rsidRDefault="00B5684C" w:rsidP="00B5684C">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
          <w:bCs/>
          <w:sz w:val="22"/>
          <w:szCs w:val="22"/>
        </w:rPr>
      </w:pPr>
      <w:r w:rsidRPr="00B5684C">
        <w:rPr>
          <w:rFonts w:asciiTheme="minorHAnsi" w:hAnsiTheme="minorHAnsi" w:cstheme="minorHAnsi"/>
          <w:b/>
          <w:bCs/>
          <w:sz w:val="22"/>
          <w:szCs w:val="22"/>
        </w:rPr>
        <w:t xml:space="preserve">PREMESSA </w:t>
      </w:r>
    </w:p>
    <w:p w:rsidR="00EE6659" w:rsidRPr="00B5684C" w:rsidRDefault="00EE6659"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In questi ultimi anni si è assistito, a tutti i livelli di programmazione delle politiche sociali e trasversalmente a tutti i Paesi europei, ad una graduale e crescente valorizzazione dell’entità familiare, attraverso l’adozione di provvedimenti volti a sostenere la famiglia nei diversi ambiti, che spaziano dalla promozione di politiche familiari, alla conciliazione dei tempi di vita e di lavoro, alle attività a favore della prima infanzia e delle responsabilità genitoriali.</w:t>
      </w:r>
    </w:p>
    <w:p w:rsidR="00EE6659" w:rsidRPr="00B5684C" w:rsidRDefault="00EE6659"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Ultimamente, la Conferenza Unificata delle Regioni e delle Province autonome ha posto il rilievo sugli interventi volti a favorire la natalità e a supportare la genitorialità, anche nell’ambito delle competenze sociali dei Consultori Familiari.</w:t>
      </w:r>
    </w:p>
    <w:p w:rsidR="00EE6659" w:rsidRPr="00B5684C" w:rsidRDefault="00EE6659"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Infatti, in tal senso, nella seduta del 17 aprile 2019, la Conferenza ha sancito l’intesa sullo schema di decreto di riparto del Fondo di complessivi euro 94.000.000,00 per le Politiche della Famiglia per l’anno 20</w:t>
      </w:r>
      <w:r w:rsidR="00B5684C">
        <w:rPr>
          <w:rFonts w:asciiTheme="minorHAnsi" w:hAnsiTheme="minorHAnsi" w:cstheme="minorHAnsi"/>
          <w:sz w:val="22"/>
          <w:szCs w:val="22"/>
        </w:rPr>
        <w:t xml:space="preserve">19, </w:t>
      </w:r>
      <w:r w:rsidRPr="00B5684C">
        <w:rPr>
          <w:rFonts w:asciiTheme="minorHAnsi" w:hAnsiTheme="minorHAnsi" w:cstheme="minorHAnsi"/>
          <w:sz w:val="22"/>
          <w:szCs w:val="22"/>
        </w:rPr>
        <w:t>fissando anche le modalità per accedere al Fondo (articolo 3) e quantificando in euro 1.092.000,00 l’importo a favore della Regione del Veneto (note pec protocollo 237645/2019 e 295524/2019 della Presidenza del Consiglio dei Ministri – Dipartimento per le Politiche della Famiglia).</w:t>
      </w:r>
    </w:p>
    <w:p w:rsidR="00EE6659" w:rsidRDefault="00EE6659"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lastRenderedPageBreak/>
        <w:t>La Regione del Veneto, allo scopo di realizzare il servizio di consulenza e di assistenza al singolo, alla coppia ed alla famiglia, in atto o in via di formazione e secondo le finalità indicate nell’art. 1 della Legge 29 luglio 1975 n. 405, ha disciplinato, con la Legge Regionale 28 marzo 1977 n. 28, l’istituzione dei Consultori Familiari pubblici e privati nel proprio territorio.</w:t>
      </w:r>
    </w:p>
    <w:p w:rsidR="00B5684C" w:rsidRPr="00B5684C" w:rsidRDefault="00B5684C"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b/>
          <w:sz w:val="22"/>
          <w:szCs w:val="22"/>
        </w:rPr>
      </w:pPr>
      <w:r w:rsidRPr="00B5684C">
        <w:rPr>
          <w:rFonts w:asciiTheme="minorHAnsi" w:hAnsiTheme="minorHAnsi" w:cstheme="minorHAnsi"/>
          <w:b/>
          <w:sz w:val="22"/>
          <w:szCs w:val="22"/>
        </w:rPr>
        <w:t xml:space="preserve">IL RUOLO DEL CONSULTORIO FAMILIARE </w:t>
      </w:r>
    </w:p>
    <w:p w:rsidR="00EE6659" w:rsidRPr="00B5684C" w:rsidRDefault="00EE6659"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Il Consultorio Familiare mantiene la propria connotazione di servizio di base fortemente orientato alla prevenzione, all'informazione e all'educazione sanitaria, riservando all'attività di diagnosi e cura una competenza di "prima istanza", integrata con l'attività esercitata allo stesso livello sul territorio di appartenenza dei distretti, degli ospedali e dei servizi degli enti locali.</w:t>
      </w:r>
    </w:p>
    <w:p w:rsidR="00EE6659" w:rsidRPr="00B5684C" w:rsidRDefault="00EE6659"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Le attività consultoriali rivestono un ruolo fondamentale nel territorio, in quanto la peculiarità del lavoro di équipe rende le attività stesse uniche nella rete delle risorse sanitarie e socio-assistenziali esistenti.</w:t>
      </w:r>
    </w:p>
    <w:p w:rsidR="00EE6659" w:rsidRPr="00B5684C" w:rsidRDefault="00EE6659"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Ciò premesso, è intenzione di questa Amministrazione Regionale sostenere la natalità e la genitorialità attraverso azioni di carattere sociale ad ampio spettro da avviarsi a cura dei Consultori Familiari delle Aziende ULSS, in ragione del loro importante ruolo nel territorio.</w:t>
      </w:r>
    </w:p>
    <w:p w:rsidR="00EE6659" w:rsidRDefault="00EE6659"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L’assegnazione del contributo per realizzare le attività sociali a livello territoriale sarà effettuata in proporzione alla popolazione residente nei territori delle singole Aziende ULSS al quale afferiscono i Consultori Familiari pubblici.</w:t>
      </w:r>
    </w:p>
    <w:p w:rsidR="00B5684C" w:rsidRPr="00B5684C" w:rsidRDefault="00B5684C"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b/>
          <w:sz w:val="22"/>
          <w:szCs w:val="22"/>
        </w:rPr>
      </w:pPr>
      <w:r w:rsidRPr="00B5684C">
        <w:rPr>
          <w:rFonts w:asciiTheme="minorHAnsi" w:hAnsiTheme="minorHAnsi" w:cstheme="minorHAnsi"/>
          <w:b/>
          <w:sz w:val="22"/>
          <w:szCs w:val="22"/>
        </w:rPr>
        <w:t xml:space="preserve">L’INTESA STATO-REGIONI </w:t>
      </w:r>
    </w:p>
    <w:p w:rsidR="00EE6659" w:rsidRPr="00B5684C" w:rsidRDefault="00EE6659"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Si prende atto, quindi, dell’Intesa approvata in sede di Conferenza Unificata il 17 aprile 2019 tra lo Stato, le Regioni e le Province Autonome sullo schema di decreto di riparto concernente l’utilizzo delle risorse stanziate sul Fondo per le Politiche della Famiglia per l’anno 2019 (ai sensi dell’art. 1, comma 1252, della Legge 27 dicembre 2006, n. 296), di cui al repertorio atti n. 30/CU e nel quale si stabilisce:</w:t>
      </w:r>
    </w:p>
    <w:p w:rsidR="00EE6659" w:rsidRDefault="00EE6659" w:rsidP="00B5684C">
      <w:pPr>
        <w:pStyle w:val="Paragrafoelenco"/>
        <w:numPr>
          <w:ilvl w:val="0"/>
          <w:numId w:val="4"/>
        </w:numPr>
        <w:spacing w:after="0" w:line="20" w:lineRule="atLeast"/>
        <w:jc w:val="both"/>
        <w:textAlignment w:val="baseline"/>
        <w:rPr>
          <w:rFonts w:cstheme="minorHAnsi"/>
        </w:rPr>
      </w:pPr>
      <w:proofErr w:type="gramStart"/>
      <w:r w:rsidRPr="00B5684C">
        <w:rPr>
          <w:rFonts w:cstheme="minorHAnsi"/>
        </w:rPr>
        <w:t>di</w:t>
      </w:r>
      <w:proofErr w:type="gramEnd"/>
      <w:r w:rsidRPr="00B5684C">
        <w:rPr>
          <w:rFonts w:cstheme="minorHAnsi"/>
        </w:rPr>
        <w:t xml:space="preserve"> destinare ad interventi di competenza regionale e degli enti locali risorse pari a complessivi euro 15.000.000,00 “[…] per finanziare interventi di competenza regionale e degli enti locali volti a favorire la natalità […]. Gli interventi potranno essere volti al supporto delle attività svolte dai Centri per le famiglie e nell’ambito delle competenze sociali dei consultori familiari, a sostegno della natalità, nonché a supporto della genitorialità.”;</w:t>
      </w:r>
    </w:p>
    <w:p w:rsidR="00EE6659" w:rsidRDefault="00EE6659" w:rsidP="00B5684C">
      <w:pPr>
        <w:pStyle w:val="Paragrafoelenco"/>
        <w:numPr>
          <w:ilvl w:val="0"/>
          <w:numId w:val="4"/>
        </w:numPr>
        <w:spacing w:after="0" w:line="20" w:lineRule="atLeast"/>
        <w:jc w:val="both"/>
        <w:textAlignment w:val="baseline"/>
        <w:rPr>
          <w:rFonts w:cstheme="minorHAnsi"/>
        </w:rPr>
      </w:pPr>
      <w:proofErr w:type="gramStart"/>
      <w:r w:rsidRPr="00B5684C">
        <w:rPr>
          <w:rFonts w:cstheme="minorHAnsi"/>
        </w:rPr>
        <w:t>le</w:t>
      </w:r>
      <w:proofErr w:type="gramEnd"/>
      <w:r w:rsidRPr="00B5684C">
        <w:rPr>
          <w:rFonts w:cstheme="minorHAnsi"/>
        </w:rPr>
        <w:t xml:space="preserve"> Regioni si impegnano a cofinanziare i progetti e le attività da realizzare con almeno il 20 % del finanziamento assegnato, anche attraverso la valorizzazione di risorse umane, di beni e servizi messi a disposizione dalle stesse Regioni;</w:t>
      </w:r>
    </w:p>
    <w:p w:rsidR="00EE6659" w:rsidRDefault="00EE6659" w:rsidP="00B5684C">
      <w:pPr>
        <w:pStyle w:val="Paragrafoelenco"/>
        <w:numPr>
          <w:ilvl w:val="0"/>
          <w:numId w:val="4"/>
        </w:numPr>
        <w:spacing w:after="0" w:line="20" w:lineRule="atLeast"/>
        <w:jc w:val="both"/>
        <w:textAlignment w:val="baseline"/>
        <w:rPr>
          <w:rFonts w:cstheme="minorHAnsi"/>
        </w:rPr>
      </w:pPr>
      <w:proofErr w:type="gramStart"/>
      <w:r w:rsidRPr="00B5684C">
        <w:rPr>
          <w:rFonts w:cstheme="minorHAnsi"/>
        </w:rPr>
        <w:t>il</w:t>
      </w:r>
      <w:proofErr w:type="gramEnd"/>
      <w:r w:rsidRPr="00B5684C">
        <w:rPr>
          <w:rFonts w:cstheme="minorHAnsi"/>
        </w:rPr>
        <w:t xml:space="preserve"> Dipartimento per le Politiche della Famiglia trasferirà alle Regioni le risorse a seguito di specifica richiesta, nella quale sono indicate le azioni da finanziare come  previste dalle rispettive programmazioni regionali, </w:t>
      </w:r>
      <w:r w:rsidR="00B5684C">
        <w:rPr>
          <w:rFonts w:cstheme="minorHAnsi"/>
        </w:rPr>
        <w:t xml:space="preserve">e </w:t>
      </w:r>
      <w:r w:rsidRPr="00B5684C">
        <w:rPr>
          <w:rFonts w:cstheme="minorHAnsi"/>
        </w:rPr>
        <w:t xml:space="preserve"> le Regioni comunicano al Dipartimento per le Politiche della Famiglia tutti i dati necessari al monitoraggio e, nello specifico, gli interventi, i trasferimenti effettuati e i progetti e le attività finanziate.</w:t>
      </w:r>
    </w:p>
    <w:p w:rsidR="00B5684C" w:rsidRPr="00B5684C" w:rsidRDefault="00B5684C" w:rsidP="00B5684C">
      <w:pPr>
        <w:spacing w:after="0" w:line="20" w:lineRule="atLeast"/>
        <w:jc w:val="both"/>
        <w:textAlignment w:val="baseline"/>
        <w:rPr>
          <w:rFonts w:cstheme="minorHAnsi"/>
          <w:b/>
        </w:rPr>
      </w:pPr>
      <w:r w:rsidRPr="00B5684C">
        <w:rPr>
          <w:rFonts w:cstheme="minorHAnsi"/>
          <w:b/>
        </w:rPr>
        <w:t xml:space="preserve">L’IMPEGNO DELLA REGIONE </w:t>
      </w:r>
    </w:p>
    <w:p w:rsidR="00EE6659" w:rsidRPr="00B5684C" w:rsidRDefault="00EE6659"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La Regione del Veneto si impegna a cofinanziare le attività con almeno il 20% del finanziamento assegnato, attraverso la valorizzazione delle proprie risorse umane, beni e servizi, come da Intesa di cui al Decreto Ministeriale in oggetto.</w:t>
      </w:r>
    </w:p>
    <w:p w:rsidR="00EE6659" w:rsidRPr="00B5684C" w:rsidRDefault="00B5684C"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Pr>
          <w:rFonts w:asciiTheme="minorHAnsi" w:hAnsiTheme="minorHAnsi" w:cstheme="minorHAnsi"/>
          <w:sz w:val="22"/>
          <w:szCs w:val="22"/>
        </w:rPr>
        <w:t>Viene r</w:t>
      </w:r>
      <w:r w:rsidR="00EE6659" w:rsidRPr="00B5684C">
        <w:rPr>
          <w:rFonts w:asciiTheme="minorHAnsi" w:hAnsiTheme="minorHAnsi" w:cstheme="minorHAnsi"/>
          <w:sz w:val="22"/>
          <w:szCs w:val="22"/>
        </w:rPr>
        <w:t>ichie</w:t>
      </w:r>
      <w:r>
        <w:rPr>
          <w:rFonts w:asciiTheme="minorHAnsi" w:hAnsiTheme="minorHAnsi" w:cstheme="minorHAnsi"/>
          <w:sz w:val="22"/>
          <w:szCs w:val="22"/>
        </w:rPr>
        <w:t xml:space="preserve">sto </w:t>
      </w:r>
      <w:r w:rsidR="00EE6659" w:rsidRPr="00B5684C">
        <w:rPr>
          <w:rFonts w:asciiTheme="minorHAnsi" w:hAnsiTheme="minorHAnsi" w:cstheme="minorHAnsi"/>
          <w:sz w:val="22"/>
          <w:szCs w:val="22"/>
        </w:rPr>
        <w:t>al Dipartimento per le Politiche della Famiglia, il trasferimento dell’importo indicato nell’allegato 1 del Decreto Ministeriale del 30 aprile 2019, pari a euro 1.092.000,00.</w:t>
      </w:r>
    </w:p>
    <w:p w:rsidR="00B5684C" w:rsidRPr="00B5684C" w:rsidRDefault="00B5684C"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b/>
          <w:sz w:val="22"/>
          <w:szCs w:val="22"/>
        </w:rPr>
      </w:pPr>
      <w:proofErr w:type="gramStart"/>
      <w:r w:rsidRPr="00B5684C">
        <w:rPr>
          <w:rFonts w:asciiTheme="minorHAnsi" w:hAnsiTheme="minorHAnsi" w:cstheme="minorHAnsi"/>
          <w:b/>
          <w:sz w:val="22"/>
          <w:szCs w:val="22"/>
        </w:rPr>
        <w:t>IL  RUOLO</w:t>
      </w:r>
      <w:proofErr w:type="gramEnd"/>
      <w:r w:rsidRPr="00B5684C">
        <w:rPr>
          <w:rFonts w:asciiTheme="minorHAnsi" w:hAnsiTheme="minorHAnsi" w:cstheme="minorHAnsi"/>
          <w:b/>
          <w:sz w:val="22"/>
          <w:szCs w:val="22"/>
        </w:rPr>
        <w:t xml:space="preserve"> DELL’ANCI</w:t>
      </w:r>
    </w:p>
    <w:p w:rsidR="00B5684C" w:rsidRDefault="00B5684C"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Pr>
          <w:rFonts w:asciiTheme="minorHAnsi" w:hAnsiTheme="minorHAnsi" w:cstheme="minorHAnsi"/>
          <w:sz w:val="22"/>
          <w:szCs w:val="22"/>
        </w:rPr>
        <w:t xml:space="preserve">Viene </w:t>
      </w:r>
      <w:proofErr w:type="gramStart"/>
      <w:r w:rsidR="00EE6659" w:rsidRPr="00B5684C">
        <w:rPr>
          <w:rFonts w:asciiTheme="minorHAnsi" w:hAnsiTheme="minorHAnsi" w:cstheme="minorHAnsi"/>
          <w:sz w:val="22"/>
          <w:szCs w:val="22"/>
        </w:rPr>
        <w:t>pre</w:t>
      </w:r>
      <w:r>
        <w:rPr>
          <w:rFonts w:asciiTheme="minorHAnsi" w:hAnsiTheme="minorHAnsi" w:cstheme="minorHAnsi"/>
          <w:sz w:val="22"/>
          <w:szCs w:val="22"/>
        </w:rPr>
        <w:t xml:space="preserve">so </w:t>
      </w:r>
      <w:r w:rsidR="00EE6659" w:rsidRPr="00B5684C">
        <w:rPr>
          <w:rFonts w:asciiTheme="minorHAnsi" w:hAnsiTheme="minorHAnsi" w:cstheme="minorHAnsi"/>
          <w:sz w:val="22"/>
          <w:szCs w:val="22"/>
        </w:rPr>
        <w:t xml:space="preserve"> atto</w:t>
      </w:r>
      <w:proofErr w:type="gramEnd"/>
      <w:r w:rsidR="00EE6659" w:rsidRPr="00B5684C">
        <w:rPr>
          <w:rFonts w:asciiTheme="minorHAnsi" w:hAnsiTheme="minorHAnsi" w:cstheme="minorHAnsi"/>
          <w:sz w:val="22"/>
          <w:szCs w:val="22"/>
        </w:rPr>
        <w:t xml:space="preserve"> del parere favorevole espresso dall’ANCI Veneto</w:t>
      </w:r>
      <w:r>
        <w:rPr>
          <w:rFonts w:asciiTheme="minorHAnsi" w:hAnsiTheme="minorHAnsi" w:cstheme="minorHAnsi"/>
          <w:sz w:val="22"/>
          <w:szCs w:val="22"/>
        </w:rPr>
        <w:t>.</w:t>
      </w:r>
    </w:p>
    <w:p w:rsidR="00EE6659" w:rsidRPr="00B5684C" w:rsidRDefault="00B5684C"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rPr>
      </w:pPr>
      <w:r>
        <w:rPr>
          <w:rFonts w:asciiTheme="minorHAnsi" w:hAnsiTheme="minorHAnsi" w:cstheme="minorHAnsi"/>
          <w:sz w:val="22"/>
          <w:szCs w:val="22"/>
        </w:rPr>
        <w:t xml:space="preserve">Viene approvata </w:t>
      </w:r>
      <w:r w:rsidR="00EE6659" w:rsidRPr="00B5684C">
        <w:rPr>
          <w:rFonts w:asciiTheme="minorHAnsi" w:hAnsiTheme="minorHAnsi" w:cstheme="minorHAnsi"/>
        </w:rPr>
        <w:t>la scheda concernente il piano di massima delle attività relative alla realizzazione delle azioni da finanziare</w:t>
      </w:r>
      <w:r>
        <w:rPr>
          <w:rFonts w:asciiTheme="minorHAnsi" w:hAnsiTheme="minorHAnsi" w:cstheme="minorHAnsi"/>
        </w:rPr>
        <w:t xml:space="preserve"> ed il </w:t>
      </w:r>
      <w:r w:rsidR="00EE6659" w:rsidRPr="00B5684C">
        <w:rPr>
          <w:rFonts w:asciiTheme="minorHAnsi" w:hAnsiTheme="minorHAnsi" w:cstheme="minorHAnsi"/>
        </w:rPr>
        <w:t>il cronoprogramma, con indicazione dei tempi e delle modalità di attuazione.</w:t>
      </w:r>
    </w:p>
    <w:p w:rsidR="00B5684C" w:rsidRDefault="00B5684C" w:rsidP="00B5684C">
      <w:pPr>
        <w:spacing w:after="0" w:line="20" w:lineRule="atLeast"/>
        <w:jc w:val="both"/>
        <w:rPr>
          <w:rFonts w:cstheme="minorHAnsi"/>
        </w:rPr>
      </w:pPr>
    </w:p>
    <w:p w:rsidR="00C55DD5" w:rsidRPr="00B5684C" w:rsidRDefault="00EE6659" w:rsidP="00B5684C">
      <w:pPr>
        <w:spacing w:after="0" w:line="20" w:lineRule="atLeast"/>
        <w:jc w:val="both"/>
        <w:rPr>
          <w:rFonts w:cstheme="minorHAnsi"/>
        </w:rPr>
      </w:pPr>
      <w:r w:rsidRPr="00B5684C">
        <w:rPr>
          <w:rFonts w:cstheme="minorHAnsi"/>
        </w:rPr>
        <w:t xml:space="preserve">FONDO PER LE POLITICHE DELLA FAMIGLIA PER L’ANNO 2019 </w:t>
      </w:r>
    </w:p>
    <w:p w:rsidR="00C55DD5" w:rsidRPr="00B5684C" w:rsidRDefault="00EE6659" w:rsidP="00B5684C">
      <w:pPr>
        <w:spacing w:after="0" w:line="20" w:lineRule="atLeast"/>
        <w:jc w:val="both"/>
        <w:rPr>
          <w:rFonts w:cstheme="minorHAnsi"/>
        </w:rPr>
      </w:pPr>
      <w:r w:rsidRPr="00B5684C">
        <w:rPr>
          <w:rFonts w:cstheme="minorHAnsi"/>
        </w:rPr>
        <w:t>PIANO DI MASSIMA DELLE ATTIVITA’ OBIETTIVO: SOSTEGNO DELLA NATALITÀ E DELLA GENITORIALITÀ DA PARTE DEI CONSULTORI FAMILIARI</w:t>
      </w:r>
    </w:p>
    <w:p w:rsidR="00C55DD5" w:rsidRPr="00B5684C" w:rsidRDefault="00EE6659" w:rsidP="00B5684C">
      <w:pPr>
        <w:spacing w:after="0" w:line="20" w:lineRule="atLeast"/>
        <w:jc w:val="both"/>
        <w:rPr>
          <w:rFonts w:cstheme="minorHAnsi"/>
        </w:rPr>
      </w:pPr>
      <w:r w:rsidRPr="00B5684C">
        <w:rPr>
          <w:rFonts w:cstheme="minorHAnsi"/>
        </w:rPr>
        <w:t xml:space="preserve"> MODALITA’ DI ATTUAZIONE: A seguito dell’approvazione del programma attuativo da parte del Dipartimento per le politiche della famiglia, e dopo l’introito della somma di euro 1.092.000,00 da parte della Regione del </w:t>
      </w:r>
      <w:r w:rsidRPr="00B5684C">
        <w:rPr>
          <w:rFonts w:cstheme="minorHAnsi"/>
        </w:rPr>
        <w:lastRenderedPageBreak/>
        <w:t xml:space="preserve">Veneto, si prevede la predisposizione del decreto di accertamento dell’entrata e l’istituzione del relativo capitolo di spesa. Di seguito, sarà predisposto il decreto di impegno e di assegnazione delle risorse finanziarie alle 9 Aziende ULSS della Regione del Veneto, le quali sono tenute ad attuare le azioni a sostegno della natalità e della genitorialità dei Consultori Familiari per un periodo di tempo di 18 mesi. Durante la realizzazione delle attività e fino al termine delle stesse, sarà previsto il monitoraggio delle azioni svolte. Potrà essere prevista una proroga rispetto ai tempi indicati. </w:t>
      </w:r>
    </w:p>
    <w:p w:rsidR="00C55DD5" w:rsidRPr="00B5684C" w:rsidRDefault="00EE6659" w:rsidP="00B5684C">
      <w:pPr>
        <w:spacing w:after="0" w:line="20" w:lineRule="atLeast"/>
        <w:jc w:val="both"/>
        <w:rPr>
          <w:rFonts w:cstheme="minorHAnsi"/>
        </w:rPr>
      </w:pPr>
      <w:r w:rsidRPr="00B5684C">
        <w:rPr>
          <w:rFonts w:cstheme="minorHAnsi"/>
        </w:rPr>
        <w:t xml:space="preserve">INTERVENTI A SOSTEGNO DELLA NATALITÀ E DELLA GENITORIALITÀ DA PARTE DEI CONSULTORI FAMILIARI DELLE 9 AZIENDE ULSS DEL VENETO </w:t>
      </w:r>
    </w:p>
    <w:p w:rsidR="00C55DD5" w:rsidRPr="00B5684C" w:rsidRDefault="00EE6659" w:rsidP="00B5684C">
      <w:pPr>
        <w:spacing w:after="0" w:line="20" w:lineRule="atLeast"/>
        <w:jc w:val="both"/>
        <w:rPr>
          <w:rFonts w:cstheme="minorHAnsi"/>
        </w:rPr>
      </w:pPr>
      <w:r w:rsidRPr="00B5684C">
        <w:rPr>
          <w:rFonts w:cstheme="minorHAnsi"/>
        </w:rPr>
        <w:t xml:space="preserve">PREMESSA </w:t>
      </w:r>
    </w:p>
    <w:p w:rsidR="00C55DD5" w:rsidRPr="00C012A3" w:rsidRDefault="00EE6659" w:rsidP="00B5684C">
      <w:pPr>
        <w:spacing w:after="0" w:line="20" w:lineRule="atLeast"/>
        <w:jc w:val="both"/>
        <w:rPr>
          <w:rFonts w:cstheme="minorHAnsi"/>
          <w:u w:val="single"/>
        </w:rPr>
      </w:pPr>
      <w:r w:rsidRPr="00C012A3">
        <w:rPr>
          <w:rFonts w:cstheme="minorHAnsi"/>
          <w:u w:val="single"/>
        </w:rPr>
        <w:t xml:space="preserve">Le attività sociali dell’Unità Operativa Semplice (UOS) Consultorio Familiare sono erogate tramite la figura professionale dell’assistente sociale e si rivolgono a famiglie, coppie e singoli con problematiche relazionali, le quali possono accedere in modalità libera, su mandato dell’Autorità Giudiziaria oppure su invio degli Enti Locali e dei servizi socio-sanitari del territorio. </w:t>
      </w:r>
    </w:p>
    <w:p w:rsidR="00C55DD5" w:rsidRPr="00C012A3" w:rsidRDefault="00EE6659" w:rsidP="00B5684C">
      <w:pPr>
        <w:spacing w:after="0" w:line="20" w:lineRule="atLeast"/>
        <w:jc w:val="both"/>
        <w:rPr>
          <w:rFonts w:cstheme="minorHAnsi"/>
          <w:u w:val="single"/>
        </w:rPr>
      </w:pPr>
      <w:r w:rsidRPr="00C012A3">
        <w:rPr>
          <w:rFonts w:cstheme="minorHAnsi"/>
          <w:u w:val="single"/>
        </w:rPr>
        <w:t xml:space="preserve">L’assistente sociale opera in équipe (ex-L.R. 28/77), che comprende anche la figura dello psicologo, del medico ginecologo e dell’ostetrica/infermiera/assistente sanitaria, all’occorrenza integrati da altri </w:t>
      </w:r>
      <w:proofErr w:type="gramStart"/>
      <w:r w:rsidRPr="00C012A3">
        <w:rPr>
          <w:rFonts w:cstheme="minorHAnsi"/>
          <w:u w:val="single"/>
        </w:rPr>
        <w:t>professionisti ,</w:t>
      </w:r>
      <w:proofErr w:type="gramEnd"/>
      <w:r w:rsidRPr="00C012A3">
        <w:rPr>
          <w:rFonts w:cstheme="minorHAnsi"/>
          <w:u w:val="single"/>
        </w:rPr>
        <w:t xml:space="preserve"> quali l’educatore, il mediatore linguistico-culturale, il legale eccetera. </w:t>
      </w:r>
    </w:p>
    <w:p w:rsidR="00C55DD5" w:rsidRPr="00B5684C" w:rsidRDefault="00EE6659" w:rsidP="00B5684C">
      <w:pPr>
        <w:spacing w:after="0" w:line="20" w:lineRule="atLeast"/>
        <w:jc w:val="both"/>
        <w:rPr>
          <w:rFonts w:cstheme="minorHAnsi"/>
        </w:rPr>
      </w:pPr>
      <w:r w:rsidRPr="00B5684C">
        <w:rPr>
          <w:rFonts w:cstheme="minorHAnsi"/>
        </w:rPr>
        <w:t xml:space="preserve">I continui mutamenti culturali e normativi che caratterizzano la società attuale richiedono un Consultorio Familiare competente e qualificato nel rispondere alle domande relative ai nuovi bisogni della famiglia. </w:t>
      </w:r>
    </w:p>
    <w:p w:rsidR="00C55DD5" w:rsidRPr="00B5684C" w:rsidRDefault="00EE6659" w:rsidP="00B5684C">
      <w:pPr>
        <w:spacing w:after="0" w:line="20" w:lineRule="atLeast"/>
        <w:jc w:val="both"/>
        <w:rPr>
          <w:rFonts w:cstheme="minorHAnsi"/>
        </w:rPr>
      </w:pPr>
      <w:r w:rsidRPr="00B5684C">
        <w:rPr>
          <w:rFonts w:cstheme="minorHAnsi"/>
        </w:rPr>
        <w:t xml:space="preserve">Per poter realizzare la prevenzione e la cura del disagio familiare è richiesta agli assistenti sociali una metodologia appropriata, capace di favorire l’attivazione di un percorso nell’ambito dei processi di cambiamento all’interno dei contesti di vita e di luoghi significativi per la persona. </w:t>
      </w:r>
    </w:p>
    <w:p w:rsidR="00C55DD5" w:rsidRPr="00B5684C" w:rsidRDefault="00EE6659" w:rsidP="00B5684C">
      <w:pPr>
        <w:spacing w:after="0" w:line="20" w:lineRule="atLeast"/>
        <w:jc w:val="both"/>
        <w:rPr>
          <w:rFonts w:cstheme="minorHAnsi"/>
        </w:rPr>
      </w:pPr>
      <w:r w:rsidRPr="00B5684C">
        <w:rPr>
          <w:rFonts w:cstheme="minorHAnsi"/>
        </w:rPr>
        <w:t xml:space="preserve">Come operatori “facilitatori” gli assistenti sociali individuano e contribuiscono a dare “significato” ai fattori di vulnerabilità, nonché facilitatori dello sviluppo di nuove risorse e del lavoro di rete, con particolare attenzione agli aspetti interculturali e, comunque, sempre all’interno di un progetto di équipe. </w:t>
      </w:r>
    </w:p>
    <w:p w:rsidR="00C55DD5" w:rsidRPr="00B5684C" w:rsidRDefault="00EE6659" w:rsidP="00B5684C">
      <w:pPr>
        <w:spacing w:after="0" w:line="20" w:lineRule="atLeast"/>
        <w:jc w:val="both"/>
        <w:rPr>
          <w:rFonts w:cstheme="minorHAnsi"/>
        </w:rPr>
      </w:pPr>
      <w:r w:rsidRPr="00B5684C">
        <w:rPr>
          <w:rFonts w:cstheme="minorHAnsi"/>
        </w:rPr>
        <w:t>Il SOSTEGNO DELLA NATALITÀ E DELLA GENITORIALITÀ (da sostenere con i fondi ministeriali)</w:t>
      </w:r>
    </w:p>
    <w:p w:rsidR="00C55DD5" w:rsidRPr="00B5684C" w:rsidRDefault="00EE6659" w:rsidP="00B5684C">
      <w:pPr>
        <w:spacing w:after="0" w:line="20" w:lineRule="atLeast"/>
        <w:jc w:val="both"/>
        <w:rPr>
          <w:rFonts w:cstheme="minorHAnsi"/>
        </w:rPr>
      </w:pPr>
      <w:r w:rsidRPr="00B5684C">
        <w:rPr>
          <w:rFonts w:cstheme="minorHAnsi"/>
        </w:rPr>
        <w:t xml:space="preserve"> Le attività sociali del consultorio si realizzeranno attraverso il costante raccordo e l’integrazione con le risorse presenti nel territorio a livello istituzionale e non. </w:t>
      </w:r>
    </w:p>
    <w:p w:rsidR="00C55DD5" w:rsidRPr="00B5684C" w:rsidRDefault="00EE6659" w:rsidP="00B5684C">
      <w:pPr>
        <w:spacing w:after="0" w:line="20" w:lineRule="atLeast"/>
        <w:jc w:val="both"/>
        <w:rPr>
          <w:rFonts w:cstheme="minorHAnsi"/>
        </w:rPr>
      </w:pPr>
      <w:r w:rsidRPr="00B5684C">
        <w:rPr>
          <w:rFonts w:cstheme="minorHAnsi"/>
        </w:rPr>
        <w:t xml:space="preserve">Il servizio sociale consultoriale opererà nell’area “Infanzia, Adolescenza e Famiglia” e gli ambiti possono essere così riassunti: </w:t>
      </w:r>
    </w:p>
    <w:p w:rsidR="00C55DD5" w:rsidRPr="00B5684C" w:rsidRDefault="00EE6659" w:rsidP="00B5684C">
      <w:pPr>
        <w:spacing w:after="0" w:line="20" w:lineRule="atLeast"/>
        <w:jc w:val="both"/>
        <w:rPr>
          <w:rFonts w:cstheme="minorHAnsi"/>
        </w:rPr>
      </w:pPr>
      <w:r w:rsidRPr="00B5684C">
        <w:rPr>
          <w:rFonts w:cstheme="minorHAnsi"/>
        </w:rPr>
        <w:t xml:space="preserve">1. tutela e sostegno della maternità e della paternità, dal punto di vista normativo e sociale, nell’ambito dei percorsi nascita; </w:t>
      </w:r>
    </w:p>
    <w:p w:rsidR="00C55DD5" w:rsidRPr="00B5684C" w:rsidRDefault="00EE6659" w:rsidP="00B5684C">
      <w:pPr>
        <w:spacing w:after="0" w:line="20" w:lineRule="atLeast"/>
        <w:jc w:val="both"/>
        <w:rPr>
          <w:rFonts w:cstheme="minorHAnsi"/>
        </w:rPr>
      </w:pPr>
      <w:r w:rsidRPr="00B5684C">
        <w:rPr>
          <w:rFonts w:cstheme="minorHAnsi"/>
        </w:rPr>
        <w:t xml:space="preserve">2. promozione della consapevolezza dei bisogni e diritti dei minori d'età all'interno dei “percorsi nascita”, in un’ottica di informazione e prevenzione; </w:t>
      </w:r>
    </w:p>
    <w:p w:rsidR="00C55DD5" w:rsidRPr="00B5684C" w:rsidRDefault="00EE6659" w:rsidP="00B5684C">
      <w:pPr>
        <w:spacing w:after="0" w:line="20" w:lineRule="atLeast"/>
        <w:jc w:val="both"/>
        <w:rPr>
          <w:rFonts w:cstheme="minorHAnsi"/>
        </w:rPr>
      </w:pPr>
      <w:r w:rsidRPr="00B5684C">
        <w:rPr>
          <w:rFonts w:cstheme="minorHAnsi"/>
        </w:rPr>
        <w:t xml:space="preserve">3. informazione e accompagnamento rispetto alla scelta separativa tra coniugi o coppie; </w:t>
      </w:r>
    </w:p>
    <w:p w:rsidR="00C55DD5" w:rsidRPr="00B5684C" w:rsidRDefault="00EE6659" w:rsidP="00B5684C">
      <w:pPr>
        <w:spacing w:after="0" w:line="20" w:lineRule="atLeast"/>
        <w:jc w:val="both"/>
        <w:rPr>
          <w:rFonts w:cstheme="minorHAnsi"/>
        </w:rPr>
      </w:pPr>
      <w:r w:rsidRPr="00B5684C">
        <w:rPr>
          <w:rFonts w:cstheme="minorHAnsi"/>
        </w:rPr>
        <w:t xml:space="preserve">4. educazione alla sessualità e all’affettività, in collaborazione con le scuole del territorio; </w:t>
      </w:r>
    </w:p>
    <w:p w:rsidR="00C55DD5" w:rsidRPr="00B5684C" w:rsidRDefault="00EE6659" w:rsidP="00B5684C">
      <w:pPr>
        <w:spacing w:after="0" w:line="20" w:lineRule="atLeast"/>
        <w:jc w:val="both"/>
        <w:rPr>
          <w:rFonts w:cstheme="minorHAnsi"/>
        </w:rPr>
      </w:pPr>
      <w:r w:rsidRPr="00B5684C">
        <w:rPr>
          <w:rFonts w:cstheme="minorHAnsi"/>
        </w:rPr>
        <w:t xml:space="preserve">5. supporto alla genitorialità nelle sue diverse fasi, al fine di migliorare l’informazione, la conoscenza e la consapevolezza; </w:t>
      </w:r>
    </w:p>
    <w:p w:rsidR="00C55DD5" w:rsidRPr="00B5684C" w:rsidRDefault="00EE6659" w:rsidP="00B5684C">
      <w:pPr>
        <w:spacing w:after="0" w:line="20" w:lineRule="atLeast"/>
        <w:jc w:val="both"/>
        <w:rPr>
          <w:rFonts w:cstheme="minorHAnsi"/>
        </w:rPr>
      </w:pPr>
      <w:r w:rsidRPr="00B5684C">
        <w:rPr>
          <w:rFonts w:cstheme="minorHAnsi"/>
        </w:rPr>
        <w:t xml:space="preserve">6. sostegno alla genitorialità, anche attraverso l’attivazione di gruppi di genitori separati; </w:t>
      </w:r>
    </w:p>
    <w:p w:rsidR="00C55DD5" w:rsidRPr="00B5684C" w:rsidRDefault="00EE6659" w:rsidP="00B5684C">
      <w:pPr>
        <w:spacing w:after="0" w:line="20" w:lineRule="atLeast"/>
        <w:jc w:val="both"/>
        <w:rPr>
          <w:rFonts w:cstheme="minorHAnsi"/>
        </w:rPr>
      </w:pPr>
      <w:r w:rsidRPr="00B5684C">
        <w:rPr>
          <w:rFonts w:cstheme="minorHAnsi"/>
        </w:rPr>
        <w:t xml:space="preserve">7. presa in carico di situazioni multiproblematiche con diagnosi complesse e già affidate alla Tutela dei Minori – Affido Famigliare. Questo ambito è dedicato alla collaborazione con gli Organi Giudiziari (tribunale per i Minorenni, Tribunale Ordinario, Giudice Tutelare e Procura minorile); </w:t>
      </w:r>
    </w:p>
    <w:p w:rsidR="00C55DD5" w:rsidRPr="00B5684C" w:rsidRDefault="00EE6659" w:rsidP="00B5684C">
      <w:pPr>
        <w:spacing w:after="0" w:line="20" w:lineRule="atLeast"/>
        <w:jc w:val="both"/>
        <w:rPr>
          <w:rFonts w:cstheme="minorHAnsi"/>
        </w:rPr>
      </w:pPr>
      <w:r w:rsidRPr="00B5684C">
        <w:rPr>
          <w:rFonts w:cstheme="minorHAnsi"/>
        </w:rPr>
        <w:t xml:space="preserve">8. presa in carico e sostegno per la gestione della conflittualità genitoriale, all’interno dei percorsi di separazione e divorzio nella gestione dei figli minori d’età; </w:t>
      </w:r>
    </w:p>
    <w:p w:rsidR="00C55DD5" w:rsidRPr="00B5684C" w:rsidRDefault="00EE6659" w:rsidP="00B5684C">
      <w:pPr>
        <w:spacing w:after="0" w:line="20" w:lineRule="atLeast"/>
        <w:jc w:val="both"/>
        <w:rPr>
          <w:rFonts w:cstheme="minorHAnsi"/>
        </w:rPr>
      </w:pPr>
      <w:r w:rsidRPr="00B5684C">
        <w:rPr>
          <w:rFonts w:cstheme="minorHAnsi"/>
        </w:rPr>
        <w:t xml:space="preserve">9. mediazione Familiare; </w:t>
      </w:r>
    </w:p>
    <w:p w:rsidR="00C55DD5" w:rsidRPr="00B5684C" w:rsidRDefault="00EE6659" w:rsidP="00B5684C">
      <w:pPr>
        <w:spacing w:after="0" w:line="20" w:lineRule="atLeast"/>
        <w:jc w:val="both"/>
        <w:rPr>
          <w:rFonts w:cstheme="minorHAnsi"/>
        </w:rPr>
      </w:pPr>
      <w:r w:rsidRPr="00B5684C">
        <w:rPr>
          <w:rFonts w:cstheme="minorHAnsi"/>
        </w:rPr>
        <w:t xml:space="preserve">10. consulenza e presa in carico relativamente al singolo, alla coppia e alla famiglia, in ordine alle problematiche relazionali, educative e personali durante il ciclo di vita; </w:t>
      </w:r>
    </w:p>
    <w:p w:rsidR="00C55DD5" w:rsidRPr="00B5684C" w:rsidRDefault="00EE6659" w:rsidP="00B5684C">
      <w:pPr>
        <w:spacing w:after="0" w:line="20" w:lineRule="atLeast"/>
        <w:jc w:val="both"/>
        <w:rPr>
          <w:rFonts w:cstheme="minorHAnsi"/>
        </w:rPr>
      </w:pPr>
      <w:r w:rsidRPr="00B5684C">
        <w:rPr>
          <w:rFonts w:cstheme="minorHAnsi"/>
        </w:rPr>
        <w:t xml:space="preserve">11. consulenza e presa in carico all’interno dello “Spazio Adolescenti/Giovani”; </w:t>
      </w:r>
    </w:p>
    <w:p w:rsidR="00C55DD5" w:rsidRPr="00B5684C" w:rsidRDefault="00EE6659" w:rsidP="00B5684C">
      <w:pPr>
        <w:spacing w:after="0" w:line="20" w:lineRule="atLeast"/>
        <w:jc w:val="both"/>
        <w:rPr>
          <w:rFonts w:cstheme="minorHAnsi"/>
        </w:rPr>
      </w:pPr>
      <w:r w:rsidRPr="00B5684C">
        <w:rPr>
          <w:rFonts w:cstheme="minorHAnsi"/>
        </w:rPr>
        <w:t xml:space="preserve">12. informazione e supporto in gravidanza con problematiche sociali; </w:t>
      </w:r>
    </w:p>
    <w:p w:rsidR="00C55DD5" w:rsidRPr="00B5684C" w:rsidRDefault="00EE6659" w:rsidP="00B5684C">
      <w:pPr>
        <w:spacing w:after="0" w:line="20" w:lineRule="atLeast"/>
        <w:jc w:val="both"/>
        <w:rPr>
          <w:rFonts w:cstheme="minorHAnsi"/>
        </w:rPr>
      </w:pPr>
      <w:r w:rsidRPr="00B5684C">
        <w:rPr>
          <w:rFonts w:cstheme="minorHAnsi"/>
        </w:rPr>
        <w:t xml:space="preserve">13. presa in carico per interruzione volontaria di gravidanza anche di minorenni e ricorso all’Autorità Giudiziaria; </w:t>
      </w:r>
    </w:p>
    <w:p w:rsidR="00C55DD5" w:rsidRPr="00B5684C" w:rsidRDefault="00EE6659" w:rsidP="00B5684C">
      <w:pPr>
        <w:spacing w:after="0" w:line="20" w:lineRule="atLeast"/>
        <w:jc w:val="both"/>
        <w:rPr>
          <w:rFonts w:cstheme="minorHAnsi"/>
        </w:rPr>
      </w:pPr>
      <w:r w:rsidRPr="00B5684C">
        <w:rPr>
          <w:rFonts w:cstheme="minorHAnsi"/>
        </w:rPr>
        <w:t xml:space="preserve">14. consulenza ed assistenza rispetto alle vittime di violenza, in collaborazione con i “Centri anti-violenza” del territorio; </w:t>
      </w:r>
    </w:p>
    <w:p w:rsidR="00C55DD5" w:rsidRPr="00B5684C" w:rsidRDefault="00EE6659" w:rsidP="00B5684C">
      <w:pPr>
        <w:spacing w:after="0" w:line="20" w:lineRule="atLeast"/>
        <w:jc w:val="both"/>
        <w:rPr>
          <w:rFonts w:cstheme="minorHAnsi"/>
        </w:rPr>
      </w:pPr>
      <w:r w:rsidRPr="00B5684C">
        <w:rPr>
          <w:rFonts w:cstheme="minorHAnsi"/>
        </w:rPr>
        <w:lastRenderedPageBreak/>
        <w:t xml:space="preserve">15. supporto alle puerpere in difficoltà nel dopo-parto, anche attraverso il coinvolgimento delle risorse del territorio; </w:t>
      </w:r>
    </w:p>
    <w:p w:rsidR="00C55DD5" w:rsidRPr="00B5684C" w:rsidRDefault="00EE6659" w:rsidP="00B5684C">
      <w:pPr>
        <w:spacing w:after="0" w:line="20" w:lineRule="atLeast"/>
        <w:jc w:val="both"/>
        <w:rPr>
          <w:rFonts w:cstheme="minorHAnsi"/>
        </w:rPr>
      </w:pPr>
      <w:r w:rsidRPr="00B5684C">
        <w:rPr>
          <w:rFonts w:cstheme="minorHAnsi"/>
        </w:rPr>
        <w:t xml:space="preserve">16. costruzione di una visione dei servizi socio-sanitari come “strumento di promozione della salute di una comunità”; </w:t>
      </w:r>
    </w:p>
    <w:p w:rsidR="00EE6659" w:rsidRPr="00B5684C" w:rsidRDefault="00EE6659" w:rsidP="00B5684C">
      <w:pPr>
        <w:spacing w:after="0" w:line="20" w:lineRule="atLeast"/>
        <w:jc w:val="both"/>
        <w:rPr>
          <w:rFonts w:cstheme="minorHAnsi"/>
        </w:rPr>
      </w:pPr>
      <w:r w:rsidRPr="00B5684C">
        <w:rPr>
          <w:rFonts w:cstheme="minorHAnsi"/>
        </w:rPr>
        <w:t>17. promozione della conoscenza e della fruibilità dei servizi offerti dal Consultorio Familiare rispetto alla natalità e alla genitorialità, con particolare attenzione alle donne immigrate (attraverso l’utilizzo di strategie specifiche).</w:t>
      </w:r>
    </w:p>
    <w:p w:rsidR="00EE6659" w:rsidRPr="00B5684C" w:rsidRDefault="00EE6659" w:rsidP="00B5684C">
      <w:pPr>
        <w:spacing w:after="0" w:line="20" w:lineRule="atLeast"/>
        <w:jc w:val="both"/>
        <w:rPr>
          <w:rFonts w:cstheme="minorHAnsi"/>
        </w:rPr>
      </w:pPr>
    </w:p>
    <w:p w:rsidR="002B2313" w:rsidRPr="00B5684C" w:rsidRDefault="002B2313" w:rsidP="00C012A3">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proofErr w:type="gramStart"/>
      <w:r w:rsidRPr="00B5684C">
        <w:rPr>
          <w:rFonts w:cstheme="minorHAnsi"/>
          <w:b/>
        </w:rPr>
        <w:t>NON  AUTOSUFFICIENTI</w:t>
      </w:r>
      <w:proofErr w:type="gramEnd"/>
    </w:p>
    <w:p w:rsidR="00E47006" w:rsidRPr="00B5684C" w:rsidRDefault="00E47006" w:rsidP="00B5684C">
      <w:pPr>
        <w:autoSpaceDE w:val="0"/>
        <w:autoSpaceDN w:val="0"/>
        <w:adjustRightInd w:val="0"/>
        <w:spacing w:after="0" w:line="20" w:lineRule="atLeast"/>
        <w:jc w:val="both"/>
        <w:rPr>
          <w:rFonts w:cstheme="minorHAnsi"/>
        </w:rPr>
      </w:pPr>
    </w:p>
    <w:p w:rsidR="002A02A9" w:rsidRPr="00B5684C" w:rsidRDefault="006830C1" w:rsidP="00B5684C">
      <w:pPr>
        <w:pStyle w:val="cust-dettaglio-tipo-atto"/>
        <w:shd w:val="clear" w:color="auto" w:fill="FFFFFF"/>
        <w:spacing w:before="0" w:beforeAutospacing="0" w:after="0" w:afterAutospacing="0" w:line="293" w:lineRule="atLeast"/>
        <w:jc w:val="both"/>
        <w:textAlignment w:val="baseline"/>
        <w:rPr>
          <w:rFonts w:asciiTheme="minorHAnsi" w:hAnsiTheme="minorHAnsi" w:cstheme="minorHAnsi"/>
          <w:bCs/>
          <w:sz w:val="22"/>
          <w:szCs w:val="22"/>
        </w:rPr>
      </w:pPr>
      <w:r w:rsidRPr="00B5684C">
        <w:rPr>
          <w:rFonts w:asciiTheme="minorHAnsi" w:hAnsiTheme="minorHAnsi" w:cstheme="minorHAnsi"/>
          <w:b/>
          <w:caps/>
          <w:sz w:val="22"/>
          <w:szCs w:val="22"/>
        </w:rPr>
        <w:t>DGR</w:t>
      </w:r>
      <w:r w:rsidR="002A02A9" w:rsidRPr="00B5684C">
        <w:rPr>
          <w:rFonts w:asciiTheme="minorHAnsi" w:hAnsiTheme="minorHAnsi" w:cstheme="minorHAnsi"/>
          <w:b/>
          <w:caps/>
          <w:sz w:val="22"/>
          <w:szCs w:val="22"/>
        </w:rPr>
        <w:t xml:space="preserve"> </w:t>
      </w:r>
      <w:r w:rsidRPr="00B5684C">
        <w:rPr>
          <w:rStyle w:val="cust-dettaglio-tipo-atto-num-data"/>
          <w:rFonts w:asciiTheme="minorHAnsi" w:hAnsiTheme="minorHAnsi" w:cstheme="minorHAnsi"/>
          <w:b/>
          <w:caps/>
          <w:sz w:val="22"/>
          <w:szCs w:val="22"/>
          <w:bdr w:val="none" w:sz="0" w:space="0" w:color="auto" w:frame="1"/>
        </w:rPr>
        <w:t> </w:t>
      </w:r>
      <w:r w:rsidR="002A02A9" w:rsidRPr="00B5684C">
        <w:rPr>
          <w:rStyle w:val="cust-dettaglio-tipo-atto-num-data"/>
          <w:rFonts w:asciiTheme="minorHAnsi" w:hAnsiTheme="minorHAnsi" w:cstheme="minorHAnsi"/>
          <w:b/>
          <w:caps/>
          <w:sz w:val="22"/>
          <w:szCs w:val="22"/>
          <w:bdr w:val="none" w:sz="0" w:space="0" w:color="auto" w:frame="1"/>
        </w:rPr>
        <w:t xml:space="preserve"> </w:t>
      </w:r>
      <w:r w:rsidR="002A02A9" w:rsidRPr="00B5684C">
        <w:rPr>
          <w:rStyle w:val="cust-dettaglio-tipo-atto-num-data"/>
          <w:rFonts w:asciiTheme="minorHAnsi" w:hAnsiTheme="minorHAnsi" w:cstheme="minorHAnsi"/>
          <w:b/>
          <w:sz w:val="22"/>
          <w:szCs w:val="22"/>
          <w:bdr w:val="none" w:sz="0" w:space="0" w:color="auto" w:frame="1"/>
        </w:rPr>
        <w:t xml:space="preserve">del 12 luglio 2019, n. </w:t>
      </w:r>
      <w:proofErr w:type="gramStart"/>
      <w:r w:rsidR="002A02A9" w:rsidRPr="00B5684C">
        <w:rPr>
          <w:rStyle w:val="cust-dettaglio-tipo-atto-num-data"/>
          <w:rFonts w:asciiTheme="minorHAnsi" w:hAnsiTheme="minorHAnsi" w:cstheme="minorHAnsi"/>
          <w:b/>
          <w:sz w:val="22"/>
          <w:szCs w:val="22"/>
          <w:bdr w:val="none" w:sz="0" w:space="0" w:color="auto" w:frame="1"/>
        </w:rPr>
        <w:t>1033</w:t>
      </w:r>
      <w:r w:rsidR="002A02A9" w:rsidRPr="00B5684C">
        <w:rPr>
          <w:rStyle w:val="cust-dettaglio-tipo-atto-num-data"/>
          <w:rFonts w:asciiTheme="minorHAnsi" w:hAnsiTheme="minorHAnsi" w:cstheme="minorHAnsi"/>
          <w:caps/>
          <w:sz w:val="22"/>
          <w:szCs w:val="22"/>
          <w:bdr w:val="none" w:sz="0" w:space="0" w:color="auto" w:frame="1"/>
        </w:rPr>
        <w:t xml:space="preserve">,  </w:t>
      </w:r>
      <w:r w:rsidRPr="00B5684C">
        <w:rPr>
          <w:rFonts w:asciiTheme="minorHAnsi" w:hAnsiTheme="minorHAnsi" w:cstheme="minorHAnsi"/>
          <w:bCs/>
          <w:sz w:val="22"/>
          <w:szCs w:val="22"/>
        </w:rPr>
        <w:t>Accreditamento</w:t>
      </w:r>
      <w:proofErr w:type="gramEnd"/>
      <w:r w:rsidRPr="00B5684C">
        <w:rPr>
          <w:rFonts w:asciiTheme="minorHAnsi" w:hAnsiTheme="minorHAnsi" w:cstheme="minorHAnsi"/>
          <w:bCs/>
          <w:sz w:val="22"/>
          <w:szCs w:val="22"/>
        </w:rPr>
        <w:t xml:space="preserve"> istituzionale per le unità di offerta dei servizi socio sanitari area anziani, disabili, conferme a valere anno 2019. (L.R. n. 22/2002).</w:t>
      </w:r>
      <w:r w:rsidR="002A02A9" w:rsidRPr="00B5684C">
        <w:rPr>
          <w:rFonts w:asciiTheme="minorHAnsi" w:hAnsiTheme="minorHAnsi" w:cstheme="minorHAnsi"/>
          <w:bCs/>
          <w:sz w:val="22"/>
          <w:szCs w:val="22"/>
        </w:rPr>
        <w:t xml:space="preserve"> (BUR n. </w:t>
      </w:r>
      <w:proofErr w:type="gramStart"/>
      <w:r w:rsidR="002A02A9" w:rsidRPr="00B5684C">
        <w:rPr>
          <w:rFonts w:asciiTheme="minorHAnsi" w:hAnsiTheme="minorHAnsi" w:cstheme="minorHAnsi"/>
          <w:bCs/>
          <w:sz w:val="22"/>
          <w:szCs w:val="22"/>
        </w:rPr>
        <w:t>96  del</w:t>
      </w:r>
      <w:proofErr w:type="gramEnd"/>
      <w:r w:rsidR="002A02A9" w:rsidRPr="00B5684C">
        <w:rPr>
          <w:rFonts w:asciiTheme="minorHAnsi" w:hAnsiTheme="minorHAnsi" w:cstheme="minorHAnsi"/>
          <w:bCs/>
          <w:sz w:val="22"/>
          <w:szCs w:val="22"/>
        </w:rPr>
        <w:t xml:space="preserve"> 27.8.19)</w:t>
      </w:r>
    </w:p>
    <w:p w:rsidR="006830C1" w:rsidRPr="00B5684C" w:rsidRDefault="00591C08" w:rsidP="00B5684C">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
          <w:bCs/>
          <w:sz w:val="22"/>
          <w:szCs w:val="22"/>
        </w:rPr>
      </w:pPr>
      <w:r w:rsidRPr="00B5684C">
        <w:rPr>
          <w:rFonts w:asciiTheme="minorHAnsi" w:hAnsiTheme="minorHAnsi" w:cstheme="minorHAnsi"/>
          <w:b/>
          <w:bCs/>
          <w:sz w:val="22"/>
          <w:szCs w:val="22"/>
        </w:rPr>
        <w:t>Note</w:t>
      </w:r>
    </w:p>
    <w:p w:rsidR="006830C1" w:rsidRPr="00B5684C" w:rsidRDefault="006830C1"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Al fine di promuovere e garantire la qualità assistenziale, la Regione del Veneto, con la legge regionale n. 22 del 16/08/2002, ha stabilito i criteri per l’autorizzazione alla realizzazione e l’esercizio di strutture per attività sanitarie, socio sanitarie e sociali subordinando l’emissione del parere positivo al riscontro della coerenza dei progetti presentati con la programmazione socio-sanitaria regionale.</w:t>
      </w:r>
    </w:p>
    <w:p w:rsidR="006830C1" w:rsidRPr="00B5684C" w:rsidRDefault="006830C1"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Con lo stesso atto normativo è stato introdotto, inoltre, l’istituto dell’accreditamento istituzionale definito quale processo che varia lo stato del richiedente, da soggetto autorizzato ad esercitare attività socio-sanitaria a soggetto idoneo a prestare tale attività per conto del sistema socio-sanitario regionale, pertanto, potenziale erogatore; detto accreditamento è previsto venga rilasciato dalla Giunta Regionale - competente anche per la vigilanza nel settore - previa verifica della sussistenza delle condizioni di cui all’art. 16 e dei requisiti di cui all’art. 18 della legge regionale n. 22 del 16/08/2002.</w:t>
      </w:r>
    </w:p>
    <w:p w:rsidR="00591C08" w:rsidRPr="00B5684C" w:rsidRDefault="002A02A9"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 xml:space="preserve">Viene </w:t>
      </w:r>
      <w:proofErr w:type="gramStart"/>
      <w:r w:rsidR="006830C1" w:rsidRPr="00B5684C">
        <w:rPr>
          <w:rFonts w:asciiTheme="minorHAnsi" w:hAnsiTheme="minorHAnsi" w:cstheme="minorHAnsi"/>
          <w:sz w:val="22"/>
          <w:szCs w:val="22"/>
        </w:rPr>
        <w:t>conferma</w:t>
      </w:r>
      <w:r w:rsidRPr="00B5684C">
        <w:rPr>
          <w:rFonts w:asciiTheme="minorHAnsi" w:hAnsiTheme="minorHAnsi" w:cstheme="minorHAnsi"/>
          <w:sz w:val="22"/>
          <w:szCs w:val="22"/>
        </w:rPr>
        <w:t xml:space="preserve">to </w:t>
      </w:r>
      <w:r w:rsidR="006830C1" w:rsidRPr="00B5684C">
        <w:rPr>
          <w:rFonts w:asciiTheme="minorHAnsi" w:hAnsiTheme="minorHAnsi" w:cstheme="minorHAnsi"/>
          <w:sz w:val="22"/>
          <w:szCs w:val="22"/>
        </w:rPr>
        <w:t xml:space="preserve"> l’accreditamento</w:t>
      </w:r>
      <w:proofErr w:type="gramEnd"/>
      <w:r w:rsidR="006830C1" w:rsidRPr="00B5684C">
        <w:rPr>
          <w:rFonts w:asciiTheme="minorHAnsi" w:hAnsiTheme="minorHAnsi" w:cstheme="minorHAnsi"/>
          <w:sz w:val="22"/>
          <w:szCs w:val="22"/>
        </w:rPr>
        <w:t xml:space="preserve"> istituzionale, a valere dall’anno 2019 per tre anni fino al 31/12/2021, agli enti gestori delle unità di offerta che erogano prestazioni socio sanitarie a favore di persone non autosufficienti e disabili</w:t>
      </w:r>
      <w:r w:rsidR="00591C08" w:rsidRPr="00B5684C">
        <w:rPr>
          <w:rFonts w:asciiTheme="minorHAnsi" w:hAnsiTheme="minorHAnsi" w:cstheme="minorHAnsi"/>
          <w:sz w:val="22"/>
          <w:szCs w:val="22"/>
        </w:rPr>
        <w:t>.</w:t>
      </w:r>
      <w:r w:rsidR="006830C1" w:rsidRPr="00B5684C">
        <w:rPr>
          <w:rFonts w:asciiTheme="minorHAnsi" w:hAnsiTheme="minorHAnsi" w:cstheme="minorHAnsi"/>
          <w:sz w:val="22"/>
          <w:szCs w:val="22"/>
        </w:rPr>
        <w:t xml:space="preserve"> </w:t>
      </w:r>
    </w:p>
    <w:p w:rsidR="006830C1" w:rsidRPr="00B5684C" w:rsidRDefault="00591C08"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I</w:t>
      </w:r>
      <w:r w:rsidR="006830C1" w:rsidRPr="00B5684C">
        <w:rPr>
          <w:rFonts w:asciiTheme="minorHAnsi" w:hAnsiTheme="minorHAnsi" w:cstheme="minorHAnsi"/>
          <w:sz w:val="22"/>
          <w:szCs w:val="22"/>
        </w:rPr>
        <w:t>l mantenimento dei requisiti di accreditamento dovrà essere verificato con periodicità triennale e al venir meno delle condizioni di cui all’art. 16 l’accreditamento è sospeso o revocato.</w:t>
      </w:r>
    </w:p>
    <w:p w:rsidR="006830C1" w:rsidRPr="00B5684C" w:rsidRDefault="006830C1" w:rsidP="00B5684C">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
          <w:caps/>
          <w:sz w:val="22"/>
          <w:szCs w:val="22"/>
        </w:rPr>
      </w:pPr>
    </w:p>
    <w:p w:rsidR="002B2313" w:rsidRPr="00B5684C" w:rsidRDefault="002B2313" w:rsidP="00B5684C">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
          <w:bCs/>
          <w:sz w:val="22"/>
          <w:szCs w:val="22"/>
        </w:rPr>
      </w:pPr>
      <w:r w:rsidRPr="00B5684C">
        <w:rPr>
          <w:rFonts w:asciiTheme="minorHAnsi" w:hAnsiTheme="minorHAnsi" w:cstheme="minorHAnsi"/>
          <w:b/>
          <w:caps/>
          <w:sz w:val="22"/>
          <w:szCs w:val="22"/>
        </w:rPr>
        <w:t xml:space="preserve">DGR </w:t>
      </w:r>
      <w:r w:rsidRPr="00B5684C">
        <w:rPr>
          <w:rStyle w:val="cust-dettaglio-tipo-atto-num-data"/>
          <w:rFonts w:asciiTheme="minorHAnsi" w:hAnsiTheme="minorHAnsi" w:cstheme="minorHAnsi"/>
          <w:b/>
          <w:caps/>
          <w:sz w:val="22"/>
          <w:szCs w:val="22"/>
          <w:bdr w:val="none" w:sz="0" w:space="0" w:color="auto" w:frame="1"/>
        </w:rPr>
        <w:t xml:space="preserve">  </w:t>
      </w:r>
      <w:r w:rsidRPr="00B5684C">
        <w:rPr>
          <w:rStyle w:val="cust-dettaglio-tipo-atto-num-data"/>
          <w:rFonts w:asciiTheme="minorHAnsi" w:hAnsiTheme="minorHAnsi" w:cstheme="minorHAnsi"/>
          <w:b/>
          <w:sz w:val="22"/>
          <w:szCs w:val="22"/>
          <w:bdr w:val="none" w:sz="0" w:space="0" w:color="auto" w:frame="1"/>
        </w:rPr>
        <w:t>30 luglio 2019, n. 1103</w:t>
      </w:r>
      <w:r w:rsidRPr="00B5684C">
        <w:rPr>
          <w:rStyle w:val="cust-dettaglio-tipo-atto-num-data"/>
          <w:rFonts w:asciiTheme="minorHAnsi" w:hAnsiTheme="minorHAnsi" w:cstheme="minorHAnsi"/>
          <w:sz w:val="22"/>
          <w:szCs w:val="22"/>
          <w:bdr w:val="none" w:sz="0" w:space="0" w:color="auto" w:frame="1"/>
        </w:rPr>
        <w:t xml:space="preserve">, </w:t>
      </w:r>
      <w:r w:rsidRPr="00B5684C">
        <w:rPr>
          <w:rFonts w:asciiTheme="minorHAnsi" w:hAnsiTheme="minorHAnsi" w:cstheme="minorHAnsi"/>
          <w:bCs/>
          <w:sz w:val="22"/>
          <w:szCs w:val="22"/>
        </w:rPr>
        <w:t>Aggiornamento della DGR n. 84 del 16/1/2007 relativo alle unità di offerta RSA e CR a conclusione della sperimentazione di cui alle DGR n. 1667 del 17/10/2017 e DGR n. 1834 del 4/12/2018. Art. 5, comma 1 della LR n. 30 del 18/12/2009. DGR n. 76/CR del 12/07/2019. BUR n. 97 del 27.8.19)</w:t>
      </w:r>
    </w:p>
    <w:p w:rsidR="002B2313" w:rsidRPr="00B5684C" w:rsidRDefault="00591C08"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b/>
          <w:sz w:val="22"/>
          <w:szCs w:val="22"/>
        </w:rPr>
      </w:pPr>
      <w:r w:rsidRPr="00B5684C">
        <w:rPr>
          <w:rFonts w:asciiTheme="minorHAnsi" w:hAnsiTheme="minorHAnsi" w:cstheme="minorHAnsi"/>
          <w:b/>
          <w:sz w:val="22"/>
          <w:szCs w:val="22"/>
        </w:rPr>
        <w:t xml:space="preserve">PREMESSA </w:t>
      </w:r>
    </w:p>
    <w:p w:rsidR="002B2313" w:rsidRPr="00B5684C" w:rsidRDefault="002B2313"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Con DGR n. 1667 del 17/10/2017 veniva approvato il progetto di aggiornamento degli </w:t>
      </w:r>
      <w:r w:rsidRPr="00B5684C">
        <w:rPr>
          <w:rStyle w:val="Enfasicorsivo"/>
          <w:rFonts w:asciiTheme="minorHAnsi" w:hAnsiTheme="minorHAnsi" w:cstheme="minorHAnsi"/>
          <w:sz w:val="22"/>
          <w:szCs w:val="22"/>
          <w:bdr w:val="none" w:sz="0" w:space="0" w:color="auto" w:frame="1"/>
        </w:rPr>
        <w:t>standard</w:t>
      </w:r>
      <w:r w:rsidRPr="00B5684C">
        <w:rPr>
          <w:rFonts w:asciiTheme="minorHAnsi" w:hAnsiTheme="minorHAnsi" w:cstheme="minorHAnsi"/>
          <w:sz w:val="22"/>
          <w:szCs w:val="22"/>
        </w:rPr>
        <w:t> funzionali relativi alle unità di offerta Residenze Sanitarie Assistenziali (RSA) e Comunità Residenziali (CR). Il progetto assumeva carattere sperimentale, con durata di 12 mesi decorrenti dall’1/1/2018 prorogabile, e quale campione di riferimento le </w:t>
      </w:r>
      <w:r w:rsidRPr="00B5684C">
        <w:rPr>
          <w:rStyle w:val="Enfasicorsivo"/>
          <w:rFonts w:asciiTheme="minorHAnsi" w:hAnsiTheme="minorHAnsi" w:cstheme="minorHAnsi"/>
          <w:sz w:val="22"/>
          <w:szCs w:val="22"/>
          <w:bdr w:val="none" w:sz="0" w:space="0" w:color="auto" w:frame="1"/>
        </w:rPr>
        <w:t>ex</w:t>
      </w:r>
      <w:r w:rsidRPr="00B5684C">
        <w:rPr>
          <w:rFonts w:asciiTheme="minorHAnsi" w:hAnsiTheme="minorHAnsi" w:cstheme="minorHAnsi"/>
          <w:sz w:val="22"/>
          <w:szCs w:val="22"/>
        </w:rPr>
        <w:t> “Grandi strutture”: Istituti Polesani di Ficarolo (RO), Istituto Divina Provvidenza di Sarmeola di Rubano (PD) e Istituti Pii di Rosà (VI), in considerazione della loro rilevanza quali-quantitativa (</w:t>
      </w:r>
      <w:r w:rsidRPr="00B5684C">
        <w:rPr>
          <w:rStyle w:val="Enfasicorsivo"/>
          <w:rFonts w:asciiTheme="minorHAnsi" w:hAnsiTheme="minorHAnsi" w:cstheme="minorHAnsi"/>
          <w:sz w:val="22"/>
          <w:szCs w:val="22"/>
          <w:bdr w:val="none" w:sz="0" w:space="0" w:color="auto" w:frame="1"/>
        </w:rPr>
        <w:t>case-mix</w:t>
      </w:r>
      <w:r w:rsidRPr="00B5684C">
        <w:rPr>
          <w:rFonts w:asciiTheme="minorHAnsi" w:hAnsiTheme="minorHAnsi" w:cstheme="minorHAnsi"/>
          <w:sz w:val="22"/>
          <w:szCs w:val="22"/>
        </w:rPr>
        <w:t> specifici) nell’ambito della rete dell’assistenza residenziale extraospedaliera per persone con disabilità.</w:t>
      </w:r>
    </w:p>
    <w:p w:rsidR="002B2313" w:rsidRPr="00B5684C" w:rsidRDefault="00591C08"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C</w:t>
      </w:r>
      <w:r w:rsidR="002B2313" w:rsidRPr="00B5684C">
        <w:rPr>
          <w:rFonts w:asciiTheme="minorHAnsi" w:hAnsiTheme="minorHAnsi" w:cstheme="minorHAnsi"/>
          <w:sz w:val="22"/>
          <w:szCs w:val="22"/>
        </w:rPr>
        <w:t>on Decreto del Direttore Generale dell’Area Sanità e Sociale n. 49 del 14/5/2019 veniva costituito il Gruppo di Lavoro per gli adeguamenti alla metodologia di valutazione multidimensionale per la graduazione dei profili di gravità delle persone con disabilità previsto dalla DGR n. 1834 del 2018 con il compito di “</w:t>
      </w:r>
      <w:r w:rsidR="002B2313" w:rsidRPr="00B5684C">
        <w:rPr>
          <w:rStyle w:val="Enfasicorsivo"/>
          <w:rFonts w:asciiTheme="minorHAnsi" w:hAnsiTheme="minorHAnsi" w:cstheme="minorHAnsi"/>
          <w:sz w:val="22"/>
          <w:szCs w:val="22"/>
          <w:bdr w:val="none" w:sz="0" w:space="0" w:color="auto" w:frame="1"/>
        </w:rPr>
        <w:t>definire i più opportuni aggiornamenti e/o integrazioni della scheda di valutazione SVaMDi, al fine di migliorare la sensibilità dello strumento nella graduazione dei profili di gravità, clinica e funzionale, con particolare riguardo ai disturbi del comportamento</w:t>
      </w:r>
      <w:r w:rsidR="002B2313" w:rsidRPr="00B5684C">
        <w:rPr>
          <w:rFonts w:asciiTheme="minorHAnsi" w:hAnsiTheme="minorHAnsi" w:cstheme="minorHAnsi"/>
          <w:sz w:val="22"/>
          <w:szCs w:val="22"/>
        </w:rPr>
        <w:t>”, prevedendo, altresì, la necessità di “</w:t>
      </w:r>
      <w:r w:rsidR="002B2313" w:rsidRPr="00B5684C">
        <w:rPr>
          <w:rStyle w:val="Enfasicorsivo"/>
          <w:rFonts w:asciiTheme="minorHAnsi" w:hAnsiTheme="minorHAnsi" w:cstheme="minorHAnsi"/>
          <w:sz w:val="22"/>
          <w:szCs w:val="22"/>
          <w:bdr w:val="none" w:sz="0" w:space="0" w:color="auto" w:frame="1"/>
        </w:rPr>
        <w:t>riconsiderare il ruolo-funzione nel sistema della residenzialità delle unità di offerta Comunità Alloggio (CA) rispetto alle esigenze assistenziali e tutelari delle persone con disabilità sotto i profili di appropriatezza e di sostenibilità economica del sistema</w:t>
      </w:r>
      <w:r w:rsidR="002B2313" w:rsidRPr="00B5684C">
        <w:rPr>
          <w:rFonts w:asciiTheme="minorHAnsi" w:hAnsiTheme="minorHAnsi" w:cstheme="minorHAnsi"/>
          <w:sz w:val="22"/>
          <w:szCs w:val="22"/>
        </w:rPr>
        <w:t>”.</w:t>
      </w:r>
    </w:p>
    <w:p w:rsidR="002B2313" w:rsidRPr="00B5684C" w:rsidRDefault="002B2313"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Style w:val="Enfasigrassetto"/>
          <w:rFonts w:asciiTheme="minorHAnsi" w:hAnsiTheme="minorHAnsi" w:cstheme="minorHAnsi"/>
          <w:sz w:val="22"/>
          <w:szCs w:val="22"/>
          <w:u w:val="single"/>
          <w:bdr w:val="none" w:sz="0" w:space="0" w:color="auto" w:frame="1"/>
        </w:rPr>
        <w:t>Specificazione del nuovo modello assistenziale</w:t>
      </w:r>
    </w:p>
    <w:p w:rsidR="002B2313" w:rsidRPr="00B5684C" w:rsidRDefault="002B2313"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u w:val="single"/>
          <w:bdr w:val="none" w:sz="0" w:space="0" w:color="auto" w:frame="1"/>
        </w:rPr>
        <w:t>A.Residenza Sanitaria Assistenziale (RSA)</w:t>
      </w:r>
    </w:p>
    <w:p w:rsidR="002B2313" w:rsidRPr="00B5684C" w:rsidRDefault="002B2313"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lastRenderedPageBreak/>
        <w:t>Servizio residenziale per persone con disabilità fisiche, psichiche e sensoriali con gravi limitazioni di autonomia, nella cui valutazione multidimensionale risulti comunque inequivocabile l’impossibilità dell’assistenza domiciliare o dell’inserimento in altra struttura per persone con disabilità, con soglie più basse di protezione.</w:t>
      </w:r>
    </w:p>
    <w:p w:rsidR="002B2313" w:rsidRPr="00B5684C" w:rsidRDefault="002B2313"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La struttura è finalizzata all’erogazione di prestazioni socio-sanitarie, sanitarie e riabilitative per il recupero e mantenimento delle abilità funzionali residue, erogate congiuntamente a prestazioni assistenziali e tutelari.</w:t>
      </w:r>
    </w:p>
    <w:p w:rsidR="002B2313" w:rsidRPr="00B5684C" w:rsidRDefault="002B2313"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La capacità ricettiva di una unità di offerta è di minimo 20 posti letto, fino ad un massimo di 40, comunque organizzati in nuclei di 20, con possibilità di ulteriore articolazione degli stessi in sezioni specifiche in grado di rispondere a particolari bisogni/gravità degli ospiti, anche con riguardo ai disturbi del comportamento.</w:t>
      </w:r>
    </w:p>
    <w:p w:rsidR="002B2313" w:rsidRPr="00B5684C" w:rsidRDefault="002B2313"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bdr w:val="none" w:sz="0" w:space="0" w:color="auto" w:frame="1"/>
        </w:rPr>
        <w:t>Sotto il profilo applicativo resta inteso che, nei casi di capacità ricettiva inferiore a 40 posti letto, i nuclei possono essere organizzati in un diverso numero di posti, anche superiore a 20.</w:t>
      </w:r>
    </w:p>
    <w:p w:rsidR="002B2313" w:rsidRPr="00B5684C" w:rsidRDefault="002B2313"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u w:val="single"/>
          <w:bdr w:val="none" w:sz="0" w:space="0" w:color="auto" w:frame="1"/>
        </w:rPr>
        <w:t>Requisito: (RSA-DIS-au-1.1.1-2)</w:t>
      </w:r>
    </w:p>
    <w:p w:rsidR="002B2313" w:rsidRPr="00B5684C" w:rsidRDefault="002B2313"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Lo </w:t>
      </w:r>
      <w:r w:rsidRPr="00B5684C">
        <w:rPr>
          <w:rStyle w:val="Enfasicorsivo"/>
          <w:rFonts w:asciiTheme="minorHAnsi" w:hAnsiTheme="minorHAnsi" w:cstheme="minorHAnsi"/>
          <w:sz w:val="22"/>
          <w:szCs w:val="22"/>
          <w:bdr w:val="none" w:sz="0" w:space="0" w:color="auto" w:frame="1"/>
        </w:rPr>
        <w:t>standard</w:t>
      </w:r>
      <w:r w:rsidRPr="00B5684C">
        <w:rPr>
          <w:rFonts w:asciiTheme="minorHAnsi" w:hAnsiTheme="minorHAnsi" w:cstheme="minorHAnsi"/>
          <w:sz w:val="22"/>
          <w:szCs w:val="22"/>
        </w:rPr>
        <w:t> minimo di personale sanitario e socio-sanitario, espresso in termini di minutaggio assistenziale settimanale medio per ospite, è fissato in almeno 1.335 minuti. Esso dev’essere garantito attraverso la presenza delle seguenti figure professionali articolate per tipologia di assistenza:</w:t>
      </w:r>
    </w:p>
    <w:p w:rsidR="002B2313" w:rsidRPr="00B5684C" w:rsidRDefault="002B2313" w:rsidP="00B5684C">
      <w:pPr>
        <w:numPr>
          <w:ilvl w:val="0"/>
          <w:numId w:val="11"/>
        </w:numPr>
        <w:spacing w:after="0" w:line="20" w:lineRule="atLeast"/>
        <w:ind w:left="0"/>
        <w:jc w:val="both"/>
        <w:textAlignment w:val="baseline"/>
        <w:rPr>
          <w:rFonts w:cstheme="minorHAnsi"/>
        </w:rPr>
      </w:pPr>
      <w:proofErr w:type="gramStart"/>
      <w:r w:rsidRPr="00B5684C">
        <w:rPr>
          <w:rFonts w:cstheme="minorHAnsi"/>
        </w:rPr>
        <w:t>assistenza</w:t>
      </w:r>
      <w:proofErr w:type="gramEnd"/>
      <w:r w:rsidRPr="00B5684C">
        <w:rPr>
          <w:rFonts w:cstheme="minorHAnsi"/>
        </w:rPr>
        <w:t xml:space="preserve"> infermieristica e socio-sanitaria: almeno 1.195 minuti, di cui 100 minuti di infermiere e 1.095 minuti di operatore socio-sanitario;</w:t>
      </w:r>
    </w:p>
    <w:p w:rsidR="002B2313" w:rsidRPr="00B5684C" w:rsidRDefault="002B2313" w:rsidP="00B5684C">
      <w:pPr>
        <w:numPr>
          <w:ilvl w:val="0"/>
          <w:numId w:val="11"/>
        </w:numPr>
        <w:spacing w:after="0" w:line="20" w:lineRule="atLeast"/>
        <w:ind w:left="0"/>
        <w:jc w:val="both"/>
        <w:textAlignment w:val="baseline"/>
        <w:rPr>
          <w:rFonts w:cstheme="minorHAnsi"/>
        </w:rPr>
      </w:pPr>
      <w:proofErr w:type="gramStart"/>
      <w:r w:rsidRPr="00B5684C">
        <w:rPr>
          <w:rFonts w:cstheme="minorHAnsi"/>
        </w:rPr>
        <w:t>assistenza</w:t>
      </w:r>
      <w:proofErr w:type="gramEnd"/>
      <w:r w:rsidRPr="00B5684C">
        <w:rPr>
          <w:rFonts w:cstheme="minorHAnsi"/>
        </w:rPr>
        <w:t xml:space="preserve"> riabilitativa: almeno 140 minuti, all’interno dei quali vengono garantite le prestazioni erogate da educatori professionali socio-sanitari e/o tecnici della riabilitazione psichiatrica e/o altri profili professionali dell’area riabilitativa.</w:t>
      </w:r>
    </w:p>
    <w:p w:rsidR="002B2313" w:rsidRPr="00B5684C" w:rsidRDefault="002B2313"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Tale ripartizione può essere adattata alle specifiche esigenze assistenziali degli ospiti nei limiti e modalità specificati al successivo paragrafo B “</w:t>
      </w:r>
      <w:r w:rsidRPr="00B5684C">
        <w:rPr>
          <w:rStyle w:val="Enfasicorsivo"/>
          <w:rFonts w:asciiTheme="minorHAnsi" w:hAnsiTheme="minorHAnsi" w:cstheme="minorHAnsi"/>
          <w:sz w:val="22"/>
          <w:szCs w:val="22"/>
          <w:bdr w:val="none" w:sz="0" w:space="0" w:color="auto" w:frame="1"/>
        </w:rPr>
        <w:t>Criterio generale di flessibilità</w:t>
      </w:r>
      <w:r w:rsidRPr="00B5684C">
        <w:rPr>
          <w:rFonts w:asciiTheme="minorHAnsi" w:hAnsiTheme="minorHAnsi" w:cstheme="minorHAnsi"/>
          <w:sz w:val="22"/>
          <w:szCs w:val="22"/>
        </w:rPr>
        <w:t>”.</w:t>
      </w:r>
    </w:p>
    <w:p w:rsidR="002B2313" w:rsidRPr="00B5684C" w:rsidRDefault="002B2313"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La turnazione degli operatori socio-sanitari deve garantire una modulazione del minutaggio nelle 24 ore conforme al fabbisogno richiesto dalla programmazione giornaliera delle attività. Durante la notte (nella fascia oraria: 22.00 – 06.00) dev’essere garantita la presenza di almeno un operatore per nucleo.</w:t>
      </w:r>
    </w:p>
    <w:p w:rsidR="002B2313" w:rsidRPr="00B5684C" w:rsidRDefault="002B2313"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Lo </w:t>
      </w:r>
      <w:r w:rsidRPr="00B5684C">
        <w:rPr>
          <w:rStyle w:val="Enfasicorsivo"/>
          <w:rFonts w:asciiTheme="minorHAnsi" w:hAnsiTheme="minorHAnsi" w:cstheme="minorHAnsi"/>
          <w:sz w:val="22"/>
          <w:szCs w:val="22"/>
          <w:bdr w:val="none" w:sz="0" w:space="0" w:color="auto" w:frame="1"/>
        </w:rPr>
        <w:t>standard</w:t>
      </w:r>
      <w:r w:rsidRPr="00B5684C">
        <w:rPr>
          <w:rFonts w:asciiTheme="minorHAnsi" w:hAnsiTheme="minorHAnsi" w:cstheme="minorHAnsi"/>
          <w:sz w:val="22"/>
          <w:szCs w:val="22"/>
        </w:rPr>
        <w:t> minimo previsto per l’assistenza infermieristica e per l’assistenza riabilitativa, può essere assicurato in forma centralizzata a livello di struttura, ovvero attraverso forme flessibili delle presenze in relazione agli specifici bisogni assistenziali degli ospiti al fine di ottimizzare l’erogazione delle prestazioni di tali figure professionali.</w:t>
      </w:r>
    </w:p>
    <w:p w:rsidR="002B2313" w:rsidRPr="00B5684C" w:rsidRDefault="002B2313"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Limitatamente alle attività educativo-animatorie erogate dalle strutture in aggiunta alle precedenti attività sanitarie e socio-sanitarie le stesse strutture possono prevedere l’impiego di educatori in possesso dei titoli previsti dalla normativa vigente. Il requisito </w:t>
      </w:r>
      <w:r w:rsidRPr="00B5684C">
        <w:rPr>
          <w:rFonts w:asciiTheme="minorHAnsi" w:hAnsiTheme="minorHAnsi" w:cstheme="minorHAnsi"/>
          <w:sz w:val="22"/>
          <w:szCs w:val="22"/>
          <w:u w:val="single"/>
          <w:bdr w:val="none" w:sz="0" w:space="0" w:color="auto" w:frame="1"/>
        </w:rPr>
        <w:t>(RSA-DIS-au-1.2)</w:t>
      </w:r>
      <w:r w:rsidRPr="00B5684C">
        <w:rPr>
          <w:rFonts w:asciiTheme="minorHAnsi" w:hAnsiTheme="minorHAnsi" w:cstheme="minorHAnsi"/>
          <w:sz w:val="22"/>
          <w:szCs w:val="22"/>
        </w:rPr>
        <w:t> è soppresso.</w:t>
      </w:r>
    </w:p>
    <w:p w:rsidR="002B2313" w:rsidRPr="00B5684C" w:rsidRDefault="002B2313"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Rimangono confermate le restanti parti del requisito (RSA-DIS-au-1.1.1-2) in esame con la precisazione che la locuzione “</w:t>
      </w:r>
      <w:r w:rsidRPr="00B5684C">
        <w:rPr>
          <w:rStyle w:val="Enfasicorsivo"/>
          <w:rFonts w:asciiTheme="minorHAnsi" w:hAnsiTheme="minorHAnsi" w:cstheme="minorHAnsi"/>
          <w:sz w:val="22"/>
          <w:szCs w:val="22"/>
          <w:bdr w:val="none" w:sz="0" w:space="0" w:color="auto" w:frame="1"/>
        </w:rPr>
        <w:t>rapporto numerico</w:t>
      </w:r>
      <w:r w:rsidRPr="00B5684C">
        <w:rPr>
          <w:rFonts w:asciiTheme="minorHAnsi" w:hAnsiTheme="minorHAnsi" w:cstheme="minorHAnsi"/>
          <w:sz w:val="22"/>
          <w:szCs w:val="22"/>
        </w:rPr>
        <w:t>” è da intendersi riferita al parametro “</w:t>
      </w:r>
      <w:r w:rsidRPr="00B5684C">
        <w:rPr>
          <w:rStyle w:val="Enfasicorsivo"/>
          <w:rFonts w:asciiTheme="minorHAnsi" w:hAnsiTheme="minorHAnsi" w:cstheme="minorHAnsi"/>
          <w:sz w:val="22"/>
          <w:szCs w:val="22"/>
          <w:bdr w:val="none" w:sz="0" w:space="0" w:color="auto" w:frame="1"/>
        </w:rPr>
        <w:t>minutaggio assistenziale settimanale minimo per ospite</w:t>
      </w:r>
      <w:r w:rsidRPr="00B5684C">
        <w:rPr>
          <w:rFonts w:asciiTheme="minorHAnsi" w:hAnsiTheme="minorHAnsi" w:cstheme="minorHAnsi"/>
          <w:sz w:val="22"/>
          <w:szCs w:val="22"/>
        </w:rPr>
        <w:t>”. Rimane, inoltre, confermato ogni altro requisito previsto per l’unità di offerta RSA dalla DGR n. 84 del 2007.</w:t>
      </w:r>
    </w:p>
    <w:p w:rsidR="002B2313" w:rsidRPr="00B5684C" w:rsidRDefault="002B2313"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u w:val="single"/>
          <w:bdr w:val="none" w:sz="0" w:space="0" w:color="auto" w:frame="1"/>
        </w:rPr>
        <w:t>B. Criterio generale di flessibilità</w:t>
      </w:r>
    </w:p>
    <w:p w:rsidR="002B2313" w:rsidRPr="00B5684C" w:rsidRDefault="002B2313"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La specificazione del </w:t>
      </w:r>
      <w:r w:rsidRPr="00B5684C">
        <w:rPr>
          <w:rStyle w:val="Enfasicorsivo"/>
          <w:rFonts w:asciiTheme="minorHAnsi" w:hAnsiTheme="minorHAnsi" w:cstheme="minorHAnsi"/>
          <w:sz w:val="22"/>
          <w:szCs w:val="22"/>
          <w:bdr w:val="none" w:sz="0" w:space="0" w:color="auto" w:frame="1"/>
        </w:rPr>
        <w:t>mix</w:t>
      </w:r>
      <w:r w:rsidRPr="00B5684C">
        <w:rPr>
          <w:rFonts w:asciiTheme="minorHAnsi" w:hAnsiTheme="minorHAnsi" w:cstheme="minorHAnsi"/>
          <w:sz w:val="22"/>
          <w:szCs w:val="22"/>
        </w:rPr>
        <w:t> dei profili professionali e dei relativi minutaggi dovrà essere commisurata alle particolari esigenze degli ospiti, come identificate nei progetti di assistenza individuali determinati dall’Unità di Valutazione Multidimensionale Distrettuale (UVMD). A tal fine sono ammesse variazioni e compensazioni tra le figure afferenti alle varie aree professionali così da creare le condizioni operative per adeguare l’entità degli interventi socio-sanitari, sanitari e riabilitativi in funzione del raggiungimento degli obiettivi dei progetti individuali. Dette variazioni, da determinare e disciplinare nell’ambito degli accordi contrattuali, possono oscillare in un intorno del ± 20% rispetto ai singoli minutaggi parziali indicati al paragrafo precedente per tipologia di assistenza, fermo il minutaggio minimo complessivo da garantire in media per ospite specificato al precedente paragrafo A.</w:t>
      </w:r>
    </w:p>
    <w:p w:rsidR="002B2313" w:rsidRPr="00B5684C" w:rsidRDefault="002B2313"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u w:val="single"/>
          <w:bdr w:val="none" w:sz="0" w:space="0" w:color="auto" w:frame="1"/>
        </w:rPr>
        <w:t>C. Formazione e sviluppo delle competenze</w:t>
      </w:r>
    </w:p>
    <w:p w:rsidR="002B2313" w:rsidRPr="00B5684C" w:rsidRDefault="002B2313"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L’ente gestore della RSA deve prevedere lo sviluppo delle competenze delle proprie </w:t>
      </w:r>
      <w:r w:rsidRPr="00B5684C">
        <w:rPr>
          <w:rStyle w:val="Enfasicorsivo"/>
          <w:rFonts w:asciiTheme="minorHAnsi" w:hAnsiTheme="minorHAnsi" w:cstheme="minorHAnsi"/>
          <w:sz w:val="22"/>
          <w:szCs w:val="22"/>
          <w:bdr w:val="none" w:sz="0" w:space="0" w:color="auto" w:frame="1"/>
        </w:rPr>
        <w:t>equipe</w:t>
      </w:r>
      <w:r w:rsidRPr="00B5684C">
        <w:rPr>
          <w:rFonts w:asciiTheme="minorHAnsi" w:hAnsiTheme="minorHAnsi" w:cstheme="minorHAnsi"/>
          <w:sz w:val="22"/>
          <w:szCs w:val="22"/>
        </w:rPr>
        <w:t> di operatori anche attraverso iniziative formative specifiche, specie con riguardo alle tecniche assistenziali rivolte agli ospiti con gravi disturbi comportamentali. La formazione, concepita in un contesto di miglioramento graduale e continuo, favorisce, da un lato, la qualità e l’efficacia dell’assistenza erogata e, dall’altro, l’ottimizzazione delle presenze e contributi professionali nei vari ambiti di attività necessari secondo protocolli condivisi per una coerente presa in carico dell’ospite da parte dell’intera </w:t>
      </w:r>
      <w:r w:rsidRPr="00B5684C">
        <w:rPr>
          <w:rStyle w:val="Enfasicorsivo"/>
          <w:rFonts w:asciiTheme="minorHAnsi" w:hAnsiTheme="minorHAnsi" w:cstheme="minorHAnsi"/>
          <w:sz w:val="22"/>
          <w:szCs w:val="22"/>
          <w:bdr w:val="none" w:sz="0" w:space="0" w:color="auto" w:frame="1"/>
        </w:rPr>
        <w:t>equipe</w:t>
      </w:r>
      <w:r w:rsidRPr="00B5684C">
        <w:rPr>
          <w:rFonts w:asciiTheme="minorHAnsi" w:hAnsiTheme="minorHAnsi" w:cstheme="minorHAnsi"/>
          <w:sz w:val="22"/>
          <w:szCs w:val="22"/>
        </w:rPr>
        <w:t xml:space="preserve">. A tale riguardo si richiama il requisito per </w:t>
      </w:r>
      <w:r w:rsidRPr="00B5684C">
        <w:rPr>
          <w:rFonts w:asciiTheme="minorHAnsi" w:hAnsiTheme="minorHAnsi" w:cstheme="minorHAnsi"/>
          <w:sz w:val="22"/>
          <w:szCs w:val="22"/>
        </w:rPr>
        <w:lastRenderedPageBreak/>
        <w:t>l’accreditamento delle RSA previsto dalla DGR n. 84 del 2007 finalizzato a garantire che i “</w:t>
      </w:r>
      <w:r w:rsidRPr="00B5684C">
        <w:rPr>
          <w:rStyle w:val="Enfasicorsivo"/>
          <w:rFonts w:asciiTheme="minorHAnsi" w:hAnsiTheme="minorHAnsi" w:cstheme="minorHAnsi"/>
          <w:sz w:val="22"/>
          <w:szCs w:val="22"/>
          <w:bdr w:val="none" w:sz="0" w:space="0" w:color="auto" w:frame="1"/>
        </w:rPr>
        <w:t>percorsi formativi, sia individuali che di gruppo, devono fornire agli operatori strumenti (teorici e tecnici) utili per comprendere la complessa realtà della struttura in relazione agli ospiti e per saper organizzare percorsi riabilitativi in funzione dei bisogni specifici</w:t>
      </w:r>
      <w:r w:rsidRPr="00B5684C">
        <w:rPr>
          <w:rFonts w:asciiTheme="minorHAnsi" w:hAnsiTheme="minorHAnsi" w:cstheme="minorHAnsi"/>
          <w:sz w:val="22"/>
          <w:szCs w:val="22"/>
        </w:rPr>
        <w:t>” (DIS-accr-0.1).</w:t>
      </w:r>
    </w:p>
    <w:p w:rsidR="002B2313" w:rsidRPr="00B5684C" w:rsidRDefault="002B2313"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u w:val="single"/>
          <w:bdr w:val="none" w:sz="0" w:space="0" w:color="auto" w:frame="1"/>
        </w:rPr>
        <w:t>D. Dimensione relazionale e inclusione nella società</w:t>
      </w:r>
    </w:p>
    <w:p w:rsidR="002B2313" w:rsidRPr="00B5684C" w:rsidRDefault="002B2313"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L’Ente gestore della RSA promuove la qualità di vita degli ospiti anche con riferimento agli aspetti relazionali e di inclusione nella società, mediante lo sviluppo di reti di collaborazione con il territorio, a tale riguardo si richiamano i requisiti per l’accreditamento delle RSA previsti dalla DGR n. 84 del 2007 finalizzati a garantire “</w:t>
      </w:r>
      <w:r w:rsidRPr="00B5684C">
        <w:rPr>
          <w:rStyle w:val="Enfasicorsivo"/>
          <w:rFonts w:asciiTheme="minorHAnsi" w:hAnsiTheme="minorHAnsi" w:cstheme="minorHAnsi"/>
          <w:sz w:val="22"/>
          <w:szCs w:val="22"/>
          <w:bdr w:val="none" w:sz="0" w:space="0" w:color="auto" w:frame="1"/>
        </w:rPr>
        <w:t>l’integrazione della struttura con la città o il paese</w:t>
      </w:r>
      <w:r w:rsidRPr="00B5684C">
        <w:rPr>
          <w:rFonts w:asciiTheme="minorHAnsi" w:hAnsiTheme="minorHAnsi" w:cstheme="minorHAnsi"/>
          <w:sz w:val="22"/>
          <w:szCs w:val="22"/>
        </w:rPr>
        <w:t>” (RSA-DIS-accr-2.2), la sperimentazione di “</w:t>
      </w:r>
      <w:r w:rsidRPr="00B5684C">
        <w:rPr>
          <w:rStyle w:val="Enfasicorsivo"/>
          <w:rFonts w:asciiTheme="minorHAnsi" w:hAnsiTheme="minorHAnsi" w:cstheme="minorHAnsi"/>
          <w:sz w:val="22"/>
          <w:szCs w:val="22"/>
          <w:bdr w:val="none" w:sz="0" w:space="0" w:color="auto" w:frame="1"/>
        </w:rPr>
        <w:t>servizi innovativi di collaborazione con le famiglie e la comunità locale, anche al fine di promuovere percorsi di integrazione con il territorio</w:t>
      </w:r>
      <w:r w:rsidRPr="00B5684C">
        <w:rPr>
          <w:rFonts w:asciiTheme="minorHAnsi" w:hAnsiTheme="minorHAnsi" w:cstheme="minorHAnsi"/>
          <w:sz w:val="22"/>
          <w:szCs w:val="22"/>
        </w:rPr>
        <w:t>” (RSA-DIS-accr-4.1.1-2), “</w:t>
      </w:r>
      <w:r w:rsidRPr="00B5684C">
        <w:rPr>
          <w:rStyle w:val="Enfasicorsivo"/>
          <w:rFonts w:asciiTheme="minorHAnsi" w:hAnsiTheme="minorHAnsi" w:cstheme="minorHAnsi"/>
          <w:sz w:val="22"/>
          <w:szCs w:val="22"/>
          <w:bdr w:val="none" w:sz="0" w:space="0" w:color="auto" w:frame="1"/>
        </w:rPr>
        <w:t>la realizzazione di reti che facilitino l’integrazione sociale della persona con disabilità attraverso le risorse del territorio</w:t>
      </w:r>
      <w:r w:rsidRPr="00B5684C">
        <w:rPr>
          <w:rFonts w:asciiTheme="minorHAnsi" w:hAnsiTheme="minorHAnsi" w:cstheme="minorHAnsi"/>
          <w:sz w:val="22"/>
          <w:szCs w:val="22"/>
        </w:rPr>
        <w:t>” tra cui le associazioni di volontariato (RSA-DIS-accr-4.6).</w:t>
      </w:r>
    </w:p>
    <w:p w:rsidR="002B2313" w:rsidRPr="00B5684C" w:rsidRDefault="002B2313"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u w:val="single"/>
          <w:bdr w:val="none" w:sz="0" w:space="0" w:color="auto" w:frame="1"/>
        </w:rPr>
        <w:t>E. Disciplina ingressi</w:t>
      </w:r>
    </w:p>
    <w:p w:rsidR="002B2313" w:rsidRPr="00B5684C" w:rsidRDefault="002B2313"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L’Ente gestore della RSA è tenuto a farsi carico degli inserimenti disposti dall’Azienda ULSS territorialmente competente nell’ambito degli accordi contrattuali.</w:t>
      </w:r>
    </w:p>
    <w:p w:rsidR="002B2313" w:rsidRPr="00B5684C" w:rsidRDefault="002B2313"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Analogamente il medesimo Ente gestore della RSA, accreditato e con accordo contrattuale in essere, è tenuto a farsi carico degli inserimenti di utenti provenienti da altre aziende ULSS della regione Veneto. L’Azienda ULSS inviante provvede alla tempestiva comunicazione dell’inserimento all’Azienda ULSS di riferimento territoriale dell’Ente gestore.</w:t>
      </w:r>
    </w:p>
    <w:p w:rsidR="002B2313" w:rsidRPr="00B5684C" w:rsidRDefault="002B2313"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u w:val="single"/>
          <w:bdr w:val="none" w:sz="0" w:space="0" w:color="auto" w:frame="1"/>
        </w:rPr>
        <w:t>F. Classificazione delle prestazioni residenziali erogate dalle RSA e dai CRGD rispetto alle disposizioni in materia di LEA, livelli tariffari e quote di rilievo sanitario</w:t>
      </w:r>
    </w:p>
    <w:p w:rsidR="002B2313" w:rsidRPr="00B5684C" w:rsidRDefault="002B2313"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Il livello assistenziale tipico della RSA, come risulta dalla DGR n. 751 del 2000 e successivi provvedimenti della programmazione regionale in materia, è riconducibile ai “</w:t>
      </w:r>
      <w:r w:rsidRPr="00B5684C">
        <w:rPr>
          <w:rStyle w:val="Enfasicorsivo"/>
          <w:rFonts w:asciiTheme="minorHAnsi" w:hAnsiTheme="minorHAnsi" w:cstheme="minorHAnsi"/>
          <w:sz w:val="22"/>
          <w:szCs w:val="22"/>
          <w:bdr w:val="none" w:sz="0" w:space="0" w:color="auto" w:frame="1"/>
        </w:rPr>
        <w:t>trattamenti socio-riabilitativi di recupero e mantenimento delle abilità funzionali residue, erogati congiuntamente a prestazioni assistenziali e tutelari di diversa intensità a persone non autosufficienti con disabilità fisiche, psichiche e sensoriali stabilizzate … che richiedono moderato impegno assistenziale e tutelare</w:t>
      </w:r>
      <w:r w:rsidRPr="00B5684C">
        <w:rPr>
          <w:rFonts w:asciiTheme="minorHAnsi" w:hAnsiTheme="minorHAnsi" w:cstheme="minorHAnsi"/>
          <w:sz w:val="22"/>
          <w:szCs w:val="22"/>
        </w:rPr>
        <w:t>” di cui all’articolo 34, comma 1, lettera c), numero 2) del DPCM 12/1/2017.</w:t>
      </w:r>
    </w:p>
    <w:p w:rsidR="002B2313" w:rsidRPr="00B5684C" w:rsidRDefault="002B2313"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All’interno della RSA sono possibili “</w:t>
      </w:r>
      <w:r w:rsidRPr="00B5684C">
        <w:rPr>
          <w:rStyle w:val="Enfasicorsivo"/>
          <w:rFonts w:asciiTheme="minorHAnsi" w:hAnsiTheme="minorHAnsi" w:cstheme="minorHAnsi"/>
          <w:sz w:val="22"/>
          <w:szCs w:val="22"/>
          <w:bdr w:val="none" w:sz="0" w:space="0" w:color="auto" w:frame="1"/>
        </w:rPr>
        <w:t>posti di alta intensità assistenziale</w:t>
      </w:r>
      <w:r w:rsidRPr="00B5684C">
        <w:rPr>
          <w:rFonts w:asciiTheme="minorHAnsi" w:hAnsiTheme="minorHAnsi" w:cstheme="minorHAnsi"/>
          <w:sz w:val="22"/>
          <w:szCs w:val="22"/>
        </w:rPr>
        <w:t>”, da determinare e disciplinare nell’ambito degli accordi contrattuali nel limite massimo pari al 5% dei posti accreditati, dedicati a persone con “</w:t>
      </w:r>
      <w:r w:rsidRPr="00B5684C">
        <w:rPr>
          <w:rStyle w:val="Enfasicorsivo"/>
          <w:rFonts w:asciiTheme="minorHAnsi" w:hAnsiTheme="minorHAnsi" w:cstheme="minorHAnsi"/>
          <w:sz w:val="22"/>
          <w:szCs w:val="22"/>
          <w:bdr w:val="none" w:sz="0" w:space="0" w:color="auto" w:frame="1"/>
        </w:rPr>
        <w:t>gravi disabilità e disturbi del comportamento</w:t>
      </w:r>
      <w:r w:rsidRPr="00B5684C">
        <w:rPr>
          <w:rFonts w:asciiTheme="minorHAnsi" w:hAnsiTheme="minorHAnsi" w:cstheme="minorHAnsi"/>
          <w:sz w:val="22"/>
          <w:szCs w:val="22"/>
        </w:rPr>
        <w:t>” per le quali deve essere garantita una “</w:t>
      </w:r>
      <w:r w:rsidRPr="00B5684C">
        <w:rPr>
          <w:rStyle w:val="Enfasicorsivo"/>
          <w:rFonts w:asciiTheme="minorHAnsi" w:hAnsiTheme="minorHAnsi" w:cstheme="minorHAnsi"/>
          <w:sz w:val="22"/>
          <w:szCs w:val="22"/>
          <w:bdr w:val="none" w:sz="0" w:space="0" w:color="auto" w:frame="1"/>
        </w:rPr>
        <w:t>assistenza aggiuntiva da parte di personale sanitario e/o con apparecchiature di supporto alle funzioni vitali … oppure da parte di personale dedicato all’assistenza tutelare per le persone con gravissimi disturbi del comportamento</w:t>
      </w:r>
      <w:r w:rsidRPr="00B5684C">
        <w:rPr>
          <w:rFonts w:asciiTheme="minorHAnsi" w:hAnsiTheme="minorHAnsi" w:cstheme="minorHAnsi"/>
          <w:sz w:val="22"/>
          <w:szCs w:val="22"/>
        </w:rPr>
        <w:t>” (DGR n. 244 del 2015); tale livello assistenziale è riconducibile ai trattamenti di “</w:t>
      </w:r>
      <w:r w:rsidRPr="00B5684C">
        <w:rPr>
          <w:rStyle w:val="Enfasicorsivo"/>
          <w:rFonts w:asciiTheme="minorHAnsi" w:hAnsiTheme="minorHAnsi" w:cstheme="minorHAnsi"/>
          <w:sz w:val="22"/>
          <w:szCs w:val="22"/>
          <w:bdr w:val="none" w:sz="0" w:space="0" w:color="auto" w:frame="1"/>
        </w:rPr>
        <w:t>elevato impegno assistenziale e tutelare</w:t>
      </w:r>
      <w:r w:rsidRPr="00B5684C">
        <w:rPr>
          <w:rFonts w:asciiTheme="minorHAnsi" w:hAnsiTheme="minorHAnsi" w:cstheme="minorHAnsi"/>
          <w:sz w:val="22"/>
          <w:szCs w:val="22"/>
        </w:rPr>
        <w:t>” di cui all’articolo 34, comma 1, lettera c), numero 1) del DPCM 12/1/2017.</w:t>
      </w:r>
    </w:p>
    <w:p w:rsidR="002B2313" w:rsidRPr="00B5684C" w:rsidRDefault="002B2313"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Con riferimento ai trattamenti tipici delle RSA a “</w:t>
      </w:r>
      <w:r w:rsidRPr="00B5684C">
        <w:rPr>
          <w:rStyle w:val="Enfasicorsivo"/>
          <w:rFonts w:asciiTheme="minorHAnsi" w:hAnsiTheme="minorHAnsi" w:cstheme="minorHAnsi"/>
          <w:sz w:val="22"/>
          <w:szCs w:val="22"/>
          <w:bdr w:val="none" w:sz="0" w:space="0" w:color="auto" w:frame="1"/>
        </w:rPr>
        <w:t>moderato impegno assistenziale e tutelare</w:t>
      </w:r>
      <w:r w:rsidRPr="00B5684C">
        <w:rPr>
          <w:rFonts w:asciiTheme="minorHAnsi" w:hAnsiTheme="minorHAnsi" w:cstheme="minorHAnsi"/>
          <w:sz w:val="22"/>
          <w:szCs w:val="22"/>
        </w:rPr>
        <w:t>” si propone di uniformare i contributi di rilievo sanitario di primo e di secondo livello (DGR n. 4589 del 2007) al valore unico di € 72,00, comprensivo della quota (ex 10%) riconosciuta a titolo di “</w:t>
      </w:r>
      <w:r w:rsidRPr="00B5684C">
        <w:rPr>
          <w:rStyle w:val="Enfasicorsivo"/>
          <w:rFonts w:asciiTheme="minorHAnsi" w:hAnsiTheme="minorHAnsi" w:cstheme="minorHAnsi"/>
          <w:sz w:val="22"/>
          <w:szCs w:val="22"/>
          <w:bdr w:val="none" w:sz="0" w:space="0" w:color="auto" w:frame="1"/>
        </w:rPr>
        <w:t>livello ulteriore regionale</w:t>
      </w:r>
      <w:r w:rsidRPr="00B5684C">
        <w:rPr>
          <w:rFonts w:asciiTheme="minorHAnsi" w:hAnsiTheme="minorHAnsi" w:cstheme="minorHAnsi"/>
          <w:sz w:val="22"/>
          <w:szCs w:val="22"/>
        </w:rPr>
        <w:t>”. Tale determinazione mantiene invariata l’attuale ripartizione, in quote percentuali equivalenti, degli oneri da imputare a carico, rispettivamente, delle risorse sanitarie e di quelle sociali (DGR n. 3972 del 2002), pertanto, come detto, “</w:t>
      </w:r>
      <w:r w:rsidRPr="00B5684C">
        <w:rPr>
          <w:rStyle w:val="Enfasicorsivo"/>
          <w:rFonts w:asciiTheme="minorHAnsi" w:hAnsiTheme="minorHAnsi" w:cstheme="minorHAnsi"/>
          <w:sz w:val="22"/>
          <w:szCs w:val="22"/>
          <w:bdr w:val="none" w:sz="0" w:space="0" w:color="auto" w:frame="1"/>
        </w:rPr>
        <w:t>l’onere del 10% di spesa sanitaria aggiuntivo rispetto al 40% previsto dal DPCM</w:t>
      </w:r>
      <w:r w:rsidRPr="00B5684C">
        <w:rPr>
          <w:rFonts w:asciiTheme="minorHAnsi" w:hAnsiTheme="minorHAnsi" w:cstheme="minorHAnsi"/>
          <w:sz w:val="22"/>
          <w:szCs w:val="22"/>
        </w:rPr>
        <w:t>”, in particolare dall’articolo 34, comma 2 del DPCM 12/1/2017, “</w:t>
      </w:r>
      <w:r w:rsidRPr="00B5684C">
        <w:rPr>
          <w:rStyle w:val="Enfasicorsivo"/>
          <w:rFonts w:asciiTheme="minorHAnsi" w:hAnsiTheme="minorHAnsi" w:cstheme="minorHAnsi"/>
          <w:sz w:val="22"/>
          <w:szCs w:val="22"/>
          <w:bdr w:val="none" w:sz="0" w:space="0" w:color="auto" w:frame="1"/>
        </w:rPr>
        <w:t>corrisponde ad un livello ulteriore regionale</w:t>
      </w:r>
      <w:r w:rsidRPr="00B5684C">
        <w:rPr>
          <w:rFonts w:asciiTheme="minorHAnsi" w:hAnsiTheme="minorHAnsi" w:cstheme="minorHAnsi"/>
          <w:sz w:val="22"/>
          <w:szCs w:val="22"/>
        </w:rPr>
        <w:t>”.</w:t>
      </w:r>
    </w:p>
    <w:p w:rsidR="002B2313" w:rsidRPr="00B5684C" w:rsidRDefault="002B2313"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Relativamente ai trattamenti a “</w:t>
      </w:r>
      <w:r w:rsidRPr="00B5684C">
        <w:rPr>
          <w:rStyle w:val="Enfasicorsivo"/>
          <w:rFonts w:asciiTheme="minorHAnsi" w:hAnsiTheme="minorHAnsi" w:cstheme="minorHAnsi"/>
          <w:sz w:val="22"/>
          <w:szCs w:val="22"/>
          <w:bdr w:val="none" w:sz="0" w:space="0" w:color="auto" w:frame="1"/>
        </w:rPr>
        <w:t>elevato impegno assistenziale e tutelare</w:t>
      </w:r>
      <w:r w:rsidRPr="00B5684C">
        <w:rPr>
          <w:rFonts w:asciiTheme="minorHAnsi" w:hAnsiTheme="minorHAnsi" w:cstheme="minorHAnsi"/>
          <w:sz w:val="22"/>
          <w:szCs w:val="22"/>
        </w:rPr>
        <w:t>” erogati nell’ambito dei nuclei con “</w:t>
      </w:r>
      <w:r w:rsidRPr="00B5684C">
        <w:rPr>
          <w:rStyle w:val="Enfasicorsivo"/>
          <w:rFonts w:asciiTheme="minorHAnsi" w:hAnsiTheme="minorHAnsi" w:cstheme="minorHAnsi"/>
          <w:sz w:val="22"/>
          <w:szCs w:val="22"/>
          <w:bdr w:val="none" w:sz="0" w:space="0" w:color="auto" w:frame="1"/>
        </w:rPr>
        <w:t>posti di alta intensità assistenziale</w:t>
      </w:r>
      <w:r w:rsidRPr="00B5684C">
        <w:rPr>
          <w:rFonts w:asciiTheme="minorHAnsi" w:hAnsiTheme="minorHAnsi" w:cstheme="minorHAnsi"/>
          <w:sz w:val="22"/>
          <w:szCs w:val="22"/>
        </w:rPr>
        <w:t>” nelle RSA si confermano il valore del contributo di rilievo sanitario pari a € 95,00 e le quote percentuali a carico, rispettivamente, delle risorse sanitarie: 70%, e di quelle sociali: 30%, ciò anche con riferimento ai trattamenti erogati nell’ambito dei Centri CRGD (DGR n. 2621 del 2012 e DGR n. 244 del 2015), in conformità a quanto previsto dalle disposizioni LEA vigenti (articolo 34, comma 2 del DPCM 12/1/2017).</w:t>
      </w:r>
    </w:p>
    <w:p w:rsidR="002B2313" w:rsidRPr="00B5684C" w:rsidRDefault="002B2313"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u w:val="single"/>
          <w:bdr w:val="none" w:sz="0" w:space="0" w:color="auto" w:frame="1"/>
        </w:rPr>
        <w:t>G. Comunità Residenziale (CR)</w:t>
      </w:r>
    </w:p>
    <w:p w:rsidR="002B2313" w:rsidRPr="00B5684C" w:rsidRDefault="002B2313"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A far data dall’1/1/2020 le unità di offerta Comunità Residenziale (CR) sono soppresse e contestualmente riqualificate in RSA. Gli enti gestori titolari della funzione provvedono ad adeguarsi ai nuovi </w:t>
      </w:r>
      <w:r w:rsidRPr="00B5684C">
        <w:rPr>
          <w:rStyle w:val="Enfasicorsivo"/>
          <w:rFonts w:asciiTheme="minorHAnsi" w:hAnsiTheme="minorHAnsi" w:cstheme="minorHAnsi"/>
          <w:sz w:val="22"/>
          <w:szCs w:val="22"/>
          <w:bdr w:val="none" w:sz="0" w:space="0" w:color="auto" w:frame="1"/>
        </w:rPr>
        <w:t>standard</w:t>
      </w:r>
      <w:r w:rsidRPr="00B5684C">
        <w:rPr>
          <w:rFonts w:asciiTheme="minorHAnsi" w:hAnsiTheme="minorHAnsi" w:cstheme="minorHAnsi"/>
          <w:sz w:val="22"/>
          <w:szCs w:val="22"/>
        </w:rPr>
        <w:t> entro il 31/12/2022 e, con l’Azienda ULSS di riferimento, ad aggiornare i relativi accordi contrattuali in essere. In alternativa gli enti gestori, tenuto conto anche del particolare </w:t>
      </w:r>
      <w:r w:rsidRPr="00B5684C">
        <w:rPr>
          <w:rStyle w:val="Enfasicorsivo"/>
          <w:rFonts w:asciiTheme="minorHAnsi" w:hAnsiTheme="minorHAnsi" w:cstheme="minorHAnsi"/>
          <w:sz w:val="22"/>
          <w:szCs w:val="22"/>
          <w:bdr w:val="none" w:sz="0" w:space="0" w:color="auto" w:frame="1"/>
        </w:rPr>
        <w:t>case-mix</w:t>
      </w:r>
      <w:r w:rsidRPr="00B5684C">
        <w:rPr>
          <w:rFonts w:asciiTheme="minorHAnsi" w:hAnsiTheme="minorHAnsi" w:cstheme="minorHAnsi"/>
          <w:sz w:val="22"/>
          <w:szCs w:val="22"/>
        </w:rPr>
        <w:t xml:space="preserve"> di ospiti presenti nella struttura </w:t>
      </w:r>
      <w:r w:rsidRPr="00B5684C">
        <w:rPr>
          <w:rFonts w:asciiTheme="minorHAnsi" w:hAnsiTheme="minorHAnsi" w:cstheme="minorHAnsi"/>
          <w:sz w:val="22"/>
          <w:szCs w:val="22"/>
        </w:rPr>
        <w:lastRenderedPageBreak/>
        <w:t>possono optare per la trasformazione in Comunità Alloggio (CA), nel rispetto del medesimo termine e degli aggiornamenti ai relativi accordi contrattuali in essere.</w:t>
      </w:r>
    </w:p>
    <w:p w:rsidR="00591C08" w:rsidRPr="00B5684C" w:rsidRDefault="00591C08" w:rsidP="00B5684C">
      <w:pPr>
        <w:spacing w:after="0" w:line="20" w:lineRule="atLeast"/>
        <w:jc w:val="both"/>
        <w:textAlignment w:val="baseline"/>
        <w:rPr>
          <w:rFonts w:cstheme="minorHAnsi"/>
          <w:b/>
        </w:rPr>
      </w:pPr>
      <w:r w:rsidRPr="00B5684C">
        <w:rPr>
          <w:rFonts w:cstheme="minorHAnsi"/>
          <w:b/>
        </w:rPr>
        <w:t>LA DISPOSIZIONE</w:t>
      </w:r>
    </w:p>
    <w:p w:rsidR="00B737B2" w:rsidRPr="00B5684C" w:rsidRDefault="00591C08" w:rsidP="00B5684C">
      <w:pPr>
        <w:spacing w:after="0" w:line="20" w:lineRule="atLeast"/>
        <w:jc w:val="both"/>
        <w:textAlignment w:val="baseline"/>
        <w:rPr>
          <w:rFonts w:cstheme="minorHAnsi"/>
        </w:rPr>
      </w:pPr>
      <w:proofErr w:type="gramStart"/>
      <w:r w:rsidRPr="00B5684C">
        <w:rPr>
          <w:rFonts w:cstheme="minorHAnsi"/>
        </w:rPr>
        <w:t xml:space="preserve">Vengono </w:t>
      </w:r>
      <w:r w:rsidR="00B737B2" w:rsidRPr="00B5684C">
        <w:rPr>
          <w:rFonts w:cstheme="minorHAnsi"/>
        </w:rPr>
        <w:t xml:space="preserve"> approva</w:t>
      </w:r>
      <w:r w:rsidRPr="00B5684C">
        <w:rPr>
          <w:rFonts w:cstheme="minorHAnsi"/>
        </w:rPr>
        <w:t>ti</w:t>
      </w:r>
      <w:proofErr w:type="gramEnd"/>
      <w:r w:rsidRPr="00B5684C">
        <w:rPr>
          <w:rFonts w:cstheme="minorHAnsi"/>
        </w:rPr>
        <w:t xml:space="preserve"> </w:t>
      </w:r>
      <w:r w:rsidR="00B737B2" w:rsidRPr="00B5684C">
        <w:rPr>
          <w:rFonts w:cstheme="minorHAnsi"/>
        </w:rPr>
        <w:t xml:space="preserve"> gli aggiornamenti ai requisiti previsti per le unità di offerta RSA dalla DGR n. 84 del 16/1/2007 comprensiva dello schema tariffario e della ripartizione degli oneri tra sanità e sociale, confermando che “</w:t>
      </w:r>
      <w:r w:rsidR="00B737B2" w:rsidRPr="00B5684C">
        <w:rPr>
          <w:rStyle w:val="Enfasicorsivo"/>
          <w:rFonts w:cstheme="minorHAnsi"/>
          <w:bdr w:val="none" w:sz="0" w:space="0" w:color="auto" w:frame="1"/>
        </w:rPr>
        <w:t>l’onere del 10% di spesa sanitaria aggiuntivo rispetto al 40% previsto dal DPCM corrisponde ad un livello ulteriore regionale</w:t>
      </w:r>
      <w:r w:rsidR="00B737B2" w:rsidRPr="00B5684C">
        <w:rPr>
          <w:rFonts w:cstheme="minorHAnsi"/>
        </w:rPr>
        <w:t>”;</w:t>
      </w:r>
    </w:p>
    <w:p w:rsidR="00B737B2" w:rsidRPr="00B5684C" w:rsidRDefault="00591C08" w:rsidP="00B5684C">
      <w:pPr>
        <w:spacing w:after="0" w:line="20" w:lineRule="atLeast"/>
        <w:jc w:val="both"/>
        <w:textAlignment w:val="baseline"/>
        <w:rPr>
          <w:rFonts w:cstheme="minorHAnsi"/>
        </w:rPr>
      </w:pPr>
      <w:proofErr w:type="gramStart"/>
      <w:r w:rsidRPr="00B5684C">
        <w:rPr>
          <w:rFonts w:cstheme="minorHAnsi"/>
        </w:rPr>
        <w:t xml:space="preserve">Viene </w:t>
      </w:r>
      <w:r w:rsidR="00B737B2" w:rsidRPr="00B5684C">
        <w:rPr>
          <w:rFonts w:cstheme="minorHAnsi"/>
        </w:rPr>
        <w:t xml:space="preserve"> stabili</w:t>
      </w:r>
      <w:r w:rsidRPr="00B5684C">
        <w:rPr>
          <w:rFonts w:cstheme="minorHAnsi"/>
        </w:rPr>
        <w:t>to</w:t>
      </w:r>
      <w:proofErr w:type="gramEnd"/>
      <w:r w:rsidRPr="00B5684C">
        <w:rPr>
          <w:rFonts w:cstheme="minorHAnsi"/>
        </w:rPr>
        <w:t xml:space="preserve"> </w:t>
      </w:r>
      <w:r w:rsidR="00B737B2" w:rsidRPr="00B5684C">
        <w:rPr>
          <w:rFonts w:cstheme="minorHAnsi"/>
        </w:rPr>
        <w:t xml:space="preserve"> all’1/1/2020 la decorrenza dei nuovi requisiti di autorizzazione e di accreditamento per le RSA e la decorrenza delle quote sanitarie per le prestazioni residenziali erogate in ambito RSA richiamate al punto precedente e secondo la specificazione riportata in premessa;</w:t>
      </w:r>
    </w:p>
    <w:p w:rsidR="00761309" w:rsidRPr="00B5684C" w:rsidRDefault="00761309" w:rsidP="00B5684C">
      <w:pPr>
        <w:spacing w:after="0" w:line="20" w:lineRule="atLeast"/>
        <w:jc w:val="both"/>
        <w:textAlignment w:val="baseline"/>
        <w:rPr>
          <w:rFonts w:cstheme="minorHAnsi"/>
        </w:rPr>
      </w:pPr>
    </w:p>
    <w:p w:rsidR="00761309" w:rsidRPr="00B5684C" w:rsidRDefault="00761309" w:rsidP="00F6374A">
      <w:pPr>
        <w:pStyle w:val="cust-dettaglio-tipo-atto"/>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FFFFF"/>
        <w:spacing w:before="0" w:beforeAutospacing="0" w:after="0" w:afterAutospacing="0" w:line="20" w:lineRule="atLeast"/>
        <w:jc w:val="center"/>
        <w:textAlignment w:val="baseline"/>
        <w:rPr>
          <w:rFonts w:asciiTheme="minorHAnsi" w:hAnsiTheme="minorHAnsi" w:cstheme="minorHAnsi"/>
          <w:b/>
          <w:caps/>
          <w:sz w:val="22"/>
          <w:szCs w:val="22"/>
        </w:rPr>
      </w:pPr>
      <w:r w:rsidRPr="00B5684C">
        <w:rPr>
          <w:rFonts w:asciiTheme="minorHAnsi" w:hAnsiTheme="minorHAnsi" w:cstheme="minorHAnsi"/>
          <w:b/>
          <w:caps/>
          <w:sz w:val="22"/>
          <w:szCs w:val="22"/>
        </w:rPr>
        <w:t>PERSONE CON</w:t>
      </w:r>
      <w:r w:rsidR="00F6374A">
        <w:rPr>
          <w:rFonts w:asciiTheme="minorHAnsi" w:hAnsiTheme="minorHAnsi" w:cstheme="minorHAnsi"/>
          <w:b/>
          <w:caps/>
          <w:sz w:val="22"/>
          <w:szCs w:val="22"/>
        </w:rPr>
        <w:t xml:space="preserve"> </w:t>
      </w:r>
      <w:r w:rsidRPr="00B5684C">
        <w:rPr>
          <w:rFonts w:asciiTheme="minorHAnsi" w:hAnsiTheme="minorHAnsi" w:cstheme="minorHAnsi"/>
          <w:b/>
          <w:caps/>
          <w:sz w:val="22"/>
          <w:szCs w:val="22"/>
        </w:rPr>
        <w:t>DISABILITà</w:t>
      </w:r>
    </w:p>
    <w:p w:rsidR="00761309" w:rsidRPr="00B5684C" w:rsidRDefault="00761309" w:rsidP="00B5684C">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
          <w:caps/>
          <w:sz w:val="22"/>
          <w:szCs w:val="22"/>
        </w:rPr>
      </w:pPr>
    </w:p>
    <w:p w:rsidR="002E3F2E" w:rsidRPr="00DC3055" w:rsidRDefault="00761309" w:rsidP="002E3F2E">
      <w:pPr>
        <w:pStyle w:val="cust-dettaglio-tipo-atto"/>
        <w:shd w:val="clear" w:color="auto" w:fill="FFFFFF"/>
        <w:spacing w:before="0" w:beforeAutospacing="0" w:after="0" w:afterAutospacing="0" w:line="293" w:lineRule="atLeast"/>
        <w:jc w:val="both"/>
        <w:textAlignment w:val="baseline"/>
        <w:rPr>
          <w:rFonts w:asciiTheme="minorHAnsi" w:hAnsiTheme="minorHAnsi" w:cstheme="minorHAnsi"/>
          <w:bCs/>
          <w:sz w:val="22"/>
          <w:szCs w:val="22"/>
        </w:rPr>
      </w:pPr>
      <w:r w:rsidRPr="00B5684C">
        <w:rPr>
          <w:rFonts w:asciiTheme="minorHAnsi" w:hAnsiTheme="minorHAnsi" w:cstheme="minorHAnsi"/>
          <w:b/>
          <w:caps/>
          <w:sz w:val="22"/>
          <w:szCs w:val="22"/>
        </w:rPr>
        <w:t xml:space="preserve">DGR </w:t>
      </w:r>
      <w:r w:rsidRPr="00B5684C">
        <w:rPr>
          <w:rStyle w:val="cust-dettaglio-tipo-atto-num-data"/>
          <w:rFonts w:asciiTheme="minorHAnsi" w:hAnsiTheme="minorHAnsi" w:cstheme="minorHAnsi"/>
          <w:b/>
          <w:caps/>
          <w:sz w:val="22"/>
          <w:szCs w:val="22"/>
          <w:bdr w:val="none" w:sz="0" w:space="0" w:color="auto" w:frame="1"/>
        </w:rPr>
        <w:t xml:space="preserve">  </w:t>
      </w:r>
      <w:r w:rsidRPr="00B5684C">
        <w:rPr>
          <w:rStyle w:val="cust-dettaglio-tipo-atto-num-data"/>
          <w:rFonts w:asciiTheme="minorHAnsi" w:hAnsiTheme="minorHAnsi" w:cstheme="minorHAnsi"/>
          <w:b/>
          <w:sz w:val="22"/>
          <w:szCs w:val="22"/>
          <w:bdr w:val="none" w:sz="0" w:space="0" w:color="auto" w:frame="1"/>
        </w:rPr>
        <w:t>12 luglio 2019, n. 1034</w:t>
      </w:r>
      <w:r w:rsidRPr="00B5684C">
        <w:rPr>
          <w:rStyle w:val="cust-dettaglio-tipo-atto-num-data"/>
          <w:rFonts w:asciiTheme="minorHAnsi" w:hAnsiTheme="minorHAnsi" w:cstheme="minorHAnsi"/>
          <w:sz w:val="22"/>
          <w:szCs w:val="22"/>
          <w:bdr w:val="none" w:sz="0" w:space="0" w:color="auto" w:frame="1"/>
        </w:rPr>
        <w:t xml:space="preserve">, </w:t>
      </w:r>
      <w:r w:rsidRPr="00B5684C">
        <w:rPr>
          <w:rFonts w:asciiTheme="minorHAnsi" w:hAnsiTheme="minorHAnsi" w:cstheme="minorHAnsi"/>
          <w:bCs/>
          <w:sz w:val="22"/>
          <w:szCs w:val="22"/>
        </w:rPr>
        <w:t>DGR n. 104 del 05.02.2019 "Collaborazione tra ALISA - Sistema sanitario Regione Liguria e le Regioni Veneto, Marche, Umbria e Campania" alla realizzazione del progetto "I disturbi dello spettro autistico: strumenti e percorsi in età evolutiva finalizzati alla continuità delle cure".</w:t>
      </w:r>
      <w:r w:rsidRPr="00B5684C">
        <w:rPr>
          <w:rFonts w:asciiTheme="minorHAnsi" w:hAnsiTheme="minorHAnsi" w:cstheme="minorHAnsi"/>
          <w:b/>
          <w:bCs/>
          <w:sz w:val="22"/>
          <w:szCs w:val="22"/>
        </w:rPr>
        <w:t xml:space="preserve"> </w:t>
      </w:r>
      <w:r w:rsidR="002E3F2E" w:rsidRPr="00DC3055">
        <w:rPr>
          <w:rFonts w:asciiTheme="minorHAnsi" w:hAnsiTheme="minorHAnsi" w:cstheme="minorHAnsi"/>
          <w:bCs/>
          <w:sz w:val="22"/>
          <w:szCs w:val="22"/>
        </w:rPr>
        <w:t xml:space="preserve">(BUR n. </w:t>
      </w:r>
      <w:proofErr w:type="gramStart"/>
      <w:r w:rsidR="002E3F2E" w:rsidRPr="00DC3055">
        <w:rPr>
          <w:rFonts w:asciiTheme="minorHAnsi" w:hAnsiTheme="minorHAnsi" w:cstheme="minorHAnsi"/>
          <w:bCs/>
          <w:sz w:val="22"/>
          <w:szCs w:val="22"/>
        </w:rPr>
        <w:t>96  del</w:t>
      </w:r>
      <w:proofErr w:type="gramEnd"/>
      <w:r w:rsidR="002E3F2E" w:rsidRPr="00DC3055">
        <w:rPr>
          <w:rFonts w:asciiTheme="minorHAnsi" w:hAnsiTheme="minorHAnsi" w:cstheme="minorHAnsi"/>
          <w:bCs/>
          <w:sz w:val="22"/>
          <w:szCs w:val="22"/>
        </w:rPr>
        <w:t xml:space="preserve"> 27.8.19)</w:t>
      </w:r>
    </w:p>
    <w:p w:rsidR="00761309" w:rsidRPr="00B5684C" w:rsidRDefault="00F6374A" w:rsidP="00B5684C">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
          <w:bCs/>
          <w:sz w:val="22"/>
          <w:szCs w:val="22"/>
        </w:rPr>
      </w:pPr>
      <w:r>
        <w:rPr>
          <w:rFonts w:asciiTheme="minorHAnsi" w:hAnsiTheme="minorHAnsi" w:cstheme="minorHAnsi"/>
          <w:b/>
          <w:bCs/>
          <w:sz w:val="22"/>
          <w:szCs w:val="22"/>
        </w:rPr>
        <w:t xml:space="preserve">PREMESSA </w:t>
      </w:r>
    </w:p>
    <w:p w:rsidR="00761309" w:rsidRPr="00B5684C" w:rsidRDefault="00761309"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La legge 18 agosto 2015, n. 134 recante “</w:t>
      </w:r>
      <w:r w:rsidRPr="00B5684C">
        <w:rPr>
          <w:rStyle w:val="Enfasicorsivo"/>
          <w:rFonts w:asciiTheme="minorHAnsi" w:hAnsiTheme="minorHAnsi" w:cstheme="minorHAnsi"/>
          <w:sz w:val="22"/>
          <w:szCs w:val="22"/>
          <w:bdr w:val="none" w:sz="0" w:space="0" w:color="auto" w:frame="1"/>
        </w:rPr>
        <w:t>Disposizioni in materia di diagnosi, cura e abilitazione delle persone con disturbi dello spettro autistico e di assistenza alle famiglie</w:t>
      </w:r>
      <w:r w:rsidRPr="00B5684C">
        <w:rPr>
          <w:rFonts w:asciiTheme="minorHAnsi" w:hAnsiTheme="minorHAnsi" w:cstheme="minorHAnsi"/>
          <w:sz w:val="22"/>
          <w:szCs w:val="22"/>
        </w:rPr>
        <w:t>” prevede “</w:t>
      </w:r>
      <w:r w:rsidRPr="00B5684C">
        <w:rPr>
          <w:rStyle w:val="Enfasicorsivo"/>
          <w:rFonts w:asciiTheme="minorHAnsi" w:hAnsiTheme="minorHAnsi" w:cstheme="minorHAnsi"/>
          <w:sz w:val="22"/>
          <w:szCs w:val="22"/>
          <w:bdr w:val="none" w:sz="0" w:space="0" w:color="auto" w:frame="1"/>
        </w:rPr>
        <w:t>interventi finalizzati a garantire la tutela della salute, il miglioramento delle condizioni di vita e l’inserimento nella vita sociale delle persone con disturbi dello spettro autistico</w:t>
      </w:r>
      <w:r w:rsidRPr="00B5684C">
        <w:rPr>
          <w:rFonts w:asciiTheme="minorHAnsi" w:hAnsiTheme="minorHAnsi" w:cstheme="minorHAnsi"/>
          <w:sz w:val="22"/>
          <w:szCs w:val="22"/>
        </w:rPr>
        <w:t>” (articolo 1), nonché lo sviluppo di “</w:t>
      </w:r>
      <w:r w:rsidRPr="00B5684C">
        <w:rPr>
          <w:rStyle w:val="Enfasicorsivo"/>
          <w:rFonts w:asciiTheme="minorHAnsi" w:hAnsiTheme="minorHAnsi" w:cstheme="minorHAnsi"/>
          <w:sz w:val="22"/>
          <w:szCs w:val="22"/>
          <w:bdr w:val="none" w:sz="0" w:space="0" w:color="auto" w:frame="1"/>
        </w:rPr>
        <w:t>progetti di ricerca riguardanti la conoscenza del disturbo delle spettro autistico e le buone pratiche terapeutiche ed educative</w:t>
      </w:r>
      <w:r w:rsidRPr="00B5684C">
        <w:rPr>
          <w:rFonts w:asciiTheme="minorHAnsi" w:hAnsiTheme="minorHAnsi" w:cstheme="minorHAnsi"/>
          <w:sz w:val="22"/>
          <w:szCs w:val="22"/>
        </w:rPr>
        <w:t>” la cui promozione viene affidata al Ministero della Salute (articolo 5).</w:t>
      </w:r>
    </w:p>
    <w:p w:rsidR="00761309" w:rsidRPr="00B5684C" w:rsidRDefault="00761309"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Con DM 30/12/2016 sono state definite le modalità operative per l’attuazione di quanto previsto dalla legge n. 134/2015, ai fini dell’utilizzo delle risorse di cui all’articolo 1, co. 401, legge 28 dicembre 2015, n. 208, con l’indicazione dei compiti in capo al Ministero della Salute, all’Istituto Superiore di Sanità e alle Regioni</w:t>
      </w:r>
    </w:p>
    <w:p w:rsidR="00761309" w:rsidRPr="00B5684C" w:rsidRDefault="00761309"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In tale contesto, il Ministero della Salute ha stipulato, in data 26 luglio 2017, un Accordo di collaborazione con l’Istituto Superiore di Sanità per lo svolgimento di attività di supporto al Ministero stesso ai fini della promozione di progetti di ricerca, coordinati dalle Regioni, riguardanti la conoscenza del disturbo dello spettro autistico e le buone pratiche terapeutiche e educative.</w:t>
      </w:r>
    </w:p>
    <w:p w:rsidR="00761309" w:rsidRPr="00B5684C" w:rsidRDefault="00761309"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A seguito dell’emanazione di apposito bando da parte dell’Istituto Superiore della Sanità, destinato alle Regioni, relativo alle attività sopra citate, la Regione Liguria, in data 12 ottobre 2018, tramite l’Azienda Ligure Sanitaria (ALISA), ha presentato il progetto “</w:t>
      </w:r>
      <w:r w:rsidRPr="00B5684C">
        <w:rPr>
          <w:rStyle w:val="Enfasicorsivo"/>
          <w:rFonts w:asciiTheme="minorHAnsi" w:hAnsiTheme="minorHAnsi" w:cstheme="minorHAnsi"/>
          <w:sz w:val="22"/>
          <w:szCs w:val="22"/>
          <w:bdr w:val="none" w:sz="0" w:space="0" w:color="auto" w:frame="1"/>
        </w:rPr>
        <w:t>Sperimentazione, valutazione e diffusione di interventi finalizzati alla continuità delle cure, con particolare attenzione alla transizione dall’età evolutiva a quella adulta</w:t>
      </w:r>
      <w:r w:rsidRPr="00B5684C">
        <w:rPr>
          <w:rFonts w:asciiTheme="minorHAnsi" w:hAnsiTheme="minorHAnsi" w:cstheme="minorHAnsi"/>
          <w:sz w:val="22"/>
          <w:szCs w:val="22"/>
        </w:rPr>
        <w:t>”, proponendosi come Regione capofila di altre quattro Regioni italiane: Veneto, Marche, Umbria e Campania.</w:t>
      </w:r>
    </w:p>
    <w:p w:rsidR="00761309" w:rsidRPr="00B5684C" w:rsidRDefault="00761309"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Il progetto è stato approvato dalla Cabina di Regia nazionale, istituita presso il Ministero della Salute con D.M. 10/04/2017 e in data 22 ottobre 2018 è stato sottoscritto l’accordo di collaborazione tra l’Istituto Superiore di Sanità e ALISA.</w:t>
      </w:r>
    </w:p>
    <w:p w:rsidR="00761309" w:rsidRPr="00B5684C" w:rsidRDefault="00761309"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Con deliberazione n. 970 del 23/11/2018, la Giunta regionale della Regione Liguria ha affidato ad ALISA la gestione complessiva delle attività del progetto “</w:t>
      </w:r>
      <w:r w:rsidRPr="00B5684C">
        <w:rPr>
          <w:rStyle w:val="Enfasicorsivo"/>
          <w:rFonts w:asciiTheme="minorHAnsi" w:hAnsiTheme="minorHAnsi" w:cstheme="minorHAnsi"/>
          <w:sz w:val="22"/>
          <w:szCs w:val="22"/>
          <w:bdr w:val="none" w:sz="0" w:space="0" w:color="auto" w:frame="1"/>
        </w:rPr>
        <w:t>I disturbi dello spettro autistico: attività previste dal decreto ministeriale del 30/12/2016</w:t>
      </w:r>
      <w:r w:rsidRPr="00B5684C">
        <w:rPr>
          <w:rFonts w:asciiTheme="minorHAnsi" w:hAnsiTheme="minorHAnsi" w:cstheme="minorHAnsi"/>
          <w:sz w:val="22"/>
          <w:szCs w:val="22"/>
        </w:rPr>
        <w:t>”.</w:t>
      </w:r>
    </w:p>
    <w:p w:rsidR="00761309" w:rsidRPr="00B5684C" w:rsidRDefault="00761309"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Con la DGR n. 104 del 05/02/2019 la Regione del Veneto ha approvato la partecipazione al progetto sopra indicato, e riportato nell’Allegato A alla medesima, con l’obiettivo di individuare percorsi e buone prassi per la presa in carico del soggetto con autismo nella fase di passaggio dall’infanzia alla pre-adolescenza, garantendo l’acquisizione del maggior grado di autonomie possibili per affrontare la transizione all’età adulta e ridurre l’impatto di fattori problematici sulla qualità di vita del soggetto e della sua famiglia.</w:t>
      </w:r>
    </w:p>
    <w:p w:rsidR="00761309" w:rsidRPr="00B5684C" w:rsidRDefault="00761309"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Con lo stesso provvedimento, la Giunta regionale ha approvato lo schema di accordo di collaborazione tra ALISA, Regione del Veneto, Regione Umbria, Regione Marche e Regione Campania, per la realizzazione delle attività del progetto citato, che è stato sottoscritto in data 7 marzo 2019.</w:t>
      </w:r>
    </w:p>
    <w:p w:rsidR="00761309" w:rsidRPr="00B5684C" w:rsidRDefault="00761309"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Il finanziamento assegnato dal Ministero della Salute per la realizzazione delle attività relative al progetto sopra citato è pari a complessivi € 1.000.000,00 di cui € 240.000,00 assegnati alla Regione del Veneto.</w:t>
      </w:r>
    </w:p>
    <w:p w:rsidR="00761309" w:rsidRDefault="00761309"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lastRenderedPageBreak/>
        <w:t>L’obiettivo generale del progetto è la definizione e sperimentazione di un percorso diagnostico terapeutico assistenziale ed educativo (PDTAE) per i disturbi dello spettro autistico con focus specifico sugli interventi in età pre-adolescenziale e adolescenziale finalizzato all’implementazione delle azioni procedurali da attuare per garantire l’ottimizzazione del processo di transizione all’età adulta.</w:t>
      </w:r>
    </w:p>
    <w:p w:rsidR="00F6374A" w:rsidRPr="00F6374A" w:rsidRDefault="00F6374A"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b/>
          <w:sz w:val="22"/>
          <w:szCs w:val="22"/>
        </w:rPr>
      </w:pPr>
      <w:r w:rsidRPr="00F6374A">
        <w:rPr>
          <w:rFonts w:asciiTheme="minorHAnsi" w:hAnsiTheme="minorHAnsi" w:cstheme="minorHAnsi"/>
          <w:b/>
          <w:sz w:val="22"/>
          <w:szCs w:val="22"/>
        </w:rPr>
        <w:t>L’AZIONE SPECIFICA DELLA REGIONE</w:t>
      </w:r>
    </w:p>
    <w:p w:rsidR="00761309" w:rsidRPr="00B5684C" w:rsidRDefault="00761309" w:rsidP="00B5684C">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B5684C">
        <w:rPr>
          <w:rFonts w:asciiTheme="minorHAnsi" w:hAnsiTheme="minorHAnsi" w:cstheme="minorHAnsi"/>
          <w:sz w:val="22"/>
          <w:szCs w:val="22"/>
        </w:rPr>
        <w:t>Il progetto prevede il coinvolgimento delle equipe afferenti alle seguenti aziende sanitarie con individuazione dell’Azienda capofila e dei relativi referenti:</w:t>
      </w:r>
    </w:p>
    <w:p w:rsidR="00761309" w:rsidRPr="00B5684C" w:rsidRDefault="00761309" w:rsidP="00B5684C">
      <w:pPr>
        <w:numPr>
          <w:ilvl w:val="0"/>
          <w:numId w:val="23"/>
        </w:numPr>
        <w:spacing w:after="0" w:line="20" w:lineRule="atLeast"/>
        <w:ind w:left="0"/>
        <w:jc w:val="both"/>
        <w:textAlignment w:val="baseline"/>
        <w:rPr>
          <w:rFonts w:cstheme="minorHAnsi"/>
        </w:rPr>
      </w:pPr>
      <w:r w:rsidRPr="00B5684C">
        <w:rPr>
          <w:rFonts w:cstheme="minorHAnsi"/>
        </w:rPr>
        <w:t>Azienda Universitaria Ospedaliera di Verona (Azienda capofila) – coordinatore scientifico e referente dr. Leonardo Zoccante;</w:t>
      </w:r>
    </w:p>
    <w:p w:rsidR="00761309" w:rsidRPr="00B5684C" w:rsidRDefault="00761309" w:rsidP="00B5684C">
      <w:pPr>
        <w:numPr>
          <w:ilvl w:val="0"/>
          <w:numId w:val="23"/>
        </w:numPr>
        <w:spacing w:after="0" w:line="20" w:lineRule="atLeast"/>
        <w:ind w:left="0"/>
        <w:jc w:val="both"/>
        <w:textAlignment w:val="baseline"/>
        <w:rPr>
          <w:rFonts w:cstheme="minorHAnsi"/>
        </w:rPr>
      </w:pPr>
      <w:r w:rsidRPr="00B5684C">
        <w:rPr>
          <w:rFonts w:cstheme="minorHAnsi"/>
        </w:rPr>
        <w:t>Azienda Ospedaliera di Padova –referente dr.ssa Annalisa Traverso;</w:t>
      </w:r>
    </w:p>
    <w:p w:rsidR="00761309" w:rsidRPr="00B5684C" w:rsidRDefault="00761309" w:rsidP="00B5684C">
      <w:pPr>
        <w:numPr>
          <w:ilvl w:val="0"/>
          <w:numId w:val="23"/>
        </w:numPr>
        <w:spacing w:after="0" w:line="20" w:lineRule="atLeast"/>
        <w:ind w:left="0"/>
        <w:jc w:val="both"/>
        <w:textAlignment w:val="baseline"/>
        <w:rPr>
          <w:rFonts w:cstheme="minorHAnsi"/>
        </w:rPr>
      </w:pPr>
      <w:r w:rsidRPr="00B5684C">
        <w:rPr>
          <w:rFonts w:cstheme="minorHAnsi"/>
        </w:rPr>
        <w:t>Azienda ULSS 9 Scaligera – referenti dr.ssa Anna Franco e dr. Giuseppe Imperadore;</w:t>
      </w:r>
    </w:p>
    <w:p w:rsidR="00761309" w:rsidRPr="00B5684C" w:rsidRDefault="00761309" w:rsidP="00B5684C">
      <w:pPr>
        <w:numPr>
          <w:ilvl w:val="0"/>
          <w:numId w:val="23"/>
        </w:numPr>
        <w:spacing w:after="0" w:line="20" w:lineRule="atLeast"/>
        <w:ind w:left="0"/>
        <w:jc w:val="both"/>
        <w:textAlignment w:val="baseline"/>
        <w:rPr>
          <w:rFonts w:cstheme="minorHAnsi"/>
        </w:rPr>
      </w:pPr>
      <w:r w:rsidRPr="00B5684C">
        <w:rPr>
          <w:rFonts w:cstheme="minorHAnsi"/>
        </w:rPr>
        <w:t>Azienda ULSS 8 Berica – referente dr.ssa Elena Finotti;</w:t>
      </w:r>
    </w:p>
    <w:p w:rsidR="00761309" w:rsidRPr="00B5684C" w:rsidRDefault="00761309" w:rsidP="00B5684C">
      <w:pPr>
        <w:numPr>
          <w:ilvl w:val="0"/>
          <w:numId w:val="23"/>
        </w:numPr>
        <w:spacing w:after="0" w:line="20" w:lineRule="atLeast"/>
        <w:ind w:left="0"/>
        <w:jc w:val="both"/>
        <w:textAlignment w:val="baseline"/>
        <w:rPr>
          <w:rFonts w:cstheme="minorHAnsi"/>
        </w:rPr>
      </w:pPr>
      <w:r w:rsidRPr="00B5684C">
        <w:rPr>
          <w:rFonts w:cstheme="minorHAnsi"/>
        </w:rPr>
        <w:t xml:space="preserve">Azienda ULSS 6 Euganea </w:t>
      </w:r>
      <w:proofErr w:type="gramStart"/>
      <w:r w:rsidRPr="00B5684C">
        <w:rPr>
          <w:rFonts w:cstheme="minorHAnsi"/>
        </w:rPr>
        <w:t>–  referente</w:t>
      </w:r>
      <w:proofErr w:type="gramEnd"/>
      <w:r w:rsidRPr="00B5684C">
        <w:rPr>
          <w:rFonts w:cstheme="minorHAnsi"/>
        </w:rPr>
        <w:t xml:space="preserve"> dr.ssa Cosima D’Urso.</w:t>
      </w:r>
    </w:p>
    <w:p w:rsidR="002B2313" w:rsidRDefault="002B2313" w:rsidP="00DB75E8">
      <w:pPr>
        <w:autoSpaceDE w:val="0"/>
        <w:autoSpaceDN w:val="0"/>
        <w:adjustRightInd w:val="0"/>
        <w:spacing w:after="0" w:line="20" w:lineRule="atLeast"/>
        <w:jc w:val="both"/>
        <w:rPr>
          <w:rFonts w:cstheme="minorHAnsi"/>
          <w:color w:val="000000"/>
        </w:rPr>
      </w:pPr>
    </w:p>
    <w:p w:rsidR="00EB0A54" w:rsidRPr="00CA7E42" w:rsidRDefault="00EB0A54" w:rsidP="00EB0A54">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CA7E42">
        <w:rPr>
          <w:rFonts w:cstheme="minorHAnsi"/>
          <w:b/>
        </w:rPr>
        <w:t>POVERTÀ INCLUSIONE SOCIALE</w:t>
      </w:r>
    </w:p>
    <w:p w:rsidR="00EB0A54" w:rsidRPr="006B0B81" w:rsidRDefault="00EB0A54" w:rsidP="00EB0A54">
      <w:pPr>
        <w:spacing w:after="0" w:line="20" w:lineRule="atLeast"/>
        <w:jc w:val="both"/>
        <w:rPr>
          <w:rFonts w:cstheme="minorHAnsi"/>
        </w:rPr>
      </w:pPr>
    </w:p>
    <w:p w:rsidR="00EB0A54" w:rsidRPr="00CA7E42" w:rsidRDefault="00EB0A54" w:rsidP="00EB0A54">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Cs/>
          <w:sz w:val="22"/>
          <w:szCs w:val="22"/>
        </w:rPr>
      </w:pPr>
      <w:r w:rsidRPr="00CA7E42">
        <w:rPr>
          <w:rFonts w:asciiTheme="minorHAnsi" w:hAnsiTheme="minorHAnsi" w:cstheme="minorHAnsi"/>
          <w:b/>
          <w:caps/>
          <w:sz w:val="22"/>
          <w:szCs w:val="22"/>
        </w:rPr>
        <w:t xml:space="preserve">DGR </w:t>
      </w:r>
      <w:r w:rsidRPr="00CA7E42">
        <w:rPr>
          <w:rStyle w:val="cust-dettaglio-tipo-atto-num-data"/>
          <w:rFonts w:asciiTheme="minorHAnsi" w:eastAsiaTheme="majorEastAsia" w:hAnsiTheme="minorHAnsi" w:cstheme="minorHAnsi"/>
          <w:b/>
          <w:caps/>
          <w:sz w:val="22"/>
          <w:szCs w:val="22"/>
          <w:bdr w:val="none" w:sz="0" w:space="0" w:color="auto" w:frame="1"/>
        </w:rPr>
        <w:t xml:space="preserve">  </w:t>
      </w:r>
      <w:r w:rsidRPr="00CA7E42">
        <w:rPr>
          <w:rStyle w:val="cust-dettaglio-tipo-atto-num-data"/>
          <w:rFonts w:asciiTheme="minorHAnsi" w:eastAsiaTheme="majorEastAsia" w:hAnsiTheme="minorHAnsi" w:cstheme="minorHAnsi"/>
          <w:b/>
          <w:sz w:val="22"/>
          <w:szCs w:val="22"/>
          <w:bdr w:val="none" w:sz="0" w:space="0" w:color="auto" w:frame="1"/>
        </w:rPr>
        <w:t>30 luglio 2019, n. 1106</w:t>
      </w:r>
      <w:r w:rsidRPr="00CA7E42">
        <w:rPr>
          <w:rFonts w:asciiTheme="minorHAnsi" w:hAnsiTheme="minorHAnsi" w:cstheme="minorHAnsi"/>
          <w:bCs/>
          <w:sz w:val="22"/>
          <w:szCs w:val="22"/>
        </w:rPr>
        <w:t>, Finanziamento progettualità finalizzate all'inclusione e al reinserimento sociale e/o lavorativo, per il sostegno all'abitare e la povertà educativa delle fasce socialmente deboli all'interno di un progetto personalizzato di presa in carico - Reddito di Inclusione Attiva (R.I.A.) prosecuzione ed estensione della sperimentazione a tutti i comuni della Regione. (BUR n. 86 del 2.8.19)</w:t>
      </w:r>
    </w:p>
    <w:p w:rsidR="00EB0A54" w:rsidRPr="00CA7E42" w:rsidRDefault="00EB0A54" w:rsidP="00EB0A54">
      <w:pPr>
        <w:pStyle w:val="NormaleWeb"/>
        <w:shd w:val="clear" w:color="auto" w:fill="FFFFFF"/>
        <w:spacing w:before="0" w:beforeAutospacing="0" w:after="0" w:afterAutospacing="0" w:line="20" w:lineRule="atLeast"/>
        <w:jc w:val="both"/>
        <w:textAlignment w:val="baseline"/>
        <w:rPr>
          <w:rFonts w:asciiTheme="minorHAnsi" w:hAnsiTheme="minorHAnsi" w:cstheme="minorHAnsi"/>
          <w:b/>
          <w:sz w:val="22"/>
          <w:szCs w:val="22"/>
        </w:rPr>
      </w:pPr>
      <w:r w:rsidRPr="00CA7E42">
        <w:rPr>
          <w:rFonts w:asciiTheme="minorHAnsi" w:hAnsiTheme="minorHAnsi" w:cstheme="minorHAnsi"/>
          <w:b/>
          <w:sz w:val="22"/>
          <w:szCs w:val="22"/>
        </w:rPr>
        <w:t xml:space="preserve">PREMESSA </w:t>
      </w:r>
    </w:p>
    <w:p w:rsidR="00EB0A54" w:rsidRPr="00CA7E42" w:rsidRDefault="00EB0A54" w:rsidP="00EB0A54">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CA7E42">
        <w:rPr>
          <w:rFonts w:asciiTheme="minorHAnsi" w:hAnsiTheme="minorHAnsi" w:cstheme="minorHAnsi"/>
          <w:sz w:val="22"/>
          <w:szCs w:val="22"/>
        </w:rPr>
        <w:t>I dati sulla povertà secondo l’ultimo rapporto ISTAT (18 Giugno 2019) non si possono ancora definire incoraggianti: le famiglie povere in valori assoluti nel Nord Est sono passate da 245.000 nel 2017 a 272.000 nel 2018 e l’incidenza della povertà relativa familiare in Veneto si è ulteriormente aggravata passando da 6,1% nel 2017 a 7,9% nel 2018.</w:t>
      </w:r>
    </w:p>
    <w:p w:rsidR="00EB0A54" w:rsidRPr="00CA7E42" w:rsidRDefault="00EB0A54" w:rsidP="00EB0A54">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CA7E42">
        <w:rPr>
          <w:rFonts w:asciiTheme="minorHAnsi" w:hAnsiTheme="minorHAnsi" w:cstheme="minorHAnsi"/>
          <w:sz w:val="22"/>
          <w:szCs w:val="22"/>
        </w:rPr>
        <w:t xml:space="preserve">Per di più i dati, oltre a confermare un trend negativo, ci indicano negli ultimi anni un preoccupante incremento delle diseguaglianze sociali. Infatti ad un aumento del reddito per le famiglie più ricche corrisponde un aumento della percentuale delle famiglie a rischio povertà, per cui la popolazione più povera vede diminuire il proprio reddito familiare pro-capite. </w:t>
      </w:r>
    </w:p>
    <w:p w:rsidR="00EB0A54" w:rsidRPr="00CA7E42" w:rsidRDefault="00EB0A54" w:rsidP="00EB0A54">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CA7E42">
        <w:rPr>
          <w:rFonts w:asciiTheme="minorHAnsi" w:hAnsiTheme="minorHAnsi" w:cstheme="minorHAnsi"/>
          <w:sz w:val="22"/>
          <w:szCs w:val="22"/>
        </w:rPr>
        <w:t xml:space="preserve">Sempre secondo i dati ISTAT a livello nazionale la povertà assoluta è maggiore tra le famiglie numerose e quelle monogenitoriali e fra le famiglie con minori. Inoltre, la situazione è particolarmente critica soprattutto per quelle famiglie che sono in affitto, in quanto questa tipologia di spesa incide sensibilmente sul risparmio familiare. Infatti le famiglie con minori o straniere hanno spesso una minore capacità reddituale ma anche una minore probabilità di aver accumulato risparmi e quindi più spesso ricorrono all’affitto come soluzione abitativa, indebitandosi. </w:t>
      </w:r>
    </w:p>
    <w:p w:rsidR="00EB0A54" w:rsidRPr="00CA7E42" w:rsidRDefault="00EB0A54" w:rsidP="00EB0A54">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CA7E42">
        <w:rPr>
          <w:rFonts w:asciiTheme="minorHAnsi" w:hAnsiTheme="minorHAnsi" w:cstheme="minorHAnsi"/>
          <w:sz w:val="22"/>
          <w:szCs w:val="22"/>
        </w:rPr>
        <w:t xml:space="preserve">Oltre a questo il rapporto statistico 2018 della Regione del Veneto e il DEFR 2019-2021 hanno evidenziato come per il Veneto il 21% dei minori affronti alcuni tipi di privazione, come non poter indossare abiti nuovi (7,8% in Veneto vs Italia 10,2%), non poter fare una vacanza di una settimana lontano da casa (15,8% in Veneto e 25,9% in Italia), ma neanche partecipare alla gita scolastica o praticare sport o altre attività extrascolastiche per motivi economici (6,1% Veneto, 17,3% Italia). </w:t>
      </w:r>
    </w:p>
    <w:p w:rsidR="00EB0A54" w:rsidRPr="00CA7E42" w:rsidRDefault="00EB0A54" w:rsidP="00EB0A54">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CA7E42">
        <w:rPr>
          <w:rFonts w:asciiTheme="minorHAnsi" w:hAnsiTheme="minorHAnsi" w:cstheme="minorHAnsi"/>
          <w:sz w:val="22"/>
          <w:szCs w:val="22"/>
        </w:rPr>
        <w:t xml:space="preserve">C’è anche chi non possiede giochi a casa o da usare all’aria aperta o non può invitare amici a casa (3,2% in Veneto e 13,7% in Italia). </w:t>
      </w:r>
    </w:p>
    <w:p w:rsidR="00EB0A54" w:rsidRPr="00CA7E42" w:rsidRDefault="00EB0A54" w:rsidP="00EB0A54">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CA7E42">
        <w:rPr>
          <w:rFonts w:asciiTheme="minorHAnsi" w:hAnsiTheme="minorHAnsi" w:cstheme="minorHAnsi"/>
          <w:sz w:val="22"/>
          <w:szCs w:val="22"/>
        </w:rPr>
        <w:t>Sono queste solo alcune delle conseguenze tangibili della povertà sulla vita dei bambini.</w:t>
      </w:r>
    </w:p>
    <w:p w:rsidR="00EB0A54" w:rsidRPr="00CA7E42" w:rsidRDefault="00EB0A54" w:rsidP="00EB0A54">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CA7E42">
        <w:rPr>
          <w:rFonts w:asciiTheme="minorHAnsi" w:hAnsiTheme="minorHAnsi" w:cstheme="minorHAnsi"/>
          <w:sz w:val="22"/>
          <w:szCs w:val="22"/>
        </w:rPr>
        <w:t>Il quadro appena descritto non fa che confermare una tendenza alla permanenza della povertà nelle sue diverse forme: sociale, abitativa, educativa, e soprattutto della disuguaglianza che è preoccupante poiché genera marginalità sociale a livello comunitario, e per il singolo, assopimento delle proprie capacità e perdita di ruolo.</w:t>
      </w:r>
    </w:p>
    <w:p w:rsidR="00EB0A54" w:rsidRPr="00CA7E42" w:rsidRDefault="00EB0A54" w:rsidP="00EB0A54">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CA7E42">
        <w:rPr>
          <w:rFonts w:asciiTheme="minorHAnsi" w:hAnsiTheme="minorHAnsi" w:cstheme="minorHAnsi"/>
          <w:sz w:val="22"/>
          <w:szCs w:val="22"/>
        </w:rPr>
        <w:t>Già nelle scorse annualità si era posto l’accento sulla strettissima connessione che intercorre fra rischio di povertà materiale, esclusione sociale e l’appartenenza a determinate categorie definite vulnerabili come persone con patologie certificate, minori in situazioni di disagio e giovani con bassi livelli di istruzione, donne/uomini soli con figli a carico, donne vittime di violenza domestica, anziani senza forti reti di sostegno e persone in condizione di emarginazione e vulnerabilità.</w:t>
      </w:r>
    </w:p>
    <w:p w:rsidR="00EB0A54" w:rsidRPr="00CA7E42" w:rsidRDefault="00EB0A54" w:rsidP="00EB0A54">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CA7E42">
        <w:rPr>
          <w:rFonts w:asciiTheme="minorHAnsi" w:hAnsiTheme="minorHAnsi" w:cstheme="minorHAnsi"/>
          <w:sz w:val="22"/>
          <w:szCs w:val="22"/>
        </w:rPr>
        <w:lastRenderedPageBreak/>
        <w:t xml:space="preserve">Pur non essendo in una situazione grave a livello nazionale, in Veneto permangono quindi diverse forme di povertà oltre a quella certamente economica, dalla povertà educativa in cui i rapporti di Save the Children collocano il Veneto a metà fra la regione Campania e il Friuli Venezia Giulia; povertà abitativa e relazionale in cui le persone sono sempre più sole e avulse dal contesto sociale di riferimento; e povertà lavorativa che non vuol dire solo carenza di prospettive lavorative ma anche le nuove forme di “working poor” cioè coloro che, pur avendo un lavoro, si trovano a rischio di povertà e di esclusione sociale a causa del livello di reddito troppo basso o dell’incapacità di risparmio o della discontinuità lavorativa. </w:t>
      </w:r>
    </w:p>
    <w:p w:rsidR="00EB0A54" w:rsidRPr="00CA7E42" w:rsidRDefault="00EB0A54" w:rsidP="00EB0A54">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CA7E42">
        <w:rPr>
          <w:rFonts w:asciiTheme="minorHAnsi" w:hAnsiTheme="minorHAnsi" w:cstheme="minorHAnsi"/>
          <w:sz w:val="22"/>
          <w:szCs w:val="22"/>
        </w:rPr>
        <w:t>Si sta sperimentando una povertà non solo materiale ma anche relazionale e sociale che depriva la persona della sua interezza e della sua connessione con la società.</w:t>
      </w:r>
    </w:p>
    <w:p w:rsidR="00EB0A54" w:rsidRPr="00CA7E42" w:rsidRDefault="00EB0A54" w:rsidP="00EB0A54">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CA7E42">
        <w:rPr>
          <w:rFonts w:asciiTheme="minorHAnsi" w:hAnsiTheme="minorHAnsi" w:cstheme="minorHAnsi"/>
          <w:sz w:val="22"/>
          <w:szCs w:val="22"/>
        </w:rPr>
        <w:t>Da qui, il tema della povertà è trasversale in un contesto a vulnerabilità diffusa come quello Veneto, e non è contrastabile con la sola erogazione monetaria, ma si presenta come intervento complesso in cui deve convergere una molteplicità di attori, primo fra tutti la famiglia stessa inserita all’interno di una comunità invitata a farsi prossima e solidale nei confronti di ogni situazione di difficoltà. In questo senso solo un approccio multidimensionale può rispondere alle diverse forme di povertà già elencate: educativa, abitativa, sociale, che possono essere causa ed effetto della povertà economica.</w:t>
      </w:r>
    </w:p>
    <w:p w:rsidR="00EB0A54" w:rsidRPr="00CA7E42" w:rsidRDefault="00EB0A54" w:rsidP="00EB0A54">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CA7E42">
        <w:rPr>
          <w:rFonts w:asciiTheme="minorHAnsi" w:hAnsiTheme="minorHAnsi" w:cstheme="minorHAnsi"/>
          <w:sz w:val="22"/>
          <w:szCs w:val="22"/>
        </w:rPr>
        <w:t>Sconfiggere la povertà e lavorare per una crescita sostenibile significa anche prevenire e interrompere la trasmissione di questa condizione di disagio alle generazioni future e soprattutto lavorare sulla comunità e sulla rete sociale. </w:t>
      </w:r>
    </w:p>
    <w:p w:rsidR="00EB0A54" w:rsidRPr="00CA7E42" w:rsidRDefault="00EB0A54" w:rsidP="00EB0A54">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CA7E42">
        <w:rPr>
          <w:rFonts w:asciiTheme="minorHAnsi" w:hAnsiTheme="minorHAnsi" w:cstheme="minorHAnsi"/>
          <w:sz w:val="22"/>
          <w:szCs w:val="22"/>
        </w:rPr>
        <w:t>E’ questo il senso degli interventi stanziati finora dalla Regione del Veneto, in linea con le finalità dettate dal Piano nazionale di contrasto alla povertà, primo fra tutti la misura di contrasto al disagio sociale Reddito di Inclusione Attiva (d’ora in avanti R.I.A.) giunto ormai alla V annualità con la DGR 1547 del 22.10.18; ma anche l’intervento di Sostegno all’Abitare -  SoA approvato con DGR 1545 del 22.10.18 e l’intervento relativo alla Povertà Educativa – PE con DGR 1546 del 22.10.18. Nell’ultimo anno come si vede, la Regione ha ulteriormente incrementato le azioni di contrasto al disagio sociale con interventi che promuovono un modello di welfare di comunità al di là del puro sostegno economico e che mettono al centro la persona, le sue potenzialità, la sua dignità e responsabilizzazione al di là del puro assistenzialismo.</w:t>
      </w:r>
    </w:p>
    <w:p w:rsidR="00EB0A54" w:rsidRPr="00CA7E42" w:rsidRDefault="00EB0A54" w:rsidP="00EB0A54">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CA7E42">
        <w:rPr>
          <w:rFonts w:asciiTheme="minorHAnsi" w:hAnsiTheme="minorHAnsi" w:cstheme="minorHAnsi"/>
          <w:sz w:val="22"/>
          <w:szCs w:val="22"/>
        </w:rPr>
        <w:t>L’avvento del Reddito di Inclusione - ReI (D.Lgs. 147/2017) sostituito successivamente dal Reddito di Cittadinanza – d’ora in avanti RdC (D.L. n. 4 del 22/01/2019 convertito in L. n. 26 del 28/03/2019) ha determinato un ulteriore sviluppo della collaborazione nel territorio tra i servizi sociali, i Centri per l’Impiego, il Terzo Settore e i servizi specialistici per quanto riguarda la presa in carico delle persone beneficiarie.</w:t>
      </w:r>
    </w:p>
    <w:p w:rsidR="00EB0A54" w:rsidRPr="00CA7E42" w:rsidRDefault="00EB0A54" w:rsidP="00EB0A54">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CA7E42">
        <w:rPr>
          <w:rFonts w:asciiTheme="minorHAnsi" w:hAnsiTheme="minorHAnsi" w:cstheme="minorHAnsi"/>
          <w:sz w:val="22"/>
          <w:szCs w:val="22"/>
        </w:rPr>
        <w:t>Pur non avendo ancora dati oggettivi che ci permettano di analizzare l’impatto della misura RdC nel nostro territorio, si ritiene che il R.I.A. possa svolgere un ruolo strategico nel coprire le fasce che non hanno ricevuto supporto adeguato o che sono state escluse. Diventa quindi fondamentale il ruolo della professione sociale nel rendere complementari i due interventi (nazionale e regionale) in base alla valutazione e analisi dei bisogni dei beneficiari. In tale contesto, quindi, il R.I.A. si conferma uno strumento flessibile che permette di includere persone non raggiunte da questa misura nazionale.</w:t>
      </w:r>
    </w:p>
    <w:p w:rsidR="00EB0A54" w:rsidRPr="00CA7E42" w:rsidRDefault="00EB0A54" w:rsidP="00EB0A54">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CA7E42">
        <w:rPr>
          <w:rFonts w:asciiTheme="minorHAnsi" w:hAnsiTheme="minorHAnsi" w:cstheme="minorHAnsi"/>
          <w:sz w:val="22"/>
          <w:szCs w:val="22"/>
        </w:rPr>
        <w:t>Tra i vari risultati positivi della IV e della V annualità del R.I.A., si possono segnalare il passaggio da 147 a ben 233 comuni del Veneto che hanno voluto e richiesto di aderire alla misura, segno di un sempre maggiore interesse; l’aumento del numero di beneficiari (più di 1650) e il coinvolgimento di più di 500 fra associazioni, parrocchie, fondazioni, forze dell’ordine, cooperative sociali, IPAB, privati,  e altre Organismi di Volontariato; oltre a un finanziamento che è passato da 2.800.000,00 euro a 3.675.148,61 euro. Inoltre, circa il 20% dei beneficiari della scorsa annualità sta continuando il proprio percorso all’interno dell’ente ospitante (sostegno o inserimento) per volere dello stesso, confermando quindi il buon esito dell’intervento.</w:t>
      </w:r>
    </w:p>
    <w:p w:rsidR="00EB0A54" w:rsidRPr="00CA7E42" w:rsidRDefault="00EB0A54" w:rsidP="00EB0A54">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CA7E42">
        <w:rPr>
          <w:rFonts w:asciiTheme="minorHAnsi" w:hAnsiTheme="minorHAnsi" w:cstheme="minorHAnsi"/>
          <w:sz w:val="22"/>
          <w:szCs w:val="22"/>
        </w:rPr>
        <w:t xml:space="preserve">Il R.I.A. è diventato ormai un modello di riferimento per molti Comuni partner in quanto evoluzione del modello di integrazione di risorse, esperienze, obiettivi e attori. Le esperienze e buone pratiche messe in atto e condivise dai Comuni ed enti partner della misura hanno evidenziato infatti come solo attraverso politiche di accompagnamento e sostegno, formazione </w:t>
      </w:r>
      <w:proofErr w:type="gramStart"/>
      <w:r w:rsidRPr="00CA7E42">
        <w:rPr>
          <w:rFonts w:asciiTheme="minorHAnsi" w:hAnsiTheme="minorHAnsi" w:cstheme="minorHAnsi"/>
          <w:sz w:val="22"/>
          <w:szCs w:val="22"/>
        </w:rPr>
        <w:t>e  recupero</w:t>
      </w:r>
      <w:proofErr w:type="gramEnd"/>
      <w:r w:rsidRPr="00CA7E42">
        <w:rPr>
          <w:rFonts w:asciiTheme="minorHAnsi" w:hAnsiTheme="minorHAnsi" w:cstheme="minorHAnsi"/>
          <w:sz w:val="22"/>
          <w:szCs w:val="22"/>
        </w:rPr>
        <w:t xml:space="preserve"> delle capacità e potenzialità è possibile reinserire la persona socialmente e lavorativamente affinché riacquisti una propria dignità.  Il R.I.A. parte da concetti semplici che stanno alla base dell’agire sociale:</w:t>
      </w:r>
    </w:p>
    <w:p w:rsidR="00EB0A54" w:rsidRPr="00CA7E42" w:rsidRDefault="00EB0A54" w:rsidP="00EB0A54">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CA7E42">
        <w:rPr>
          <w:rFonts w:asciiTheme="minorHAnsi" w:hAnsiTheme="minorHAnsi" w:cstheme="minorHAnsi"/>
          <w:sz w:val="22"/>
          <w:szCs w:val="22"/>
        </w:rPr>
        <w:t>-  mette la persona e il nucleo familiare al centro del percorso, cercando di prevenire la marginalizzazione sociale;</w:t>
      </w:r>
    </w:p>
    <w:p w:rsidR="00EB0A54" w:rsidRPr="00CA7E42" w:rsidRDefault="00EB0A54" w:rsidP="00EB0A54">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CA7E42">
        <w:rPr>
          <w:rFonts w:asciiTheme="minorHAnsi" w:hAnsiTheme="minorHAnsi" w:cstheme="minorHAnsi"/>
          <w:sz w:val="22"/>
          <w:szCs w:val="22"/>
        </w:rPr>
        <w:lastRenderedPageBreak/>
        <w:t>-  lavora sulla comunità e sulla rete ponendo il lavoro dell’assistente sociale e delle professioni sociali al centro del sistema. Il lavoro delle professioni sociali genera welfare di comunità e di prossimità valorizzando le risorse della persona con una presa in carico integrata e multidimensionale.</w:t>
      </w:r>
    </w:p>
    <w:p w:rsidR="00EB0A54" w:rsidRPr="00CA7E42" w:rsidRDefault="00EB0A54" w:rsidP="00EB0A54">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CA7E42">
        <w:rPr>
          <w:rFonts w:asciiTheme="minorHAnsi" w:hAnsiTheme="minorHAnsi" w:cstheme="minorHAnsi"/>
          <w:sz w:val="22"/>
          <w:szCs w:val="22"/>
        </w:rPr>
        <w:t>Per il futuro si rendono opportuni alcuni adeguamenti significativi sulla misura, in grado di accrescere l’efficacia e l’impatto sul territorio, in particolare:</w:t>
      </w:r>
    </w:p>
    <w:p w:rsidR="00EB0A54" w:rsidRPr="00CA7E42" w:rsidRDefault="00EB0A54" w:rsidP="00EB0A54">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CA7E42">
        <w:rPr>
          <w:rFonts w:asciiTheme="minorHAnsi" w:hAnsiTheme="minorHAnsi" w:cstheme="minorHAnsi"/>
          <w:sz w:val="22"/>
          <w:szCs w:val="22"/>
        </w:rPr>
        <w:t>-  come punto di riferimento della governance e come contesto privilegiato di relazioni fra i diversi attori coinvolti e la popolazione residente verrà strutturato il passaggio dai 7 capoluogo di provincia ai 21 enti capofila degli Ambiti Territoriali;</w:t>
      </w:r>
    </w:p>
    <w:p w:rsidR="00EB0A54" w:rsidRPr="00CA7E42" w:rsidRDefault="00EB0A54" w:rsidP="00EB0A54">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CA7E42">
        <w:rPr>
          <w:rFonts w:asciiTheme="minorHAnsi" w:hAnsiTheme="minorHAnsi" w:cstheme="minorHAnsi"/>
          <w:sz w:val="22"/>
          <w:szCs w:val="22"/>
        </w:rPr>
        <w:t>-  prenderà spunto dalle diverse e ricchissime esperienze territoriali per evidenziare i bisogni e i beneficiari più svantaggiati.</w:t>
      </w:r>
    </w:p>
    <w:p w:rsidR="00EB0A54" w:rsidRPr="00CA7E42" w:rsidRDefault="00EB0A54" w:rsidP="00EB0A54">
      <w:pPr>
        <w:pStyle w:val="NormaleWeb"/>
        <w:shd w:val="clear" w:color="auto" w:fill="FFFFFF"/>
        <w:spacing w:before="0" w:beforeAutospacing="0" w:after="0" w:afterAutospacing="0" w:line="20" w:lineRule="atLeast"/>
        <w:jc w:val="both"/>
        <w:textAlignment w:val="baseline"/>
        <w:rPr>
          <w:rFonts w:asciiTheme="minorHAnsi" w:hAnsiTheme="minorHAnsi" w:cstheme="minorHAnsi"/>
          <w:sz w:val="22"/>
          <w:szCs w:val="22"/>
        </w:rPr>
      </w:pPr>
      <w:r w:rsidRPr="00CA7E42">
        <w:rPr>
          <w:rFonts w:asciiTheme="minorHAnsi" w:hAnsiTheme="minorHAnsi" w:cstheme="minorHAnsi"/>
          <w:sz w:val="22"/>
          <w:szCs w:val="22"/>
        </w:rPr>
        <w:t>Tutto ciò premesso, anche in accoglimento delle diverse istanze che provengono dal territorio, si propone quindi di dare continuità alle misure elencate precedentemente (R.I.A. ma anche SoA e PE) per assicurare un supporto alle fasce socialmente deboli e marginalizzate, superando l’ottica di frammentazione delle risorse e cercando di intervenire in maniera uniforme e organica sulla presa in carico multiprofessionale della persona. In questo senso quindi il sostegno all’abitare e la povertà educativa diventano parte integrante della misura R.I.A. in quanto componenti di un approccio multidimensionale che fa riferimento alla situazione della persona nella sua interezza.</w:t>
      </w:r>
    </w:p>
    <w:p w:rsidR="00EB0A54" w:rsidRPr="00CA7E42" w:rsidRDefault="00EB0A54" w:rsidP="00EB0A54">
      <w:pPr>
        <w:pStyle w:val="cust-dettaglio-azione"/>
        <w:shd w:val="clear" w:color="auto" w:fill="FFFFFF"/>
        <w:spacing w:before="0" w:beforeAutospacing="0" w:after="0" w:afterAutospacing="0" w:line="20" w:lineRule="atLeast"/>
        <w:jc w:val="both"/>
        <w:textAlignment w:val="baseline"/>
        <w:rPr>
          <w:rFonts w:asciiTheme="minorHAnsi" w:hAnsiTheme="minorHAnsi" w:cstheme="minorHAnsi"/>
          <w:b/>
          <w:sz w:val="22"/>
          <w:szCs w:val="22"/>
        </w:rPr>
      </w:pPr>
      <w:r w:rsidRPr="00CA7E42">
        <w:rPr>
          <w:rFonts w:asciiTheme="minorHAnsi" w:hAnsiTheme="minorHAnsi" w:cstheme="minorHAnsi"/>
          <w:b/>
          <w:sz w:val="22"/>
          <w:szCs w:val="22"/>
        </w:rPr>
        <w:t xml:space="preserve">LA DISPOSIZIONE </w:t>
      </w:r>
    </w:p>
    <w:p w:rsidR="00EB0A54" w:rsidRDefault="00EB0A54" w:rsidP="00EB0A54">
      <w:pPr>
        <w:spacing w:after="0" w:line="20" w:lineRule="atLeast"/>
        <w:jc w:val="both"/>
        <w:textAlignment w:val="baseline"/>
        <w:rPr>
          <w:rFonts w:cstheme="minorHAnsi"/>
        </w:rPr>
      </w:pPr>
      <w:r>
        <w:rPr>
          <w:rFonts w:cstheme="minorHAnsi"/>
        </w:rPr>
        <w:t xml:space="preserve">Viene </w:t>
      </w:r>
      <w:r w:rsidRPr="00CA7E42">
        <w:rPr>
          <w:rFonts w:cstheme="minorHAnsi"/>
        </w:rPr>
        <w:t>approva</w:t>
      </w:r>
      <w:r>
        <w:rPr>
          <w:rFonts w:cstheme="minorHAnsi"/>
        </w:rPr>
        <w:t xml:space="preserve">ta </w:t>
      </w:r>
      <w:r w:rsidRPr="00CA7E42">
        <w:rPr>
          <w:rFonts w:cstheme="minorHAnsi"/>
        </w:rPr>
        <w:t>la prosecuzione del finanziamento delle progettualità finalizzate all’inclusione e al reinserimento sociale e/o lavorativo delle fasce deboli – Reddito d’Inclusione Attiva di cui alla DGR n. 1547 del 22.10.2018, del Sostegno all’Abitare di cui alla DGR 1545 del 22.10.2018 e della Povertà Educativa di cui alla DGR n. 1546 del 22.10.2018</w:t>
      </w:r>
      <w:r>
        <w:rPr>
          <w:rFonts w:cstheme="minorHAnsi"/>
        </w:rPr>
        <w:t>.</w:t>
      </w:r>
    </w:p>
    <w:p w:rsidR="00EB0A54" w:rsidRPr="00CA7E42" w:rsidRDefault="00EB0A54" w:rsidP="00EB0A54">
      <w:pPr>
        <w:spacing w:after="0" w:line="20" w:lineRule="atLeast"/>
        <w:jc w:val="both"/>
        <w:textAlignment w:val="baseline"/>
        <w:rPr>
          <w:rFonts w:cstheme="minorHAnsi"/>
        </w:rPr>
      </w:pPr>
      <w:r>
        <w:rPr>
          <w:rFonts w:cstheme="minorHAnsi"/>
        </w:rPr>
        <w:t>Vengono altresì approvati:</w:t>
      </w:r>
    </w:p>
    <w:p w:rsidR="00EB0A54" w:rsidRPr="00CA7E42" w:rsidRDefault="00EB0A54" w:rsidP="00EB0A54">
      <w:pPr>
        <w:spacing w:after="0" w:line="20" w:lineRule="atLeast"/>
        <w:jc w:val="both"/>
        <w:textAlignment w:val="baseline"/>
        <w:rPr>
          <w:rFonts w:cstheme="minorHAnsi"/>
        </w:rPr>
      </w:pPr>
      <w:r w:rsidRPr="00CA7E42">
        <w:rPr>
          <w:rFonts w:cstheme="minorHAnsi"/>
          <w:b/>
        </w:rPr>
        <w:t>l’</w:t>
      </w:r>
      <w:r w:rsidRPr="00CA7E42">
        <w:rPr>
          <w:rStyle w:val="Enfasigrassetto"/>
          <w:rFonts w:cstheme="minorHAnsi"/>
          <w:b w:val="0"/>
          <w:bdr w:val="none" w:sz="0" w:space="0" w:color="auto" w:frame="1"/>
        </w:rPr>
        <w:t>Allegato A</w:t>
      </w:r>
      <w:r w:rsidRPr="00CA7E42">
        <w:rPr>
          <w:rFonts w:cstheme="minorHAnsi"/>
          <w:b/>
        </w:rPr>
        <w:t>, l’</w:t>
      </w:r>
      <w:r w:rsidRPr="00CA7E42">
        <w:rPr>
          <w:rStyle w:val="Enfasigrassetto"/>
          <w:rFonts w:cstheme="minorHAnsi"/>
          <w:b w:val="0"/>
          <w:bdr w:val="none" w:sz="0" w:space="0" w:color="auto" w:frame="1"/>
        </w:rPr>
        <w:t>Allegato A1 </w:t>
      </w:r>
      <w:r w:rsidRPr="00CA7E42">
        <w:rPr>
          <w:rFonts w:cstheme="minorHAnsi"/>
          <w:b/>
        </w:rPr>
        <w:t>e l’</w:t>
      </w:r>
      <w:r w:rsidRPr="00CA7E42">
        <w:rPr>
          <w:rStyle w:val="Enfasigrassetto"/>
          <w:rFonts w:cstheme="minorHAnsi"/>
          <w:b w:val="0"/>
          <w:bdr w:val="none" w:sz="0" w:space="0" w:color="auto" w:frame="1"/>
        </w:rPr>
        <w:t>Allegato A2</w:t>
      </w:r>
      <w:r w:rsidRPr="00CA7E42">
        <w:rPr>
          <w:rFonts w:cstheme="minorHAnsi"/>
        </w:rPr>
        <w:t>, in cui sono indicati in particolare i criteri per l’individuazione dei beneficiari relativamente a R.I.A., SoA e PE;</w:t>
      </w:r>
    </w:p>
    <w:p w:rsidR="00EB0A54" w:rsidRPr="00CA7E42" w:rsidRDefault="00EB0A54" w:rsidP="00EB0A54">
      <w:pPr>
        <w:spacing w:after="0" w:line="20" w:lineRule="atLeast"/>
        <w:jc w:val="both"/>
        <w:textAlignment w:val="baseline"/>
        <w:rPr>
          <w:rFonts w:cstheme="minorHAnsi"/>
        </w:rPr>
      </w:pPr>
      <w:r w:rsidRPr="00CA7E42">
        <w:rPr>
          <w:rFonts w:cstheme="minorHAnsi"/>
          <w:b/>
        </w:rPr>
        <w:t>l’</w:t>
      </w:r>
      <w:r w:rsidRPr="00CA7E42">
        <w:rPr>
          <w:rStyle w:val="Enfasigrassetto"/>
          <w:rFonts w:cstheme="minorHAnsi"/>
          <w:b w:val="0"/>
          <w:bdr w:val="none" w:sz="0" w:space="0" w:color="auto" w:frame="1"/>
        </w:rPr>
        <w:t>Allegato B</w:t>
      </w:r>
      <w:r w:rsidRPr="00CA7E42">
        <w:rPr>
          <w:rFonts w:cstheme="minorHAnsi"/>
          <w:b/>
        </w:rPr>
        <w:t>, in</w:t>
      </w:r>
      <w:r w:rsidRPr="00CA7E42">
        <w:rPr>
          <w:rFonts w:cstheme="minorHAnsi"/>
        </w:rPr>
        <w:t xml:space="preserve"> cui sono contenute le disposizioni attuative per il finanziamento e per la ripartizione dei fondi, le modalità di monitoraggio e rendicontazione;</w:t>
      </w:r>
    </w:p>
    <w:p w:rsidR="00EB0A54" w:rsidRPr="00CA7E42" w:rsidRDefault="00EB0A54" w:rsidP="00EB0A54">
      <w:pPr>
        <w:spacing w:after="0" w:line="20" w:lineRule="atLeast"/>
        <w:jc w:val="both"/>
        <w:textAlignment w:val="baseline"/>
        <w:rPr>
          <w:rFonts w:cstheme="minorHAnsi"/>
        </w:rPr>
      </w:pPr>
      <w:r w:rsidRPr="00CA7E42">
        <w:rPr>
          <w:rFonts w:cstheme="minorHAnsi"/>
        </w:rPr>
        <w:t xml:space="preserve">Viene </w:t>
      </w:r>
      <w:proofErr w:type="gramStart"/>
      <w:r w:rsidRPr="00CA7E42">
        <w:rPr>
          <w:rFonts w:cstheme="minorHAnsi"/>
        </w:rPr>
        <w:t>determinato  in</w:t>
      </w:r>
      <w:proofErr w:type="gramEnd"/>
      <w:r w:rsidRPr="00CA7E42">
        <w:rPr>
          <w:rFonts w:cstheme="minorHAnsi"/>
        </w:rPr>
        <w:t xml:space="preserve"> Euro 6.000.000,00 di cui almeno Euro 500.000,00 per la Povertà Educativa, l’importo massimo delle obbligazioni di spesa per la realizzazione delle progettualità </w:t>
      </w:r>
    </w:p>
    <w:p w:rsidR="002B2313" w:rsidRDefault="002B2313" w:rsidP="00EB0A54">
      <w:pPr>
        <w:spacing w:after="0" w:line="20" w:lineRule="atLeast"/>
        <w:jc w:val="both"/>
        <w:rPr>
          <w:rFonts w:cstheme="minorHAnsi"/>
          <w:b/>
        </w:rPr>
      </w:pPr>
    </w:p>
    <w:p w:rsidR="00EB0A54" w:rsidRPr="003E508C" w:rsidRDefault="00EB0A54" w:rsidP="00EB0A54">
      <w:pPr>
        <w:spacing w:after="0" w:line="20" w:lineRule="atLeast"/>
        <w:jc w:val="both"/>
        <w:rPr>
          <w:rFonts w:cstheme="minorHAnsi"/>
          <w:b/>
        </w:rPr>
      </w:pPr>
      <w:r w:rsidRPr="003E508C">
        <w:rPr>
          <w:rFonts w:cstheme="minorHAnsi"/>
          <w:b/>
        </w:rPr>
        <w:t xml:space="preserve">Reddito di Inclusione Attiva (R.I.A), criteri di accesso e destinatari </w:t>
      </w:r>
    </w:p>
    <w:p w:rsidR="00EB0A54" w:rsidRPr="006B0B81" w:rsidRDefault="00EB0A54" w:rsidP="00EB0A54">
      <w:pPr>
        <w:spacing w:after="0" w:line="20" w:lineRule="atLeast"/>
        <w:jc w:val="both"/>
        <w:rPr>
          <w:rFonts w:cstheme="minorHAnsi"/>
        </w:rPr>
      </w:pPr>
      <w:r w:rsidRPr="006B0B81">
        <w:rPr>
          <w:rFonts w:cstheme="minorHAnsi"/>
        </w:rPr>
        <w:t xml:space="preserve">Obiettivi </w:t>
      </w:r>
    </w:p>
    <w:p w:rsidR="00EB0A54" w:rsidRPr="006B0B81" w:rsidRDefault="00EB0A54" w:rsidP="00EB0A54">
      <w:pPr>
        <w:spacing w:after="0" w:line="20" w:lineRule="atLeast"/>
        <w:jc w:val="both"/>
        <w:rPr>
          <w:rFonts w:cstheme="minorHAnsi"/>
        </w:rPr>
      </w:pPr>
      <w:r w:rsidRPr="006B0B81">
        <w:rPr>
          <w:rFonts w:cstheme="minorHAnsi"/>
        </w:rPr>
        <w:t xml:space="preserve">Gli obiettivi del R.I.A. sono così riassumibili: </w:t>
      </w:r>
    </w:p>
    <w:p w:rsidR="00EB0A54" w:rsidRPr="006B0B81" w:rsidRDefault="00EB0A54" w:rsidP="00EB0A54">
      <w:pPr>
        <w:spacing w:after="0" w:line="20" w:lineRule="atLeast"/>
        <w:jc w:val="both"/>
        <w:rPr>
          <w:rFonts w:cstheme="minorHAnsi"/>
        </w:rPr>
      </w:pPr>
      <w:r w:rsidRPr="006B0B81">
        <w:rPr>
          <w:rFonts w:cstheme="minorHAnsi"/>
        </w:rPr>
        <w:sym w:font="Symbol" w:char="F0B7"/>
      </w:r>
      <w:r w:rsidRPr="006B0B81">
        <w:rPr>
          <w:rFonts w:cstheme="minorHAnsi"/>
        </w:rPr>
        <w:t xml:space="preserve"> </w:t>
      </w:r>
      <w:proofErr w:type="gramStart"/>
      <w:r w:rsidRPr="006B0B81">
        <w:rPr>
          <w:rFonts w:cstheme="minorHAnsi"/>
        </w:rPr>
        <w:t>promuovere</w:t>
      </w:r>
      <w:proofErr w:type="gramEnd"/>
      <w:r w:rsidRPr="006B0B81">
        <w:rPr>
          <w:rFonts w:cstheme="minorHAnsi"/>
        </w:rPr>
        <w:t xml:space="preserve"> percorsi di recupero delle capacità residue di inserimento lavorativo in favore di persone in condizioni di fragilità e/o promuovere percorsi socializzanti, che aiutino a mantenere una dignità di vita altrimenti preclusa; </w:t>
      </w:r>
    </w:p>
    <w:p w:rsidR="00EB0A54" w:rsidRPr="006B0B81" w:rsidRDefault="00EB0A54" w:rsidP="00EB0A54">
      <w:pPr>
        <w:spacing w:after="0" w:line="20" w:lineRule="atLeast"/>
        <w:jc w:val="both"/>
        <w:rPr>
          <w:rFonts w:cstheme="minorHAnsi"/>
        </w:rPr>
      </w:pPr>
      <w:r w:rsidRPr="006B0B81">
        <w:rPr>
          <w:rFonts w:cstheme="minorHAnsi"/>
        </w:rPr>
        <w:sym w:font="Symbol" w:char="F0B7"/>
      </w:r>
      <w:r w:rsidRPr="006B0B81">
        <w:rPr>
          <w:rFonts w:cstheme="minorHAnsi"/>
        </w:rPr>
        <w:t xml:space="preserve"> </w:t>
      </w:r>
      <w:proofErr w:type="gramStart"/>
      <w:r w:rsidRPr="006B0B81">
        <w:rPr>
          <w:rFonts w:cstheme="minorHAnsi"/>
        </w:rPr>
        <w:t>sperimentare</w:t>
      </w:r>
      <w:proofErr w:type="gramEnd"/>
      <w:r w:rsidRPr="006B0B81">
        <w:rPr>
          <w:rFonts w:cstheme="minorHAnsi"/>
        </w:rPr>
        <w:t xml:space="preserve"> e/o consolidare collaborazioni con soggetti pubblici e privati, in particolare con gli Enti del Terzo Settore al fine di permettere non solo inserimenti lavorativi di persone fragili, ma anche occasioni di socializzazione, di percorsi di sostegno all’abitare e di attivazione nel contesto comunitario in una prospettiva di welfare generativo. Promotori Gli enti capofila di Ambito territoriale collaborano in rete con i comuni all’interno dello stesso, il centro per l’impiego e le agenzie di lavoro accreditate, le agenzie formative, le cooperative sociali, le organizzazioni di volontariato e altri soggetti attivi nell’affrontare la marginalità secondo una logica non assistenzialistica ma che miri a valorizzare la persona e le sue potenzialità. Per l’avvio della misura è prevista la costituzione di un coordinamento territoriale di cui il promotore è l’ente capofila. Il capofila: </w:t>
      </w:r>
    </w:p>
    <w:p w:rsidR="00EB0A54" w:rsidRPr="006B0B81" w:rsidRDefault="00EB0A54" w:rsidP="00EB0A54">
      <w:pPr>
        <w:spacing w:after="0" w:line="20" w:lineRule="atLeast"/>
        <w:jc w:val="both"/>
        <w:rPr>
          <w:rFonts w:cstheme="minorHAnsi"/>
        </w:rPr>
      </w:pPr>
      <w:r w:rsidRPr="006B0B81">
        <w:rPr>
          <w:rFonts w:cstheme="minorHAnsi"/>
        </w:rPr>
        <w:sym w:font="Symbol" w:char="F0B7"/>
      </w:r>
      <w:r w:rsidRPr="006B0B81">
        <w:rPr>
          <w:rFonts w:cstheme="minorHAnsi"/>
        </w:rPr>
        <w:t xml:space="preserve"> verifica che tutti i comuni dell’Ambito aderiscano alla misura in materia di reinserimento sociale e/o lavorativo delle fasce socialmente deboli avviando una collaborazione finalizzata all’approvazione di un piano operativo da parte dei rispettivi comitati dei sindaci di distretto a livello di ambito territoriale; Il comune che non intenda avvalersi della misura per questa annualità può rinunciare comunicando all’ente capofila la propria rinuncia; il budget verrà poi redistribuito all’interno dell’ambito; </w:t>
      </w:r>
    </w:p>
    <w:p w:rsidR="00EB0A54" w:rsidRPr="006B0B81" w:rsidRDefault="00EB0A54" w:rsidP="00EB0A54">
      <w:pPr>
        <w:spacing w:after="0" w:line="20" w:lineRule="atLeast"/>
        <w:jc w:val="both"/>
        <w:rPr>
          <w:rFonts w:cstheme="minorHAnsi"/>
        </w:rPr>
      </w:pPr>
      <w:r w:rsidRPr="006B0B81">
        <w:rPr>
          <w:rFonts w:cstheme="minorHAnsi"/>
        </w:rPr>
        <w:sym w:font="Symbol" w:char="F0B7"/>
      </w:r>
      <w:r w:rsidRPr="006B0B81">
        <w:rPr>
          <w:rFonts w:cstheme="minorHAnsi"/>
        </w:rPr>
        <w:t xml:space="preserve"> </w:t>
      </w:r>
      <w:proofErr w:type="gramStart"/>
      <w:r w:rsidRPr="006B0B81">
        <w:rPr>
          <w:rFonts w:cstheme="minorHAnsi"/>
        </w:rPr>
        <w:t>verifica</w:t>
      </w:r>
      <w:proofErr w:type="gramEnd"/>
      <w:r w:rsidRPr="006B0B81">
        <w:rPr>
          <w:rFonts w:cstheme="minorHAnsi"/>
        </w:rPr>
        <w:t xml:space="preserve"> la disponibilità da parte dei diversi soggetti che si occupano del tema, sia istituzionali che della società civile, di collaborare alla stesura del piano di cui sopra attivando processi di sensibilizzazione nelle realtà locali; </w:t>
      </w:r>
    </w:p>
    <w:p w:rsidR="00EB0A54" w:rsidRPr="006B0B81" w:rsidRDefault="00EB0A54" w:rsidP="00EB0A54">
      <w:pPr>
        <w:spacing w:after="0" w:line="20" w:lineRule="atLeast"/>
        <w:jc w:val="both"/>
        <w:rPr>
          <w:rFonts w:cstheme="minorHAnsi"/>
        </w:rPr>
      </w:pPr>
      <w:r w:rsidRPr="006B0B81">
        <w:rPr>
          <w:rFonts w:cstheme="minorHAnsi"/>
        </w:rPr>
        <w:lastRenderedPageBreak/>
        <w:sym w:font="Symbol" w:char="F0B7"/>
      </w:r>
      <w:r w:rsidRPr="006B0B81">
        <w:rPr>
          <w:rFonts w:cstheme="minorHAnsi"/>
        </w:rPr>
        <w:t xml:space="preserve"> </w:t>
      </w:r>
      <w:proofErr w:type="gramStart"/>
      <w:r w:rsidRPr="006B0B81">
        <w:rPr>
          <w:rFonts w:cstheme="minorHAnsi"/>
        </w:rPr>
        <w:t>presenta</w:t>
      </w:r>
      <w:proofErr w:type="gramEnd"/>
      <w:r w:rsidRPr="006B0B81">
        <w:rPr>
          <w:rFonts w:cstheme="minorHAnsi"/>
        </w:rPr>
        <w:t xml:space="preserve"> alla Regione, entro la scadenza prevista nell’atto di impegno, il piano operativo e ne verifica l’attuazione; il comune capoluogo: in virtù dell’esperienza acquisita nelle passate annualità, mette a disposizione dei nuovi enti capofila il proprio know how, le best practices acquisite ecc.. </w:t>
      </w:r>
      <w:proofErr w:type="gramStart"/>
      <w:r w:rsidRPr="006B0B81">
        <w:rPr>
          <w:rFonts w:cstheme="minorHAnsi"/>
        </w:rPr>
        <w:t>per</w:t>
      </w:r>
      <w:proofErr w:type="gramEnd"/>
      <w:r w:rsidRPr="006B0B81">
        <w:rPr>
          <w:rFonts w:cstheme="minorHAnsi"/>
        </w:rPr>
        <w:t xml:space="preserve"> assicurare un accompagnamento lineare nel passaggio dalla gestione dei comuni capoluogo a quella per Ambito. </w:t>
      </w:r>
    </w:p>
    <w:p w:rsidR="00EB0A54" w:rsidRPr="006B0B81" w:rsidRDefault="00EB0A54" w:rsidP="00EB0A54">
      <w:pPr>
        <w:spacing w:after="0" w:line="20" w:lineRule="atLeast"/>
        <w:jc w:val="both"/>
        <w:rPr>
          <w:rFonts w:cstheme="minorHAnsi"/>
        </w:rPr>
      </w:pPr>
      <w:r w:rsidRPr="006B0B81">
        <w:rPr>
          <w:rFonts w:cstheme="minorHAnsi"/>
        </w:rPr>
        <w:t xml:space="preserve">Si potranno quindi prevedere dei momenti di condivisione e formazione sulle esperienze messe in pratica nelle precedenti annualità. </w:t>
      </w:r>
    </w:p>
    <w:p w:rsidR="00EB0A54" w:rsidRPr="006B0B81" w:rsidRDefault="00EB0A54" w:rsidP="00EB0A54">
      <w:pPr>
        <w:spacing w:after="0" w:line="20" w:lineRule="atLeast"/>
        <w:jc w:val="both"/>
        <w:rPr>
          <w:rFonts w:cstheme="minorHAnsi"/>
        </w:rPr>
      </w:pPr>
      <w:r w:rsidRPr="006B0B81">
        <w:rPr>
          <w:rFonts w:cstheme="minorHAnsi"/>
        </w:rPr>
        <w:t xml:space="preserve">Partner </w:t>
      </w:r>
    </w:p>
    <w:p w:rsidR="00EB0A54" w:rsidRPr="006B0B81" w:rsidRDefault="00EB0A54" w:rsidP="00EB0A54">
      <w:pPr>
        <w:spacing w:after="0" w:line="20" w:lineRule="atLeast"/>
        <w:jc w:val="both"/>
        <w:rPr>
          <w:rFonts w:cstheme="minorHAnsi"/>
        </w:rPr>
      </w:pPr>
      <w:r w:rsidRPr="006B0B81">
        <w:rPr>
          <w:rFonts w:cstheme="minorHAnsi"/>
        </w:rPr>
        <w:t xml:space="preserve">Gli enti del Terzo Settore ed imprese profit: </w:t>
      </w:r>
    </w:p>
    <w:p w:rsidR="00EB0A54" w:rsidRPr="006B0B81" w:rsidRDefault="00EB0A54" w:rsidP="00EB0A54">
      <w:pPr>
        <w:spacing w:after="0" w:line="20" w:lineRule="atLeast"/>
        <w:jc w:val="both"/>
        <w:rPr>
          <w:rFonts w:cstheme="minorHAnsi"/>
        </w:rPr>
      </w:pPr>
      <w:r w:rsidRPr="006B0B81">
        <w:rPr>
          <w:rFonts w:cstheme="minorHAnsi"/>
        </w:rPr>
        <w:t xml:space="preserve">- collaborano con il capofila alla stesura del piano operativo secondo le indicazioni e gli obiettivi indicati dalla Regione; </w:t>
      </w:r>
    </w:p>
    <w:p w:rsidR="00EB0A54" w:rsidRPr="006B0B81" w:rsidRDefault="00EB0A54" w:rsidP="00EB0A54">
      <w:pPr>
        <w:spacing w:after="0" w:line="20" w:lineRule="atLeast"/>
        <w:jc w:val="both"/>
        <w:rPr>
          <w:rFonts w:cstheme="minorHAnsi"/>
        </w:rPr>
      </w:pPr>
      <w:r w:rsidRPr="006B0B81">
        <w:rPr>
          <w:rFonts w:cstheme="minorHAnsi"/>
        </w:rPr>
        <w:t xml:space="preserve">- partecipano alla costruzione di una rete e al coordinamento del programma R.I.A. contribuendo ad attivare processi di sensibilizzazione nelle realtà locali; - contribuiscono a realizzare i progetti personalizzati in tutte le loro azioni e fasi divenendone i gestori operativi. Azioni specifiche Devono essere previste le seguenti azioni: </w:t>
      </w:r>
    </w:p>
    <w:p w:rsidR="00EB0A54" w:rsidRPr="006B0B81" w:rsidRDefault="00EB0A54" w:rsidP="00EB0A54">
      <w:pPr>
        <w:spacing w:after="0" w:line="20" w:lineRule="atLeast"/>
        <w:jc w:val="both"/>
        <w:rPr>
          <w:rFonts w:cstheme="minorHAnsi"/>
        </w:rPr>
      </w:pPr>
      <w:r w:rsidRPr="006B0B81">
        <w:rPr>
          <w:rFonts w:cstheme="minorHAnsi"/>
        </w:rPr>
        <w:sym w:font="Symbol" w:char="F0B7"/>
      </w:r>
      <w:r w:rsidRPr="006B0B81">
        <w:rPr>
          <w:rFonts w:cstheme="minorHAnsi"/>
        </w:rPr>
        <w:t xml:space="preserve"> </w:t>
      </w:r>
      <w:proofErr w:type="gramStart"/>
      <w:r w:rsidRPr="006B0B81">
        <w:rPr>
          <w:rFonts w:cstheme="minorHAnsi"/>
        </w:rPr>
        <w:t>attivazione</w:t>
      </w:r>
      <w:proofErr w:type="gramEnd"/>
      <w:r w:rsidRPr="006B0B81">
        <w:rPr>
          <w:rFonts w:cstheme="minorHAnsi"/>
        </w:rPr>
        <w:t xml:space="preserve"> di un tavolo permanente rappresentativo dei soggetti istituzionali e non, con competenze ed interesse nel mondo del lavoro, dello sviluppo economico e dell’occupazione (comuni, centri per l’impiego, enti ed agenzie di formazione, sindacati, associazioni imprenditoriali, cooperative sociali, centro di servizi volontariato, etc.); </w:t>
      </w:r>
    </w:p>
    <w:p w:rsidR="00EB0A54" w:rsidRPr="006B0B81" w:rsidRDefault="00EB0A54" w:rsidP="00EB0A54">
      <w:pPr>
        <w:spacing w:after="0" w:line="20" w:lineRule="atLeast"/>
        <w:jc w:val="both"/>
        <w:rPr>
          <w:rFonts w:cstheme="minorHAnsi"/>
        </w:rPr>
      </w:pPr>
      <w:r w:rsidRPr="006B0B81">
        <w:rPr>
          <w:rFonts w:cstheme="minorHAnsi"/>
        </w:rPr>
        <w:sym w:font="Symbol" w:char="F0B7"/>
      </w:r>
      <w:r w:rsidRPr="006B0B81">
        <w:rPr>
          <w:rFonts w:cstheme="minorHAnsi"/>
        </w:rPr>
        <w:t xml:space="preserve"> </w:t>
      </w:r>
      <w:proofErr w:type="gramStart"/>
      <w:r w:rsidRPr="006B0B81">
        <w:rPr>
          <w:rFonts w:cstheme="minorHAnsi"/>
        </w:rPr>
        <w:t>ampliamento</w:t>
      </w:r>
      <w:proofErr w:type="gramEnd"/>
      <w:r w:rsidRPr="006B0B81">
        <w:rPr>
          <w:rFonts w:cstheme="minorHAnsi"/>
        </w:rPr>
        <w:t xml:space="preserve"> delle sinergie con altri progetti o interventi a favore dell’inclusione sociale e lavorativa delle fasce deboli; </w:t>
      </w:r>
    </w:p>
    <w:p w:rsidR="00EB0A54" w:rsidRPr="006B0B81" w:rsidRDefault="00EB0A54" w:rsidP="00EB0A54">
      <w:pPr>
        <w:spacing w:after="0" w:line="20" w:lineRule="atLeast"/>
        <w:jc w:val="both"/>
        <w:rPr>
          <w:rFonts w:cstheme="minorHAnsi"/>
        </w:rPr>
      </w:pPr>
      <w:r w:rsidRPr="006B0B81">
        <w:rPr>
          <w:rFonts w:cstheme="minorHAnsi"/>
        </w:rPr>
        <w:sym w:font="Symbol" w:char="F0B7"/>
      </w:r>
      <w:r w:rsidRPr="006B0B81">
        <w:rPr>
          <w:rFonts w:cstheme="minorHAnsi"/>
        </w:rPr>
        <w:t xml:space="preserve"> </w:t>
      </w:r>
      <w:proofErr w:type="gramStart"/>
      <w:r w:rsidRPr="006B0B81">
        <w:rPr>
          <w:rFonts w:cstheme="minorHAnsi"/>
        </w:rPr>
        <w:t>collaborazione</w:t>
      </w:r>
      <w:proofErr w:type="gramEnd"/>
      <w:r w:rsidRPr="006B0B81">
        <w:rPr>
          <w:rFonts w:cstheme="minorHAnsi"/>
        </w:rPr>
        <w:t xml:space="preserve"> con il Nucleo Operativo di Ambito (N.O.A.) per favorire una maggiore integrazione e gestione delle risorse e buone prassi locali all’interno dell’Ambito territoriale; </w:t>
      </w:r>
    </w:p>
    <w:p w:rsidR="00EB0A54" w:rsidRPr="006B0B81" w:rsidRDefault="00EB0A54" w:rsidP="00EB0A54">
      <w:pPr>
        <w:spacing w:after="0" w:line="20" w:lineRule="atLeast"/>
        <w:jc w:val="both"/>
        <w:rPr>
          <w:rFonts w:cstheme="minorHAnsi"/>
        </w:rPr>
      </w:pPr>
      <w:r w:rsidRPr="006B0B81">
        <w:rPr>
          <w:rFonts w:cstheme="minorHAnsi"/>
        </w:rPr>
        <w:sym w:font="Symbol" w:char="F0B7"/>
      </w:r>
      <w:r w:rsidRPr="006B0B81">
        <w:rPr>
          <w:rFonts w:cstheme="minorHAnsi"/>
        </w:rPr>
        <w:t xml:space="preserve"> </w:t>
      </w:r>
      <w:proofErr w:type="gramStart"/>
      <w:r w:rsidRPr="006B0B81">
        <w:rPr>
          <w:rFonts w:cstheme="minorHAnsi"/>
        </w:rPr>
        <w:t>ricerca</w:t>
      </w:r>
      <w:proofErr w:type="gramEnd"/>
      <w:r w:rsidRPr="006B0B81">
        <w:rPr>
          <w:rFonts w:cstheme="minorHAnsi"/>
        </w:rPr>
        <w:t xml:space="preserve"> di partner disposti a cofinanziare il progetto; </w:t>
      </w:r>
    </w:p>
    <w:p w:rsidR="00EB0A54" w:rsidRPr="006B0B81" w:rsidRDefault="00EB0A54" w:rsidP="00EB0A54">
      <w:pPr>
        <w:spacing w:after="0" w:line="20" w:lineRule="atLeast"/>
        <w:jc w:val="both"/>
        <w:rPr>
          <w:rFonts w:cstheme="minorHAnsi"/>
        </w:rPr>
      </w:pPr>
      <w:r w:rsidRPr="006B0B81">
        <w:rPr>
          <w:rFonts w:cstheme="minorHAnsi"/>
        </w:rPr>
        <w:sym w:font="Symbol" w:char="F0B7"/>
      </w:r>
      <w:r w:rsidRPr="006B0B81">
        <w:rPr>
          <w:rFonts w:cstheme="minorHAnsi"/>
        </w:rPr>
        <w:t xml:space="preserve"> </w:t>
      </w:r>
      <w:proofErr w:type="gramStart"/>
      <w:r w:rsidRPr="006B0B81">
        <w:rPr>
          <w:rFonts w:cstheme="minorHAnsi"/>
        </w:rPr>
        <w:t>realizzazione</w:t>
      </w:r>
      <w:proofErr w:type="gramEnd"/>
      <w:r w:rsidRPr="006B0B81">
        <w:rPr>
          <w:rFonts w:cstheme="minorHAnsi"/>
        </w:rPr>
        <w:t xml:space="preserve"> di attività formative e informative incluse anche attività di educazione al risparmio, tutoraggio, orientamento etc. </w:t>
      </w:r>
    </w:p>
    <w:p w:rsidR="00EB0A54" w:rsidRPr="006B0B81" w:rsidRDefault="00EB0A54" w:rsidP="00EB0A54">
      <w:pPr>
        <w:spacing w:after="0" w:line="20" w:lineRule="atLeast"/>
        <w:jc w:val="both"/>
        <w:rPr>
          <w:rFonts w:cstheme="minorHAnsi"/>
        </w:rPr>
      </w:pPr>
      <w:r w:rsidRPr="006B0B81">
        <w:rPr>
          <w:rFonts w:cstheme="minorHAnsi"/>
        </w:rPr>
        <w:t xml:space="preserve">Destinatari </w:t>
      </w:r>
    </w:p>
    <w:p w:rsidR="00EB0A54" w:rsidRPr="006B0B81" w:rsidRDefault="00EB0A54" w:rsidP="00EB0A54">
      <w:pPr>
        <w:spacing w:after="0" w:line="20" w:lineRule="atLeast"/>
        <w:jc w:val="both"/>
        <w:rPr>
          <w:rFonts w:cstheme="minorHAnsi"/>
        </w:rPr>
      </w:pPr>
      <w:r w:rsidRPr="006B0B81">
        <w:rPr>
          <w:rFonts w:cstheme="minorHAnsi"/>
        </w:rPr>
        <w:t>I destinatari del progetto R.I.A. sono persone e famiglie in carico ai servizi sociali, per le quali sia già attivo un progetto personalizzato di cui il R.I.A. può diventare un'azione complementare e/o per le quali venga concordato con il servizio sociale l'utilizzo della misura R.I.A. ad integrazione di altre progettualità in corso. Alla luce del D.L. n. 4 del 22/01/2019 convertito in Legge n. 26 del 28/03/2019 che istituisce il Reddito di Cittadinanza, la priorità nella selezione dei beneficiari verrà data alle persone o nuclei che non beneficiano di tale misura o che ne beneficiano in misura ridotta.</w:t>
      </w:r>
    </w:p>
    <w:p w:rsidR="00EB0A54" w:rsidRPr="006B0B81" w:rsidRDefault="00EB0A54" w:rsidP="00EB0A54">
      <w:pPr>
        <w:spacing w:after="0" w:line="20" w:lineRule="atLeast"/>
        <w:jc w:val="both"/>
        <w:rPr>
          <w:rFonts w:cstheme="minorHAnsi"/>
        </w:rPr>
      </w:pPr>
      <w:r w:rsidRPr="006B0B81">
        <w:rPr>
          <w:rFonts w:cstheme="minorHAnsi"/>
        </w:rPr>
        <w:t xml:space="preserve">L’accesso è subordinato ai seguenti criteri generali: R.I.A. di inserimento: </w:t>
      </w:r>
    </w:p>
    <w:p w:rsidR="00EB0A54" w:rsidRPr="006B0B81" w:rsidRDefault="00EB0A54" w:rsidP="00EB0A54">
      <w:pPr>
        <w:spacing w:after="0" w:line="20" w:lineRule="atLeast"/>
        <w:jc w:val="both"/>
        <w:rPr>
          <w:rFonts w:cstheme="minorHAnsi"/>
        </w:rPr>
      </w:pPr>
      <w:r w:rsidRPr="006B0B81">
        <w:rPr>
          <w:rFonts w:cstheme="minorHAnsi"/>
        </w:rPr>
        <w:sym w:font="Symbol" w:char="F0B7"/>
      </w:r>
      <w:r w:rsidRPr="006B0B81">
        <w:rPr>
          <w:rFonts w:cstheme="minorHAnsi"/>
        </w:rPr>
        <w:t xml:space="preserve"> </w:t>
      </w:r>
      <w:proofErr w:type="gramStart"/>
      <w:r w:rsidRPr="006B0B81">
        <w:rPr>
          <w:rFonts w:cstheme="minorHAnsi"/>
        </w:rPr>
        <w:t>la</w:t>
      </w:r>
      <w:proofErr w:type="gramEnd"/>
      <w:r w:rsidRPr="006B0B81">
        <w:rPr>
          <w:rFonts w:cstheme="minorHAnsi"/>
        </w:rPr>
        <w:t xml:space="preserve"> residenza nel comune in cui la persona o il nucleo familiare sono presi in carico; </w:t>
      </w:r>
    </w:p>
    <w:p w:rsidR="00EB0A54" w:rsidRPr="006B0B81" w:rsidRDefault="00EB0A54" w:rsidP="00EB0A54">
      <w:pPr>
        <w:spacing w:after="0" w:line="20" w:lineRule="atLeast"/>
        <w:jc w:val="both"/>
        <w:rPr>
          <w:rFonts w:cstheme="minorHAnsi"/>
        </w:rPr>
      </w:pPr>
      <w:r w:rsidRPr="006B0B81">
        <w:rPr>
          <w:rFonts w:cstheme="minorHAnsi"/>
        </w:rPr>
        <w:sym w:font="Symbol" w:char="F0B7"/>
      </w:r>
      <w:r w:rsidRPr="006B0B81">
        <w:rPr>
          <w:rFonts w:cstheme="minorHAnsi"/>
        </w:rPr>
        <w:t xml:space="preserve"> </w:t>
      </w:r>
      <w:proofErr w:type="gramStart"/>
      <w:r w:rsidRPr="006B0B81">
        <w:rPr>
          <w:rFonts w:cstheme="minorHAnsi"/>
        </w:rPr>
        <w:t>fanno</w:t>
      </w:r>
      <w:proofErr w:type="gramEnd"/>
      <w:r w:rsidRPr="006B0B81">
        <w:rPr>
          <w:rFonts w:cstheme="minorHAnsi"/>
        </w:rPr>
        <w:t xml:space="preserve"> eccezione al criterio della residenza in via sperimentale le persone vulnerabili quali: minori stranieri non accompagnati, vittime di tratta, senza dimora; deve trattarsi di situazioni di gravi marginalità già inserite in un percorso di inclusione sociale e che non trovino adeguate risposte attraverso i fondi appositamente dedicati; </w:t>
      </w:r>
    </w:p>
    <w:p w:rsidR="00EB0A54" w:rsidRPr="006B0B81" w:rsidRDefault="00EB0A54" w:rsidP="00EB0A54">
      <w:pPr>
        <w:spacing w:after="0" w:line="20" w:lineRule="atLeast"/>
        <w:jc w:val="both"/>
        <w:rPr>
          <w:rFonts w:cstheme="minorHAnsi"/>
        </w:rPr>
      </w:pPr>
      <w:r w:rsidRPr="006B0B81">
        <w:rPr>
          <w:rFonts w:cstheme="minorHAnsi"/>
        </w:rPr>
        <w:sym w:font="Symbol" w:char="F0B7"/>
      </w:r>
      <w:r w:rsidRPr="006B0B81">
        <w:rPr>
          <w:rFonts w:cstheme="minorHAnsi"/>
        </w:rPr>
        <w:t xml:space="preserve"> </w:t>
      </w:r>
      <w:proofErr w:type="gramStart"/>
      <w:r w:rsidRPr="006B0B81">
        <w:rPr>
          <w:rFonts w:cstheme="minorHAnsi"/>
        </w:rPr>
        <w:t>stato</w:t>
      </w:r>
      <w:proofErr w:type="gramEnd"/>
      <w:r w:rsidRPr="006B0B81">
        <w:rPr>
          <w:rFonts w:cstheme="minorHAnsi"/>
        </w:rPr>
        <w:t xml:space="preserve"> di disoccupazione ai sensi del D.lgs. n. 150/2015; </w:t>
      </w:r>
    </w:p>
    <w:p w:rsidR="00EB0A54" w:rsidRPr="006B0B81" w:rsidRDefault="00EB0A54" w:rsidP="00EB0A54">
      <w:pPr>
        <w:spacing w:after="0" w:line="20" w:lineRule="atLeast"/>
        <w:jc w:val="both"/>
        <w:rPr>
          <w:rFonts w:cstheme="minorHAnsi"/>
        </w:rPr>
      </w:pPr>
      <w:r w:rsidRPr="006B0B81">
        <w:rPr>
          <w:rFonts w:cstheme="minorHAnsi"/>
        </w:rPr>
        <w:sym w:font="Symbol" w:char="F0B7"/>
      </w:r>
      <w:r w:rsidRPr="006B0B81">
        <w:rPr>
          <w:rFonts w:cstheme="minorHAnsi"/>
        </w:rPr>
        <w:t xml:space="preserve"> </w:t>
      </w:r>
      <w:proofErr w:type="gramStart"/>
      <w:r w:rsidRPr="006B0B81">
        <w:rPr>
          <w:rFonts w:cstheme="minorHAnsi"/>
        </w:rPr>
        <w:t>l’adesione</w:t>
      </w:r>
      <w:proofErr w:type="gramEnd"/>
      <w:r w:rsidRPr="006B0B81">
        <w:rPr>
          <w:rFonts w:cstheme="minorHAnsi"/>
        </w:rPr>
        <w:t xml:space="preserve"> ad un progetto personalizzato di inserimento sociale e/o lavorativo. R.I.A. di sostegno: </w:t>
      </w:r>
    </w:p>
    <w:p w:rsidR="00EB0A54" w:rsidRPr="006B0B81" w:rsidRDefault="00EB0A54" w:rsidP="00EB0A54">
      <w:pPr>
        <w:spacing w:after="0" w:line="20" w:lineRule="atLeast"/>
        <w:jc w:val="both"/>
        <w:rPr>
          <w:rFonts w:cstheme="minorHAnsi"/>
        </w:rPr>
      </w:pPr>
      <w:r w:rsidRPr="006B0B81">
        <w:rPr>
          <w:rFonts w:cstheme="minorHAnsi"/>
        </w:rPr>
        <w:sym w:font="Symbol" w:char="F0B7"/>
      </w:r>
      <w:r w:rsidRPr="006B0B81">
        <w:rPr>
          <w:rFonts w:cstheme="minorHAnsi"/>
        </w:rPr>
        <w:t xml:space="preserve"> </w:t>
      </w:r>
      <w:proofErr w:type="gramStart"/>
      <w:r w:rsidRPr="006B0B81">
        <w:rPr>
          <w:rFonts w:cstheme="minorHAnsi"/>
        </w:rPr>
        <w:t>la</w:t>
      </w:r>
      <w:proofErr w:type="gramEnd"/>
      <w:r w:rsidRPr="006B0B81">
        <w:rPr>
          <w:rFonts w:cstheme="minorHAnsi"/>
        </w:rPr>
        <w:t xml:space="preserve"> residenza nel comune in cui la persona o il nucleo familiare sono presi in carico; </w:t>
      </w:r>
    </w:p>
    <w:p w:rsidR="00EB0A54" w:rsidRPr="006B0B81" w:rsidRDefault="00EB0A54" w:rsidP="00EB0A54">
      <w:pPr>
        <w:spacing w:after="0" w:line="20" w:lineRule="atLeast"/>
        <w:jc w:val="both"/>
        <w:rPr>
          <w:rFonts w:cstheme="minorHAnsi"/>
        </w:rPr>
      </w:pPr>
      <w:r w:rsidRPr="006B0B81">
        <w:rPr>
          <w:rFonts w:cstheme="minorHAnsi"/>
        </w:rPr>
        <w:sym w:font="Symbol" w:char="F0B7"/>
      </w:r>
      <w:r w:rsidRPr="006B0B81">
        <w:rPr>
          <w:rFonts w:cstheme="minorHAnsi"/>
        </w:rPr>
        <w:t xml:space="preserve"> </w:t>
      </w:r>
      <w:proofErr w:type="gramStart"/>
      <w:r w:rsidRPr="006B0B81">
        <w:rPr>
          <w:rFonts w:cstheme="minorHAnsi"/>
        </w:rPr>
        <w:t>fanno</w:t>
      </w:r>
      <w:proofErr w:type="gramEnd"/>
      <w:r w:rsidRPr="006B0B81">
        <w:rPr>
          <w:rFonts w:cstheme="minorHAnsi"/>
        </w:rPr>
        <w:t xml:space="preserve"> eccezione al criterio della residenza in via sperimentale le persone vulnerabili quali: minori stranieri non accompagnati, vittime di tratta, senza dimora; deve trattarsi di situazioni di gravi marginalità già inserite in un percorso di inclusione sociale e che non trovino adeguate risposte attraverso i fondi appositamente dedicati; </w:t>
      </w:r>
    </w:p>
    <w:p w:rsidR="00EB0A54" w:rsidRPr="006B0B81" w:rsidRDefault="00EB0A54" w:rsidP="00EB0A54">
      <w:pPr>
        <w:spacing w:after="0" w:line="20" w:lineRule="atLeast"/>
        <w:jc w:val="both"/>
        <w:rPr>
          <w:rFonts w:cstheme="minorHAnsi"/>
        </w:rPr>
      </w:pPr>
      <w:r w:rsidRPr="006B0B81">
        <w:rPr>
          <w:rFonts w:cstheme="minorHAnsi"/>
        </w:rPr>
        <w:sym w:font="Symbol" w:char="F0B7"/>
      </w:r>
      <w:r w:rsidRPr="006B0B81">
        <w:rPr>
          <w:rFonts w:cstheme="minorHAnsi"/>
        </w:rPr>
        <w:t xml:space="preserve"> </w:t>
      </w:r>
      <w:proofErr w:type="gramStart"/>
      <w:r w:rsidRPr="006B0B81">
        <w:rPr>
          <w:rFonts w:cstheme="minorHAnsi"/>
        </w:rPr>
        <w:t>l’adesione</w:t>
      </w:r>
      <w:proofErr w:type="gramEnd"/>
      <w:r w:rsidRPr="006B0B81">
        <w:rPr>
          <w:rFonts w:cstheme="minorHAnsi"/>
        </w:rPr>
        <w:t xml:space="preserve"> ad un progetto personalizzato di attivazione sociale.</w:t>
      </w:r>
    </w:p>
    <w:p w:rsidR="00EB0A54" w:rsidRPr="006B0B81" w:rsidRDefault="00EB0A54" w:rsidP="00EB0A54">
      <w:pPr>
        <w:spacing w:after="0" w:line="20" w:lineRule="atLeast"/>
        <w:jc w:val="both"/>
        <w:rPr>
          <w:rFonts w:cstheme="minorHAnsi"/>
        </w:rPr>
      </w:pPr>
      <w:r w:rsidRPr="006B0B81">
        <w:rPr>
          <w:rFonts w:cstheme="minorHAnsi"/>
        </w:rPr>
        <w:t xml:space="preserve">Inoltre i beneficiari delle due misure devono trovarsi in almeno una delle seguenti condizioni: </w:t>
      </w:r>
    </w:p>
    <w:p w:rsidR="00EB0A54" w:rsidRPr="006B0B81" w:rsidRDefault="00EB0A54" w:rsidP="00EB0A54">
      <w:pPr>
        <w:spacing w:after="0" w:line="20" w:lineRule="atLeast"/>
        <w:jc w:val="both"/>
        <w:rPr>
          <w:rFonts w:cstheme="minorHAnsi"/>
        </w:rPr>
      </w:pPr>
      <w:r w:rsidRPr="006B0B81">
        <w:rPr>
          <w:rFonts w:cstheme="minorHAnsi"/>
        </w:rPr>
        <w:sym w:font="Symbol" w:char="F0B7"/>
      </w:r>
      <w:r w:rsidRPr="006B0B81">
        <w:rPr>
          <w:rFonts w:cstheme="minorHAnsi"/>
        </w:rPr>
        <w:t xml:space="preserve"> </w:t>
      </w:r>
      <w:proofErr w:type="gramStart"/>
      <w:r w:rsidRPr="006B0B81">
        <w:rPr>
          <w:rFonts w:cstheme="minorHAnsi"/>
        </w:rPr>
        <w:t>invalidi</w:t>
      </w:r>
      <w:proofErr w:type="gramEnd"/>
      <w:r w:rsidRPr="006B0B81">
        <w:rPr>
          <w:rFonts w:cstheme="minorHAnsi"/>
        </w:rPr>
        <w:t xml:space="preserve"> civili; </w:t>
      </w:r>
    </w:p>
    <w:p w:rsidR="00EB0A54" w:rsidRPr="006B0B81" w:rsidRDefault="00EB0A54" w:rsidP="00EB0A54">
      <w:pPr>
        <w:spacing w:after="0" w:line="20" w:lineRule="atLeast"/>
        <w:jc w:val="both"/>
        <w:rPr>
          <w:rFonts w:cstheme="minorHAnsi"/>
        </w:rPr>
      </w:pPr>
      <w:r w:rsidRPr="006B0B81">
        <w:rPr>
          <w:rFonts w:cstheme="minorHAnsi"/>
        </w:rPr>
        <w:sym w:font="Symbol" w:char="F0B7"/>
      </w:r>
      <w:r w:rsidRPr="006B0B81">
        <w:rPr>
          <w:rFonts w:cstheme="minorHAnsi"/>
        </w:rPr>
        <w:t xml:space="preserve"> </w:t>
      </w:r>
      <w:proofErr w:type="gramStart"/>
      <w:r w:rsidRPr="006B0B81">
        <w:rPr>
          <w:rFonts w:cstheme="minorHAnsi"/>
        </w:rPr>
        <w:t>persone</w:t>
      </w:r>
      <w:proofErr w:type="gramEnd"/>
      <w:r w:rsidRPr="006B0B81">
        <w:rPr>
          <w:rFonts w:cstheme="minorHAnsi"/>
        </w:rPr>
        <w:t xml:space="preserve"> con patologie certificate da servizi pubblici che richiedono lunghi percorsi riabilitativi o di recupero; </w:t>
      </w:r>
      <w:r w:rsidRPr="006B0B81">
        <w:rPr>
          <w:rFonts w:cstheme="minorHAnsi"/>
        </w:rPr>
        <w:sym w:font="Symbol" w:char="F0B7"/>
      </w:r>
      <w:r w:rsidRPr="006B0B81">
        <w:rPr>
          <w:rFonts w:cstheme="minorHAnsi"/>
        </w:rPr>
        <w:t xml:space="preserve"> persone con disabilità psico-fisica ai sensi della L. n. 68/99; </w:t>
      </w:r>
    </w:p>
    <w:p w:rsidR="00EB0A54" w:rsidRPr="006B0B81" w:rsidRDefault="00EB0A54" w:rsidP="00EB0A54">
      <w:pPr>
        <w:spacing w:after="0" w:line="20" w:lineRule="atLeast"/>
        <w:jc w:val="both"/>
        <w:rPr>
          <w:rFonts w:cstheme="minorHAnsi"/>
        </w:rPr>
      </w:pPr>
      <w:r w:rsidRPr="006B0B81">
        <w:rPr>
          <w:rFonts w:cstheme="minorHAnsi"/>
        </w:rPr>
        <w:sym w:font="Symbol" w:char="F0B7"/>
      </w:r>
      <w:r w:rsidRPr="006B0B81">
        <w:rPr>
          <w:rFonts w:cstheme="minorHAnsi"/>
        </w:rPr>
        <w:t xml:space="preserve"> </w:t>
      </w:r>
      <w:proofErr w:type="gramStart"/>
      <w:r w:rsidRPr="006B0B81">
        <w:rPr>
          <w:rFonts w:cstheme="minorHAnsi"/>
        </w:rPr>
        <w:t>minori</w:t>
      </w:r>
      <w:proofErr w:type="gramEnd"/>
      <w:r w:rsidRPr="006B0B81">
        <w:rPr>
          <w:rFonts w:cstheme="minorHAnsi"/>
        </w:rPr>
        <w:t xml:space="preserve"> in situazioni di disagio sociale; </w:t>
      </w:r>
    </w:p>
    <w:p w:rsidR="00EB0A54" w:rsidRPr="006B0B81" w:rsidRDefault="00EB0A54" w:rsidP="00EB0A54">
      <w:pPr>
        <w:spacing w:after="0" w:line="20" w:lineRule="atLeast"/>
        <w:jc w:val="both"/>
        <w:rPr>
          <w:rFonts w:cstheme="minorHAnsi"/>
        </w:rPr>
      </w:pPr>
      <w:r w:rsidRPr="006B0B81">
        <w:rPr>
          <w:rFonts w:cstheme="minorHAnsi"/>
        </w:rPr>
        <w:sym w:font="Symbol" w:char="F0B7"/>
      </w:r>
      <w:r w:rsidRPr="006B0B81">
        <w:rPr>
          <w:rFonts w:cstheme="minorHAnsi"/>
        </w:rPr>
        <w:t xml:space="preserve"> </w:t>
      </w:r>
      <w:proofErr w:type="gramStart"/>
      <w:r w:rsidRPr="006B0B81">
        <w:rPr>
          <w:rFonts w:cstheme="minorHAnsi"/>
        </w:rPr>
        <w:t>giovani</w:t>
      </w:r>
      <w:proofErr w:type="gramEnd"/>
      <w:r w:rsidRPr="006B0B81">
        <w:rPr>
          <w:rFonts w:cstheme="minorHAnsi"/>
        </w:rPr>
        <w:t xml:space="preserve"> N.E.E.T. (not in education employment or training); </w:t>
      </w:r>
    </w:p>
    <w:p w:rsidR="00EB0A54" w:rsidRPr="006B0B81" w:rsidRDefault="00EB0A54" w:rsidP="00EB0A54">
      <w:pPr>
        <w:spacing w:after="0" w:line="20" w:lineRule="atLeast"/>
        <w:jc w:val="both"/>
        <w:rPr>
          <w:rFonts w:cstheme="minorHAnsi"/>
        </w:rPr>
      </w:pPr>
      <w:r w:rsidRPr="006B0B81">
        <w:rPr>
          <w:rFonts w:cstheme="minorHAnsi"/>
        </w:rPr>
        <w:lastRenderedPageBreak/>
        <w:sym w:font="Symbol" w:char="F0B7"/>
      </w:r>
      <w:r w:rsidRPr="006B0B81">
        <w:rPr>
          <w:rFonts w:cstheme="minorHAnsi"/>
        </w:rPr>
        <w:t xml:space="preserve"> </w:t>
      </w:r>
      <w:proofErr w:type="gramStart"/>
      <w:r w:rsidRPr="006B0B81">
        <w:rPr>
          <w:rFonts w:cstheme="minorHAnsi"/>
        </w:rPr>
        <w:t>donne</w:t>
      </w:r>
      <w:proofErr w:type="gramEnd"/>
      <w:r w:rsidRPr="006B0B81">
        <w:rPr>
          <w:rFonts w:cstheme="minorHAnsi"/>
        </w:rPr>
        <w:t xml:space="preserve"> vittime di violenza domestica/familiare; </w:t>
      </w:r>
    </w:p>
    <w:p w:rsidR="00EB0A54" w:rsidRPr="006B0B81" w:rsidRDefault="00EB0A54" w:rsidP="00EB0A54">
      <w:pPr>
        <w:spacing w:after="0" w:line="20" w:lineRule="atLeast"/>
        <w:jc w:val="both"/>
        <w:rPr>
          <w:rFonts w:cstheme="minorHAnsi"/>
        </w:rPr>
      </w:pPr>
      <w:r w:rsidRPr="006B0B81">
        <w:rPr>
          <w:rFonts w:cstheme="minorHAnsi"/>
        </w:rPr>
        <w:sym w:font="Symbol" w:char="F0B7"/>
      </w:r>
      <w:r w:rsidRPr="006B0B81">
        <w:rPr>
          <w:rFonts w:cstheme="minorHAnsi"/>
        </w:rPr>
        <w:t xml:space="preserve"> </w:t>
      </w:r>
      <w:proofErr w:type="gramStart"/>
      <w:r w:rsidRPr="006B0B81">
        <w:rPr>
          <w:rFonts w:cstheme="minorHAnsi"/>
        </w:rPr>
        <w:t>i</w:t>
      </w:r>
      <w:proofErr w:type="gramEnd"/>
      <w:r w:rsidRPr="006B0B81">
        <w:rPr>
          <w:rFonts w:cstheme="minorHAnsi"/>
        </w:rPr>
        <w:t xml:space="preserve"> genitori/coniugi separati che escono dal nucleo familiare; </w:t>
      </w:r>
    </w:p>
    <w:p w:rsidR="00EB0A54" w:rsidRPr="006B0B81" w:rsidRDefault="00EB0A54" w:rsidP="00EB0A54">
      <w:pPr>
        <w:spacing w:after="0" w:line="20" w:lineRule="atLeast"/>
        <w:jc w:val="both"/>
        <w:rPr>
          <w:rFonts w:cstheme="minorHAnsi"/>
        </w:rPr>
      </w:pPr>
      <w:r w:rsidRPr="006B0B81">
        <w:rPr>
          <w:rFonts w:cstheme="minorHAnsi"/>
        </w:rPr>
        <w:sym w:font="Symbol" w:char="F0B7"/>
      </w:r>
      <w:r w:rsidRPr="006B0B81">
        <w:rPr>
          <w:rFonts w:cstheme="minorHAnsi"/>
        </w:rPr>
        <w:t xml:space="preserve"> </w:t>
      </w:r>
      <w:proofErr w:type="gramStart"/>
      <w:r w:rsidRPr="006B0B81">
        <w:rPr>
          <w:rFonts w:cstheme="minorHAnsi"/>
        </w:rPr>
        <w:t>famiglie</w:t>
      </w:r>
      <w:proofErr w:type="gramEnd"/>
      <w:r w:rsidRPr="006B0B81">
        <w:rPr>
          <w:rFonts w:cstheme="minorHAnsi"/>
        </w:rPr>
        <w:t xml:space="preserve"> con un numero di figli minorenni superiori a 4; </w:t>
      </w:r>
    </w:p>
    <w:p w:rsidR="00EB0A54" w:rsidRPr="006B0B81" w:rsidRDefault="00EB0A54" w:rsidP="00EB0A54">
      <w:pPr>
        <w:spacing w:after="0" w:line="20" w:lineRule="atLeast"/>
        <w:jc w:val="both"/>
        <w:rPr>
          <w:rFonts w:cstheme="minorHAnsi"/>
        </w:rPr>
      </w:pPr>
      <w:r w:rsidRPr="006B0B81">
        <w:rPr>
          <w:rFonts w:cstheme="minorHAnsi"/>
        </w:rPr>
        <w:sym w:font="Symbol" w:char="F0B7"/>
      </w:r>
      <w:r w:rsidRPr="006B0B81">
        <w:rPr>
          <w:rFonts w:cstheme="minorHAnsi"/>
        </w:rPr>
        <w:t xml:space="preserve"> </w:t>
      </w:r>
      <w:proofErr w:type="gramStart"/>
      <w:r w:rsidRPr="006B0B81">
        <w:rPr>
          <w:rFonts w:cstheme="minorHAnsi"/>
        </w:rPr>
        <w:t>nuclei</w:t>
      </w:r>
      <w:proofErr w:type="gramEnd"/>
      <w:r w:rsidRPr="006B0B81">
        <w:rPr>
          <w:rFonts w:cstheme="minorHAnsi"/>
        </w:rPr>
        <w:t xml:space="preserve"> famigliari che beneficiano della misura ReI/RdC, quando non possibile intervenire direttamente con i fondi resi disponibili dal PON inclusione, dalla quota servizi del fondo povertà o altre misure correlate; </w:t>
      </w:r>
    </w:p>
    <w:p w:rsidR="00EB0A54" w:rsidRPr="006B0B81" w:rsidRDefault="00EB0A54" w:rsidP="00EB0A54">
      <w:pPr>
        <w:spacing w:after="0" w:line="20" w:lineRule="atLeast"/>
        <w:jc w:val="both"/>
        <w:rPr>
          <w:rFonts w:cstheme="minorHAnsi"/>
        </w:rPr>
      </w:pPr>
      <w:r w:rsidRPr="006B0B81">
        <w:rPr>
          <w:rFonts w:cstheme="minorHAnsi"/>
        </w:rPr>
        <w:sym w:font="Symbol" w:char="F0B7"/>
      </w:r>
      <w:r w:rsidRPr="006B0B81">
        <w:rPr>
          <w:rFonts w:cstheme="minorHAnsi"/>
        </w:rPr>
        <w:t xml:space="preserve"> </w:t>
      </w:r>
      <w:proofErr w:type="gramStart"/>
      <w:r w:rsidRPr="006B0B81">
        <w:rPr>
          <w:rFonts w:cstheme="minorHAnsi"/>
        </w:rPr>
        <w:t>per</w:t>
      </w:r>
      <w:proofErr w:type="gramEnd"/>
      <w:r w:rsidRPr="006B0B81">
        <w:rPr>
          <w:rFonts w:cstheme="minorHAnsi"/>
        </w:rPr>
        <w:t xml:space="preserve"> il R.I.A. di Sostegno: gli anziani oltre i 65 anni di età che versano in situazioni critiche o di difficoltà evidenziati e in carico agli uffici sociali del comune; </w:t>
      </w:r>
    </w:p>
    <w:p w:rsidR="00EB0A54" w:rsidRPr="006B0B81" w:rsidRDefault="00EB0A54" w:rsidP="00EB0A54">
      <w:pPr>
        <w:spacing w:after="0" w:line="20" w:lineRule="atLeast"/>
        <w:jc w:val="both"/>
        <w:rPr>
          <w:rFonts w:cstheme="minorHAnsi"/>
        </w:rPr>
      </w:pPr>
      <w:r w:rsidRPr="006B0B81">
        <w:rPr>
          <w:rFonts w:cstheme="minorHAnsi"/>
        </w:rPr>
        <w:sym w:font="Symbol" w:char="F0B7"/>
      </w:r>
      <w:r w:rsidRPr="006B0B81">
        <w:rPr>
          <w:rFonts w:cstheme="minorHAnsi"/>
        </w:rPr>
        <w:t xml:space="preserve"> </w:t>
      </w:r>
      <w:proofErr w:type="gramStart"/>
      <w:r w:rsidRPr="006B0B81">
        <w:rPr>
          <w:rFonts w:cstheme="minorHAnsi"/>
        </w:rPr>
        <w:t>nuclei</w:t>
      </w:r>
      <w:proofErr w:type="gramEnd"/>
      <w:r w:rsidRPr="006B0B81">
        <w:rPr>
          <w:rFonts w:cstheme="minorHAnsi"/>
        </w:rPr>
        <w:t xml:space="preserve"> famigliari in condizioni di emarginazione e vulnerabilità per motivi diversi da quelli sopra indicati. Descrizione degli obiettivi delle due singole misure, durata e importi: </w:t>
      </w:r>
    </w:p>
    <w:p w:rsidR="00EB0A54" w:rsidRPr="006B0B81" w:rsidRDefault="00EB0A54" w:rsidP="00EB0A54">
      <w:pPr>
        <w:spacing w:after="0" w:line="20" w:lineRule="atLeast"/>
        <w:jc w:val="both"/>
        <w:rPr>
          <w:rFonts w:cstheme="minorHAnsi"/>
        </w:rPr>
      </w:pPr>
      <w:r w:rsidRPr="006B0B81">
        <w:rPr>
          <w:rFonts w:cstheme="minorHAnsi"/>
        </w:rPr>
        <w:t xml:space="preserve">A. R.I.A. di sostegno: è rivolto a persone o famiglie, che si trovino in una situazione di disagio per le quali non sia facilmente prevedibile un’autonomia economica ed un inserimento lavorativo. In questo contesto il progetto individuale mira a favorire la socializzazione o risocializzazione della persona che comunque dimostri la volontà di impegnarsi in un percorso di attivazione. Per questa tipologia di beneficiari si prevede l’erogazione di un contributo economico per un massimo di 6 mesi rinnovabili per ulteriori 6 mesi. Una volta trascorso tale periodo il R.I.A. potrà essere rinnovato soltanto dopo che sia passato un mese di sospensione dalla data di cessazione del godimento dell’ultima prestazione. Il contributo mensile non dovrà superare un importo pari a Euro 400,00. </w:t>
      </w:r>
    </w:p>
    <w:p w:rsidR="00EB0A54" w:rsidRPr="006B0B81" w:rsidRDefault="00EB0A54" w:rsidP="00EB0A54">
      <w:pPr>
        <w:spacing w:after="0" w:line="20" w:lineRule="atLeast"/>
        <w:jc w:val="both"/>
        <w:rPr>
          <w:rFonts w:cstheme="minorHAnsi"/>
        </w:rPr>
      </w:pPr>
      <w:r w:rsidRPr="006B0B81">
        <w:rPr>
          <w:rFonts w:cstheme="minorHAnsi"/>
        </w:rPr>
        <w:t xml:space="preserve">B. R.I.A. di inserimento: è rivolto a persone o famiglie che si trovino in una situazione di disagio e di difficoltà temporanea nell’accesso ad una occupazione sia per cause soggettive che per mancanza di opportunità lavorative adeguate, nonostante la disponibilità e l’impegno nella ricerca oltre alla palese volontà di fronteggiare e superare la fase critica. </w:t>
      </w:r>
    </w:p>
    <w:p w:rsidR="00EB0A54" w:rsidRPr="006B0B81" w:rsidRDefault="00EB0A54" w:rsidP="00EB0A54">
      <w:pPr>
        <w:spacing w:after="0" w:line="20" w:lineRule="atLeast"/>
        <w:jc w:val="both"/>
        <w:rPr>
          <w:rFonts w:cstheme="minorHAnsi"/>
        </w:rPr>
      </w:pPr>
      <w:r w:rsidRPr="006B0B81">
        <w:rPr>
          <w:rFonts w:cstheme="minorHAnsi"/>
        </w:rPr>
        <w:t xml:space="preserve">La finalità è il superamento della situazione di disagio attraverso un progetto personalizzato di attivazione sociale e occupazionale. Per questa tipologia di beneficiari si prevede l’erogazione di un contributo economico della durata massima di 12 mesi, corrispondente alla durata del progetto individualizzato che può comprendere l’orientamento lavorativo con la frequenza a corsi di formazione, il conseguimento di particolari abilitazioni e l’inserimento in un tirocinio lavorativo. L’obiettivo è il superamento di una situazione critica e la condivisione di un progetto che miri all’inserimento o reinserimento lavorativo. </w:t>
      </w:r>
    </w:p>
    <w:p w:rsidR="00EB0A54" w:rsidRPr="006B0B81" w:rsidRDefault="00EB0A54" w:rsidP="00EB0A54">
      <w:pPr>
        <w:spacing w:after="0" w:line="20" w:lineRule="atLeast"/>
        <w:jc w:val="both"/>
        <w:rPr>
          <w:rFonts w:cstheme="minorHAnsi"/>
        </w:rPr>
      </w:pPr>
      <w:r w:rsidRPr="006B0B81">
        <w:rPr>
          <w:rFonts w:cstheme="minorHAnsi"/>
        </w:rPr>
        <w:t xml:space="preserve">Il contributo assegnato al beneficiario può arrivare sino ad un importo massimo mensile pari a Euro 800,00 se comprensivo delle spese di accompagnamento e tutoraggio. </w:t>
      </w:r>
    </w:p>
    <w:p w:rsidR="00EB0A54" w:rsidRPr="006B0B81" w:rsidRDefault="00EB0A54" w:rsidP="00EB0A54">
      <w:pPr>
        <w:spacing w:after="0" w:line="20" w:lineRule="atLeast"/>
        <w:jc w:val="both"/>
        <w:rPr>
          <w:rFonts w:cstheme="minorHAnsi"/>
        </w:rPr>
      </w:pPr>
      <w:r w:rsidRPr="006B0B81">
        <w:rPr>
          <w:rFonts w:cstheme="minorHAnsi"/>
          <w:u w:val="single"/>
        </w:rPr>
        <w:t>Si specifica inoltre che il R.I.A. può essere ripetibile nelle annualità successive previa valutazione positiva da parte del servizio sociale comunale</w:t>
      </w:r>
      <w:r w:rsidRPr="006B0B81">
        <w:rPr>
          <w:rFonts w:cstheme="minorHAnsi"/>
        </w:rPr>
        <w:t xml:space="preserve">, ferma restando la non dipendenza dal contributo straordinario assegnato. </w:t>
      </w:r>
    </w:p>
    <w:p w:rsidR="00EB0A54" w:rsidRPr="006B0B81" w:rsidRDefault="00EB0A54" w:rsidP="00EB0A54">
      <w:pPr>
        <w:spacing w:after="0" w:line="20" w:lineRule="atLeast"/>
        <w:jc w:val="both"/>
        <w:rPr>
          <w:rFonts w:cstheme="minorHAnsi"/>
        </w:rPr>
      </w:pPr>
      <w:r w:rsidRPr="006B0B81">
        <w:rPr>
          <w:rFonts w:cstheme="minorHAnsi"/>
        </w:rPr>
        <w:t xml:space="preserve">Come già poc’anzi evidenziato e dando esecuzione a quanto previsto dal Piano Regionale per il contrasto alla povertà, gli enti competenti nella predisposizione dei progetti personalizzati tengono conto della complementarità del R.I.A con altre misure tra cui il ReI e soprattutto con il RdC e a livello regionale con le misure quali le attività proposte dagli Empori della Solidarietà, il progetto DOM. Veneto, il progetto NAVE per le vittime di tratta e le politiche attive per il lavoro. </w:t>
      </w:r>
    </w:p>
    <w:p w:rsidR="00EB0A54" w:rsidRPr="006B0B81" w:rsidRDefault="00EB0A54" w:rsidP="00EB0A54">
      <w:pPr>
        <w:spacing w:after="0" w:line="20" w:lineRule="atLeast"/>
        <w:jc w:val="both"/>
        <w:rPr>
          <w:rFonts w:cstheme="minorHAnsi"/>
        </w:rPr>
      </w:pPr>
      <w:r w:rsidRPr="006B0B81">
        <w:rPr>
          <w:rFonts w:cstheme="minorHAnsi"/>
        </w:rPr>
        <w:t xml:space="preserve">Tale misura inoltre non costituisce un trattamento di carattere assistenziale e quindi non rientra nel calcolo del reddito familiare in tutti i casi di prestazioni come ad esempio le erogazioni riferite al pagamento di arretrati, le riduzioni nella compartecipazione al costo dei servizi, il pagamento di tributi, le erogazioni a fronte di rendicontazione di spese sostenute ect. </w:t>
      </w:r>
    </w:p>
    <w:p w:rsidR="00EB0A54" w:rsidRPr="006B0B81" w:rsidRDefault="00EB0A54" w:rsidP="00EB0A54">
      <w:pPr>
        <w:spacing w:after="0" w:line="20" w:lineRule="atLeast"/>
        <w:jc w:val="both"/>
        <w:rPr>
          <w:rFonts w:cstheme="minorHAnsi"/>
        </w:rPr>
      </w:pPr>
      <w:r w:rsidRPr="006B0B81">
        <w:rPr>
          <w:rFonts w:cstheme="minorHAnsi"/>
        </w:rPr>
        <w:t xml:space="preserve">Tirocini R.I.A. di inserimento </w:t>
      </w:r>
    </w:p>
    <w:p w:rsidR="00EB0A54" w:rsidRPr="006B0B81" w:rsidRDefault="00EB0A54" w:rsidP="00EB0A54">
      <w:pPr>
        <w:spacing w:after="0" w:line="20" w:lineRule="atLeast"/>
        <w:jc w:val="both"/>
        <w:rPr>
          <w:rFonts w:cstheme="minorHAnsi"/>
        </w:rPr>
      </w:pPr>
      <w:r w:rsidRPr="006B0B81">
        <w:rPr>
          <w:rFonts w:cstheme="minorHAnsi"/>
        </w:rPr>
        <w:t xml:space="preserve">Ai tirocini di inserimento/reinserimento lavorativo, si applicano le disposizioni regionali di cui alla DGR 1816 del 07.11.2017 e sue successive modifiche, disponendo che i soggetti beneficiari del R.I.A. di inserimento rientrino nelle “categorie particolari di persone svantaggiate” di cui al punto 13, art.1 dell’Allegato A della citata deliberazione. </w:t>
      </w:r>
    </w:p>
    <w:p w:rsidR="00EB0A54" w:rsidRPr="006B0B81" w:rsidRDefault="00EB0A54" w:rsidP="00EB0A54">
      <w:pPr>
        <w:spacing w:after="0" w:line="20" w:lineRule="atLeast"/>
        <w:jc w:val="both"/>
        <w:rPr>
          <w:rFonts w:cstheme="minorHAnsi"/>
        </w:rPr>
      </w:pPr>
      <w:r w:rsidRPr="006B0B81">
        <w:rPr>
          <w:rFonts w:cstheme="minorHAnsi"/>
        </w:rPr>
        <w:t xml:space="preserve">A ciò conseguono le seguenti espresse deroghe: </w:t>
      </w:r>
    </w:p>
    <w:p w:rsidR="00EB0A54" w:rsidRPr="006B0B81" w:rsidRDefault="00EB0A54" w:rsidP="00EB0A54">
      <w:pPr>
        <w:spacing w:after="0" w:line="20" w:lineRule="atLeast"/>
        <w:jc w:val="both"/>
        <w:rPr>
          <w:rFonts w:cstheme="minorHAnsi"/>
        </w:rPr>
      </w:pPr>
      <w:r w:rsidRPr="006B0B81">
        <w:rPr>
          <w:rFonts w:cstheme="minorHAnsi"/>
        </w:rPr>
        <w:t xml:space="preserve">- limiti numerici (art.5 comma 6, punto 2 della DGR n. 1816/2017): per i tirocini attivati nell’ambito della presente delibera vanno osservati i seguenti limiti numerici da parte dei soggetti ospitanti: </w:t>
      </w:r>
    </w:p>
    <w:p w:rsidR="00EB0A54" w:rsidRPr="006B0B81" w:rsidRDefault="00EB0A54" w:rsidP="00EB0A54">
      <w:pPr>
        <w:spacing w:after="0" w:line="20" w:lineRule="atLeast"/>
        <w:jc w:val="both"/>
        <w:rPr>
          <w:rFonts w:cstheme="minorHAnsi"/>
        </w:rPr>
      </w:pPr>
      <w:r w:rsidRPr="006B0B81">
        <w:rPr>
          <w:rFonts w:cstheme="minorHAnsi"/>
        </w:rPr>
        <w:t xml:space="preserve">- liberi professionisti e piccoli imprenditori senza dipendenti: 1 tirocinante + 1 tirocinante R.I.A.; - da 1 a 5 dipendenti 1 tirocinante + 1 tirocinante R.I.A.; - da 6 a 20 dipendenti 2 tirocinanti +2 tirocinanti R.I.A.; - da 21 dipendenti ed oltre, 10% tirocinanti + 10% tirocinanti R.I.A.; - durata (art.7, comma 2, lettera b della DGR n. </w:t>
      </w:r>
      <w:r w:rsidRPr="006B0B81">
        <w:rPr>
          <w:rFonts w:cstheme="minorHAnsi"/>
        </w:rPr>
        <w:lastRenderedPageBreak/>
        <w:t>1816/2017): fino a 9 mesi - ripetibilità (art. 8 della DGR 1816/2017): si deroga al limite della ripetibilità di cui all’art. 8 della DGR n. 1816/2017; - progetto formativo (art.12, comma 5 della DGR 1816/2017): è consentita l’attivazione di tirocini che prevedano lo svolgimento di attività elementari e connotate da compiti generici; - indennità di partecipazione: (art. 14, comma 9 della DGR n. 1816/2017) è consentito derogare all’obbligo di corresponsione dell’indennità prevista dalla norma regionale, quando il tirocinio rientri all’interno del periodo in cui si sviluppa il progetto personalizzato, per il quale è già assicurata l’erogazione del contributo economico previsto per il R.I.A. di inserimento.</w:t>
      </w:r>
    </w:p>
    <w:p w:rsidR="00EB0A54" w:rsidRPr="006B0B81" w:rsidRDefault="00EB0A54" w:rsidP="00EB0A54">
      <w:pPr>
        <w:spacing w:after="0" w:line="20" w:lineRule="atLeast"/>
        <w:jc w:val="both"/>
        <w:rPr>
          <w:rFonts w:cstheme="minorHAnsi"/>
        </w:rPr>
      </w:pPr>
    </w:p>
    <w:p w:rsidR="00EB0A54" w:rsidRPr="00CA7E42" w:rsidRDefault="00EB0A54" w:rsidP="00EB0A54">
      <w:pPr>
        <w:spacing w:after="0" w:line="20" w:lineRule="atLeast"/>
        <w:jc w:val="both"/>
        <w:rPr>
          <w:rFonts w:cstheme="minorHAnsi"/>
          <w:b/>
        </w:rPr>
      </w:pPr>
      <w:r w:rsidRPr="00CA7E42">
        <w:rPr>
          <w:rFonts w:cstheme="minorHAnsi"/>
          <w:b/>
        </w:rPr>
        <w:t xml:space="preserve">Obiettivi e Destinatari dell’intervento Sostegno all’Abitare - SoA </w:t>
      </w:r>
    </w:p>
    <w:p w:rsidR="00EB0A54" w:rsidRDefault="00EB0A54" w:rsidP="00EB0A54">
      <w:pPr>
        <w:spacing w:after="0" w:line="20" w:lineRule="atLeast"/>
        <w:jc w:val="both"/>
        <w:rPr>
          <w:rFonts w:cstheme="minorHAnsi"/>
        </w:rPr>
      </w:pPr>
      <w:r w:rsidRPr="006B0B81">
        <w:rPr>
          <w:rFonts w:cstheme="minorHAnsi"/>
        </w:rPr>
        <w:t>Premessa</w:t>
      </w:r>
    </w:p>
    <w:p w:rsidR="00EB0A54" w:rsidRPr="006B0B81" w:rsidRDefault="00EB0A54" w:rsidP="00EB0A54">
      <w:pPr>
        <w:spacing w:after="0" w:line="20" w:lineRule="atLeast"/>
        <w:jc w:val="both"/>
        <w:rPr>
          <w:rFonts w:cstheme="minorHAnsi"/>
        </w:rPr>
      </w:pPr>
      <w:r w:rsidRPr="006B0B81">
        <w:rPr>
          <w:rFonts w:cstheme="minorHAnsi"/>
        </w:rPr>
        <w:t xml:space="preserve"> Il Sostegno all’Abitare (SoA) si pone una duplice finalità: da un lato sostenere le amministrazioni comunali che già fanno fronte con proprie risorse alle problematiche legate alla casa (dall’affitto ai mutui, alla spesa per le bollette), e dall’altro offrire la possibilità di avere un sostegno utile a prevenire l’instaurarsi di una crisi abitativa/situazione problematica tale da tradursi nell’attivazione di procedimenti giudiziari. Questa misura intende pertanto implementare il principio dell’empowerment della persona e delle istituzioni al fine di attivare e diffondere modelli di welfare sostenibili e generativi con cui mettere in moto e in circolo le risorse già presenti. </w:t>
      </w:r>
    </w:p>
    <w:p w:rsidR="00EB0A54" w:rsidRPr="006B0B81" w:rsidRDefault="00EB0A54" w:rsidP="00EB0A54">
      <w:pPr>
        <w:spacing w:after="0" w:line="20" w:lineRule="atLeast"/>
        <w:jc w:val="both"/>
        <w:rPr>
          <w:rFonts w:cstheme="minorHAnsi"/>
        </w:rPr>
      </w:pPr>
      <w:r w:rsidRPr="006B0B81">
        <w:rPr>
          <w:rFonts w:cstheme="minorHAnsi"/>
        </w:rPr>
        <w:t xml:space="preserve">Questo intervento è rivolto a persone e famiglie socialmente deboli in carico ai servizi sociali, che diventa parte integrante della misura R.I.A. in quanto componente di un approccio multidimensionale che fa riferimento alla situazione della persona nella sua interezza. La finalità è il superamento della crisi abitativa e il rafforzamento socio-economico dei beneficiari. </w:t>
      </w:r>
    </w:p>
    <w:p w:rsidR="00EB0A54" w:rsidRPr="006B0B81" w:rsidRDefault="00EB0A54" w:rsidP="00EB0A54">
      <w:pPr>
        <w:spacing w:after="0" w:line="20" w:lineRule="atLeast"/>
        <w:jc w:val="both"/>
        <w:rPr>
          <w:rFonts w:cstheme="minorHAnsi"/>
        </w:rPr>
      </w:pPr>
      <w:r w:rsidRPr="006B0B81">
        <w:rPr>
          <w:rFonts w:cstheme="minorHAnsi"/>
        </w:rPr>
        <w:t>Obiettivi: Gli obiettivi dell’iniziativa sono così riassumibili:</w:t>
      </w:r>
    </w:p>
    <w:p w:rsidR="00EB0A54" w:rsidRPr="006B0B81" w:rsidRDefault="00EB0A54" w:rsidP="00EB0A54">
      <w:pPr>
        <w:spacing w:after="0" w:line="20" w:lineRule="atLeast"/>
        <w:jc w:val="both"/>
        <w:rPr>
          <w:rFonts w:cstheme="minorHAnsi"/>
        </w:rPr>
      </w:pPr>
      <w:r w:rsidRPr="006B0B81">
        <w:rPr>
          <w:rFonts w:cstheme="minorHAnsi"/>
        </w:rPr>
        <w:t xml:space="preserve"> - attivare e sperimentare collaborazioni tra diversi soggetti, pubblici e privati, enti del Terzo Settore e reti informali, utilizzando le competenze proprie e di ciascun soggetto coinvolto, in modo da sostenere le persone/i cittadini nel fronteggiare situazioni critiche come per esempio quelle derivanti da una precarietà abitativa, restituendo alle stesse la dignità e la sicurezza ad una casa- ambiente familiare altrimenti preclusa; - promuovere percorsi di sostegno e di attivazione nella risoluzione di problematiche legate all’abitare, al mantenimento e/o reperimento di un alloggio - dovute a temporanea crisi lavorativa, o a situazioni di altro genere, che precludano la possibilità per persone o famiglie di sostenere i costi/le spese relative all’abitare (ad esempio: affiancamento di personale socio-educativo per l’accompagnamento alla ricerca di alloggio, sostegno per l’accesso all’edilizia residenziale pubblica, orientamento alle politiche attive per il lavoro, formazione per la gestione del budget familiare, educazione al risparmio, eventuale accesso a servizi specialistici nel caso di dipendenze anche dal gioco d’azzardo patologico, ecc.);</w:t>
      </w:r>
    </w:p>
    <w:p w:rsidR="00EB0A54" w:rsidRPr="006B0B81" w:rsidRDefault="00EB0A54" w:rsidP="00EB0A54">
      <w:pPr>
        <w:spacing w:after="0" w:line="20" w:lineRule="atLeast"/>
        <w:jc w:val="both"/>
        <w:rPr>
          <w:rFonts w:cstheme="minorHAnsi"/>
        </w:rPr>
      </w:pPr>
      <w:r w:rsidRPr="006B0B81">
        <w:rPr>
          <w:rFonts w:cstheme="minorHAnsi"/>
        </w:rPr>
        <w:t xml:space="preserve"> - sperimentare azioni ed interventi in una logica di prevenzione per evitare il rischio che una situazione di difficoltà temporanea, economica o di altro tipo, possa tradursi nella perdita dell’abitazione o in altre situazioni simili/affini a rischio, come ad esempio una procedura di sfratto, morosità o vendita all’asta. Essi consentiranno, concretamente, il superamento delle difficoltà nel sostenere le spese più sotto elencate nel presente allegato. </w:t>
      </w:r>
    </w:p>
    <w:p w:rsidR="00EB0A54" w:rsidRPr="006B0B81" w:rsidRDefault="00EB0A54" w:rsidP="00EB0A54">
      <w:pPr>
        <w:spacing w:after="0" w:line="20" w:lineRule="atLeast"/>
        <w:jc w:val="both"/>
        <w:rPr>
          <w:rFonts w:cstheme="minorHAnsi"/>
        </w:rPr>
      </w:pPr>
      <w:r w:rsidRPr="006B0B81">
        <w:rPr>
          <w:rFonts w:cstheme="minorHAnsi"/>
        </w:rPr>
        <w:t>Destinatari dell’intervento:</w:t>
      </w:r>
    </w:p>
    <w:p w:rsidR="00EB0A54" w:rsidRPr="006B0B81" w:rsidRDefault="00EB0A54" w:rsidP="00EB0A54">
      <w:pPr>
        <w:spacing w:after="0" w:line="20" w:lineRule="atLeast"/>
        <w:jc w:val="both"/>
        <w:rPr>
          <w:rFonts w:cstheme="minorHAnsi"/>
        </w:rPr>
      </w:pPr>
      <w:r w:rsidRPr="006B0B81">
        <w:rPr>
          <w:rFonts w:cstheme="minorHAnsi"/>
        </w:rPr>
        <w:t xml:space="preserve">I destinatari finali sono persone e famiglie in condizioni di fragilità socio-economica in carico ai servizi sociali comunali e per i quali sia già attivo o in corso di attivazione un progetto personalizzato R.I.A. la cui adesione è condizione essenziale per la ricezione del contributo economico. </w:t>
      </w:r>
    </w:p>
    <w:p w:rsidR="00EB0A54" w:rsidRPr="006B0B81" w:rsidRDefault="00EB0A54" w:rsidP="00EB0A54">
      <w:pPr>
        <w:spacing w:after="0" w:line="20" w:lineRule="atLeast"/>
        <w:jc w:val="both"/>
        <w:rPr>
          <w:rFonts w:cstheme="minorHAnsi"/>
        </w:rPr>
      </w:pPr>
      <w:r w:rsidRPr="006B0B81">
        <w:rPr>
          <w:rFonts w:cstheme="minorHAnsi"/>
        </w:rPr>
        <w:t>Il SoA diventa dunque una misura complementare che va a integrare una progettualità in corso o da attivare. Competente ad attivare il SoA è il Comune che ha in carico la persona o la famiglia.</w:t>
      </w:r>
    </w:p>
    <w:p w:rsidR="00EB0A54" w:rsidRPr="006B0B81" w:rsidRDefault="00EB0A54" w:rsidP="00EB0A54">
      <w:pPr>
        <w:spacing w:after="0" w:line="20" w:lineRule="atLeast"/>
        <w:jc w:val="both"/>
        <w:rPr>
          <w:rFonts w:cstheme="minorHAnsi"/>
        </w:rPr>
      </w:pPr>
      <w:r w:rsidRPr="006B0B81">
        <w:rPr>
          <w:rFonts w:cstheme="minorHAnsi"/>
        </w:rPr>
        <w:t xml:space="preserve"> Criteri generali di accesso: i criteri generali di accesso si fa riferimento all’Allegato A (criteri generali di accesso del R.I.A). </w:t>
      </w:r>
    </w:p>
    <w:p w:rsidR="00EB0A54" w:rsidRPr="006B0B81" w:rsidRDefault="00EB0A54" w:rsidP="00EB0A54">
      <w:pPr>
        <w:spacing w:after="0" w:line="20" w:lineRule="atLeast"/>
        <w:jc w:val="both"/>
        <w:rPr>
          <w:rFonts w:cstheme="minorHAnsi"/>
        </w:rPr>
      </w:pPr>
      <w:r w:rsidRPr="006B0B81">
        <w:rPr>
          <w:rFonts w:cstheme="minorHAnsi"/>
        </w:rPr>
        <w:t xml:space="preserve">Tipologie di interventi ammissibili a contributo: </w:t>
      </w:r>
    </w:p>
    <w:p w:rsidR="00EB0A54" w:rsidRPr="006B0B81" w:rsidRDefault="00EB0A54" w:rsidP="00EB0A54">
      <w:pPr>
        <w:spacing w:after="0" w:line="20" w:lineRule="atLeast"/>
        <w:jc w:val="both"/>
        <w:rPr>
          <w:rFonts w:cstheme="minorHAnsi"/>
        </w:rPr>
      </w:pPr>
      <w:r w:rsidRPr="006B0B81">
        <w:rPr>
          <w:rFonts w:cstheme="minorHAnsi"/>
        </w:rPr>
        <w:t xml:space="preserve">- situazioni di morosità nel pagamento del canone di locazione (almeno due mensilità arretrate), riferite ad alloggi privati ma anche di edilizia residenziale pubblica, che non abbiano ancora dato esito all’avvio di una procedura di sfratto giudiziario; </w:t>
      </w:r>
    </w:p>
    <w:p w:rsidR="00EB0A54" w:rsidRPr="006B0B81" w:rsidRDefault="00EB0A54" w:rsidP="00EB0A54">
      <w:pPr>
        <w:spacing w:after="0" w:line="20" w:lineRule="atLeast"/>
        <w:jc w:val="both"/>
        <w:rPr>
          <w:rFonts w:cstheme="minorHAnsi"/>
        </w:rPr>
      </w:pPr>
      <w:r w:rsidRPr="006B0B81">
        <w:rPr>
          <w:rFonts w:cstheme="minorHAnsi"/>
        </w:rPr>
        <w:t>- situazioni di nuclei proprietari di alloggio, gravato da mutuo, che documentino di non averne onorato il pagamento da almeno due mensilità. Nel caso di perdita di lavoro, la causa deve essere involontaria;</w:t>
      </w:r>
    </w:p>
    <w:p w:rsidR="00EB0A54" w:rsidRPr="006B0B81" w:rsidRDefault="00EB0A54" w:rsidP="00EB0A54">
      <w:pPr>
        <w:spacing w:after="0" w:line="20" w:lineRule="atLeast"/>
        <w:jc w:val="both"/>
        <w:rPr>
          <w:rFonts w:cstheme="minorHAnsi"/>
        </w:rPr>
      </w:pPr>
      <w:r w:rsidRPr="006B0B81">
        <w:rPr>
          <w:rFonts w:cstheme="minorHAnsi"/>
        </w:rPr>
        <w:lastRenderedPageBreak/>
        <w:t xml:space="preserve"> - situazioni in cui viene documentato un arretrato delle spese condominiali, sia per edilizia privata sia per edilizia pubblica </w:t>
      </w:r>
      <w:proofErr w:type="gramStart"/>
      <w:r w:rsidRPr="006B0B81">
        <w:rPr>
          <w:rFonts w:cstheme="minorHAnsi"/>
        </w:rPr>
        <w:t>( L.</w:t>
      </w:r>
      <w:proofErr w:type="gramEnd"/>
      <w:r w:rsidRPr="006B0B81">
        <w:rPr>
          <w:rFonts w:cstheme="minorHAnsi"/>
        </w:rPr>
        <w:t xml:space="preserve"> n. 431/1998 e L.R. n. 39/2017), che producono atto di sollecito da parte dell’amministratore; </w:t>
      </w:r>
    </w:p>
    <w:p w:rsidR="00EB0A54" w:rsidRPr="006B0B81" w:rsidRDefault="00EB0A54" w:rsidP="00EB0A54">
      <w:pPr>
        <w:spacing w:after="0" w:line="20" w:lineRule="atLeast"/>
        <w:jc w:val="both"/>
        <w:rPr>
          <w:rFonts w:cstheme="minorHAnsi"/>
        </w:rPr>
      </w:pPr>
      <w:r w:rsidRPr="006B0B81">
        <w:rPr>
          <w:rFonts w:cstheme="minorHAnsi"/>
        </w:rPr>
        <w:t>- sostegno nel pagamento di depositi cauzionali per nuovi alloggi anche a titolo di rimborso a fronte di rendicontazione;</w:t>
      </w:r>
    </w:p>
    <w:p w:rsidR="00EB0A54" w:rsidRPr="006B0B81" w:rsidRDefault="00EB0A54" w:rsidP="00EB0A54">
      <w:pPr>
        <w:spacing w:after="0" w:line="20" w:lineRule="atLeast"/>
        <w:jc w:val="both"/>
        <w:rPr>
          <w:rFonts w:cstheme="minorHAnsi"/>
        </w:rPr>
      </w:pPr>
      <w:r w:rsidRPr="006B0B81">
        <w:rPr>
          <w:rFonts w:cstheme="minorHAnsi"/>
        </w:rPr>
        <w:t xml:space="preserve"> - sostegno nel rimborso di spese sostenute per affitto/mutuo/spese condominiali a fronte di rendicontazione; - anticipo di 1 mensilità di affitto/mutuo/spese condominiali. </w:t>
      </w:r>
    </w:p>
    <w:p w:rsidR="00EB0A54" w:rsidRPr="006B0B81" w:rsidRDefault="00EB0A54" w:rsidP="00EB0A54">
      <w:pPr>
        <w:spacing w:after="0" w:line="20" w:lineRule="atLeast"/>
        <w:jc w:val="both"/>
        <w:rPr>
          <w:rFonts w:cstheme="minorHAnsi"/>
        </w:rPr>
      </w:pPr>
      <w:r w:rsidRPr="006B0B81">
        <w:rPr>
          <w:rFonts w:cstheme="minorHAnsi"/>
        </w:rPr>
        <w:t>Tutte le situazioni su elencate vanno comprovate/documentate. Per quanto riguarda la specifica dei trattamenti assistenziali che non determinano il reddito familiare si rimanda all’Allegato A (criteri generali di accesso del R.I.A). Importo massimo e modalità di erogazione del contributo: Per ogni utente/nucleo famigliare è previsto un contributo massimo pari a Euro 2.500,00 che può essere erogato in un’unica soluzione o a tranche mensili, nelle modalità concordate all’interno del progetto personalizzato R.I.A.</w:t>
      </w:r>
    </w:p>
    <w:p w:rsidR="00EB0A54" w:rsidRPr="006B0B81" w:rsidRDefault="00EB0A54" w:rsidP="00EB0A54">
      <w:pPr>
        <w:spacing w:after="0" w:line="20" w:lineRule="atLeast"/>
        <w:jc w:val="both"/>
        <w:rPr>
          <w:rFonts w:cstheme="minorHAnsi"/>
        </w:rPr>
      </w:pPr>
    </w:p>
    <w:p w:rsidR="00EB0A54" w:rsidRPr="00CA7E42" w:rsidRDefault="00EB0A54" w:rsidP="00EB0A54">
      <w:pPr>
        <w:spacing w:after="0" w:line="20" w:lineRule="atLeast"/>
        <w:jc w:val="both"/>
        <w:rPr>
          <w:rFonts w:cstheme="minorHAnsi"/>
          <w:b/>
        </w:rPr>
      </w:pPr>
      <w:r w:rsidRPr="00CA7E42">
        <w:rPr>
          <w:rFonts w:cstheme="minorHAnsi"/>
          <w:b/>
        </w:rPr>
        <w:t xml:space="preserve">Obiettivi e Destinatari del progetto Povertà Educativa (PE) </w:t>
      </w:r>
    </w:p>
    <w:p w:rsidR="00EB0A54" w:rsidRPr="006B0B81" w:rsidRDefault="00EB0A54" w:rsidP="00EB0A54">
      <w:pPr>
        <w:spacing w:after="0" w:line="20" w:lineRule="atLeast"/>
        <w:jc w:val="both"/>
        <w:rPr>
          <w:rFonts w:cstheme="minorHAnsi"/>
        </w:rPr>
      </w:pPr>
      <w:r w:rsidRPr="006B0B81">
        <w:rPr>
          <w:rFonts w:cstheme="minorHAnsi"/>
        </w:rPr>
        <w:t xml:space="preserve">Obiettivi </w:t>
      </w:r>
    </w:p>
    <w:p w:rsidR="00EB0A54" w:rsidRPr="006B0B81" w:rsidRDefault="00EB0A54" w:rsidP="00EB0A54">
      <w:pPr>
        <w:spacing w:after="0" w:line="20" w:lineRule="atLeast"/>
        <w:jc w:val="both"/>
        <w:rPr>
          <w:rFonts w:cstheme="minorHAnsi"/>
        </w:rPr>
      </w:pPr>
      <w:r w:rsidRPr="006B0B81">
        <w:rPr>
          <w:rFonts w:cstheme="minorHAnsi"/>
        </w:rPr>
        <w:t xml:space="preserve">Gli obiettivi dell’iniziativa sono così riassumibili: </w:t>
      </w:r>
    </w:p>
    <w:p w:rsidR="00EB0A54" w:rsidRPr="006B0B81" w:rsidRDefault="00EB0A54" w:rsidP="00EB0A54">
      <w:pPr>
        <w:spacing w:after="0" w:line="20" w:lineRule="atLeast"/>
        <w:jc w:val="both"/>
        <w:rPr>
          <w:rFonts w:cstheme="minorHAnsi"/>
        </w:rPr>
      </w:pPr>
      <w:r w:rsidRPr="006B0B81">
        <w:rPr>
          <w:rFonts w:cstheme="minorHAnsi"/>
        </w:rPr>
        <w:t xml:space="preserve">1. favorire la realizzazione di attività e/o la sperimentazione di servizi/interventi che, al contempo, concorrano a creare un contesto di crescita positivo e prevengano/contrastino difficoltà che impediscono il pieno sviluppo e benessere dei minori; </w:t>
      </w:r>
    </w:p>
    <w:p w:rsidR="00EB0A54" w:rsidRPr="006B0B81" w:rsidRDefault="00EB0A54" w:rsidP="00EB0A54">
      <w:pPr>
        <w:spacing w:after="0" w:line="20" w:lineRule="atLeast"/>
        <w:jc w:val="both"/>
        <w:rPr>
          <w:rFonts w:cstheme="minorHAnsi"/>
        </w:rPr>
      </w:pPr>
      <w:r w:rsidRPr="006B0B81">
        <w:rPr>
          <w:rFonts w:cstheme="minorHAnsi"/>
        </w:rPr>
        <w:t xml:space="preserve">2. stimolare l’attivazione del nucleo familiare e garantire un sostegno/accompagnamento alla genitorialità; 3. </w:t>
      </w:r>
      <w:proofErr w:type="gramStart"/>
      <w:r w:rsidRPr="006B0B81">
        <w:rPr>
          <w:rFonts w:cstheme="minorHAnsi"/>
        </w:rPr>
        <w:t>potenziare</w:t>
      </w:r>
      <w:proofErr w:type="gramEnd"/>
      <w:r w:rsidRPr="006B0B81">
        <w:rPr>
          <w:rFonts w:cstheme="minorHAnsi"/>
        </w:rPr>
        <w:t xml:space="preserve"> e/o sperimentare collaborazioni tra diversi soggetti, pubblici e privati, enti del Terzo Settore e reti informali, utilizzando le competenze di ciascun soggetto coinvolto, in modo da offrire attività/interventi funzionali alla crescita dei bambini e delle bambine nel contesto della comunità locale; </w:t>
      </w:r>
    </w:p>
    <w:p w:rsidR="00EB0A54" w:rsidRPr="006B0B81" w:rsidRDefault="00EB0A54" w:rsidP="00EB0A54">
      <w:pPr>
        <w:spacing w:after="0" w:line="20" w:lineRule="atLeast"/>
        <w:jc w:val="both"/>
        <w:rPr>
          <w:rFonts w:cstheme="minorHAnsi"/>
        </w:rPr>
      </w:pPr>
      <w:r w:rsidRPr="006B0B81">
        <w:rPr>
          <w:rFonts w:cstheme="minorHAnsi"/>
        </w:rPr>
        <w:t xml:space="preserve">4. favorire lo sviluppo della cooperazione all’interno dell’Ambito territoriale. </w:t>
      </w:r>
    </w:p>
    <w:p w:rsidR="00EB0A54" w:rsidRPr="006B0B81" w:rsidRDefault="00EB0A54" w:rsidP="00EB0A54">
      <w:pPr>
        <w:spacing w:after="0" w:line="20" w:lineRule="atLeast"/>
        <w:jc w:val="both"/>
        <w:rPr>
          <w:rFonts w:cstheme="minorHAnsi"/>
        </w:rPr>
      </w:pPr>
      <w:r w:rsidRPr="006B0B81">
        <w:rPr>
          <w:rFonts w:cstheme="minorHAnsi"/>
        </w:rPr>
        <w:t xml:space="preserve">Criteri generali di accesso: </w:t>
      </w:r>
    </w:p>
    <w:p w:rsidR="00EB0A54" w:rsidRPr="006B0B81" w:rsidRDefault="00EB0A54" w:rsidP="00EB0A54">
      <w:pPr>
        <w:spacing w:after="0" w:line="20" w:lineRule="atLeast"/>
        <w:jc w:val="both"/>
        <w:rPr>
          <w:rFonts w:cstheme="minorHAnsi"/>
        </w:rPr>
      </w:pPr>
      <w:r w:rsidRPr="006B0B81">
        <w:rPr>
          <w:rFonts w:cstheme="minorHAnsi"/>
        </w:rPr>
        <w:sym w:font="Symbol" w:char="F0B7"/>
      </w:r>
      <w:r w:rsidRPr="006B0B81">
        <w:rPr>
          <w:rFonts w:cstheme="minorHAnsi"/>
        </w:rPr>
        <w:t xml:space="preserve"> I nuclei familiari beneficiari del contributo devono avere al loro interno bambini e bambine di età compresa fra i 3 e gli 11 anni che fanno parte di nuclei familiari vulnerabili in carico ai servizi sociali comunali </w:t>
      </w:r>
    </w:p>
    <w:p w:rsidR="00EB0A54" w:rsidRPr="006B0B81" w:rsidRDefault="00EB0A54" w:rsidP="00EB0A54">
      <w:pPr>
        <w:spacing w:after="0" w:line="20" w:lineRule="atLeast"/>
        <w:jc w:val="both"/>
        <w:rPr>
          <w:rFonts w:cstheme="minorHAnsi"/>
        </w:rPr>
      </w:pPr>
      <w:r w:rsidRPr="006B0B81">
        <w:rPr>
          <w:rFonts w:cstheme="minorHAnsi"/>
        </w:rPr>
        <w:sym w:font="Symbol" w:char="F0B7"/>
      </w:r>
      <w:r w:rsidRPr="006B0B81">
        <w:rPr>
          <w:rFonts w:cstheme="minorHAnsi"/>
        </w:rPr>
        <w:t xml:space="preserve"> </w:t>
      </w:r>
      <w:proofErr w:type="gramStart"/>
      <w:r w:rsidRPr="006B0B81">
        <w:rPr>
          <w:rFonts w:cstheme="minorHAnsi"/>
        </w:rPr>
        <w:t>aderire</w:t>
      </w:r>
      <w:proofErr w:type="gramEnd"/>
      <w:r w:rsidRPr="006B0B81">
        <w:rPr>
          <w:rFonts w:cstheme="minorHAnsi"/>
        </w:rPr>
        <w:t xml:space="preserve"> a un progetto di attivazione sociale e/o lavorativa (R.I.A.).</w:t>
      </w:r>
    </w:p>
    <w:p w:rsidR="00EB0A54" w:rsidRPr="006B0B81" w:rsidRDefault="00EB0A54" w:rsidP="00EB0A54">
      <w:pPr>
        <w:spacing w:after="0" w:line="20" w:lineRule="atLeast"/>
        <w:jc w:val="both"/>
        <w:rPr>
          <w:rFonts w:cstheme="minorHAnsi"/>
        </w:rPr>
      </w:pPr>
      <w:r w:rsidRPr="006B0B81">
        <w:rPr>
          <w:rFonts w:cstheme="minorHAnsi"/>
        </w:rPr>
        <w:t xml:space="preserve"> Interventi ammissibili </w:t>
      </w:r>
    </w:p>
    <w:p w:rsidR="00EB0A54" w:rsidRPr="006B0B81" w:rsidRDefault="00EB0A54" w:rsidP="00EB0A54">
      <w:pPr>
        <w:spacing w:after="0" w:line="20" w:lineRule="atLeast"/>
        <w:jc w:val="both"/>
        <w:rPr>
          <w:rFonts w:cstheme="minorHAnsi"/>
        </w:rPr>
      </w:pPr>
      <w:r w:rsidRPr="006B0B81">
        <w:rPr>
          <w:rFonts w:cstheme="minorHAnsi"/>
        </w:rPr>
        <w:t xml:space="preserve">Gli Ambiti potranno scegliere tra due tipologie di interventi: </w:t>
      </w:r>
    </w:p>
    <w:p w:rsidR="00EB0A54" w:rsidRPr="006B0B81" w:rsidRDefault="00EB0A54" w:rsidP="00EB0A54">
      <w:pPr>
        <w:spacing w:after="0" w:line="20" w:lineRule="atLeast"/>
        <w:jc w:val="both"/>
        <w:rPr>
          <w:rFonts w:cstheme="minorHAnsi"/>
        </w:rPr>
      </w:pPr>
      <w:r w:rsidRPr="006B0B81">
        <w:rPr>
          <w:rFonts w:cstheme="minorHAnsi"/>
        </w:rPr>
        <w:t xml:space="preserve">1. Interventi specifici rivolti a minori che vivono in famiglie in condizioni di fragilità e già in carico ai servizi sociali. </w:t>
      </w:r>
    </w:p>
    <w:p w:rsidR="00EB0A54" w:rsidRPr="006B0B81" w:rsidRDefault="00EB0A54" w:rsidP="00EB0A54">
      <w:pPr>
        <w:spacing w:after="0" w:line="20" w:lineRule="atLeast"/>
        <w:jc w:val="both"/>
        <w:rPr>
          <w:rFonts w:cstheme="minorHAnsi"/>
        </w:rPr>
      </w:pPr>
      <w:r w:rsidRPr="006B0B81">
        <w:rPr>
          <w:rFonts w:cstheme="minorHAnsi"/>
        </w:rPr>
        <w:t xml:space="preserve">Nel progetto di attivazione che interessa questi nuclei, verranno inserite una o più attività di cui potranno beneficiare i minori nella fascia 3-11 anni scelte assieme ai familiari. </w:t>
      </w:r>
    </w:p>
    <w:p w:rsidR="00EB0A54" w:rsidRPr="006B0B81" w:rsidRDefault="00EB0A54" w:rsidP="00EB0A54">
      <w:pPr>
        <w:spacing w:after="0" w:line="20" w:lineRule="atLeast"/>
        <w:jc w:val="both"/>
        <w:rPr>
          <w:rFonts w:cstheme="minorHAnsi"/>
        </w:rPr>
      </w:pPr>
      <w:r w:rsidRPr="006B0B81">
        <w:rPr>
          <w:rFonts w:cstheme="minorHAnsi"/>
        </w:rPr>
        <w:t xml:space="preserve">A titolo esemplificativo qui di seguito alcuni tipi di attività tra cui </w:t>
      </w:r>
      <w:proofErr w:type="gramStart"/>
      <w:r w:rsidRPr="006B0B81">
        <w:rPr>
          <w:rFonts w:cstheme="minorHAnsi"/>
        </w:rPr>
        <w:t xml:space="preserve">scegliere: </w:t>
      </w:r>
      <w:r w:rsidRPr="006B0B81">
        <w:rPr>
          <w:rFonts w:cstheme="minorHAnsi"/>
        </w:rPr>
        <w:sym w:font="Symbol" w:char="F02D"/>
      </w:r>
      <w:r w:rsidRPr="006B0B81">
        <w:rPr>
          <w:rFonts w:cstheme="minorHAnsi"/>
        </w:rPr>
        <w:t xml:space="preserve"> Ludoteca</w:t>
      </w:r>
      <w:proofErr w:type="gramEnd"/>
      <w:r w:rsidRPr="006B0B81">
        <w:rPr>
          <w:rFonts w:cstheme="minorHAnsi"/>
        </w:rPr>
        <w:t xml:space="preserve">; </w:t>
      </w:r>
      <w:r w:rsidRPr="006B0B81">
        <w:rPr>
          <w:rFonts w:cstheme="minorHAnsi"/>
        </w:rPr>
        <w:sym w:font="Symbol" w:char="F02D"/>
      </w:r>
      <w:r w:rsidRPr="006B0B81">
        <w:rPr>
          <w:rFonts w:cstheme="minorHAnsi"/>
        </w:rPr>
        <w:t xml:space="preserve"> Anticipo/posticipo scolastico; </w:t>
      </w:r>
      <w:r w:rsidRPr="006B0B81">
        <w:rPr>
          <w:rFonts w:cstheme="minorHAnsi"/>
        </w:rPr>
        <w:sym w:font="Symbol" w:char="F02D"/>
      </w:r>
      <w:r w:rsidRPr="006B0B81">
        <w:rPr>
          <w:rFonts w:cstheme="minorHAnsi"/>
        </w:rPr>
        <w:t xml:space="preserve"> Gite scolastiche; </w:t>
      </w:r>
      <w:r w:rsidRPr="006B0B81">
        <w:rPr>
          <w:rFonts w:cstheme="minorHAnsi"/>
        </w:rPr>
        <w:sym w:font="Symbol" w:char="F02D"/>
      </w:r>
      <w:r w:rsidRPr="006B0B81">
        <w:rPr>
          <w:rFonts w:cstheme="minorHAnsi"/>
        </w:rPr>
        <w:t xml:space="preserve"> Centri estivi; </w:t>
      </w:r>
      <w:r w:rsidRPr="006B0B81">
        <w:rPr>
          <w:rFonts w:cstheme="minorHAnsi"/>
        </w:rPr>
        <w:sym w:font="Symbol" w:char="F02D"/>
      </w:r>
      <w:r w:rsidRPr="006B0B81">
        <w:rPr>
          <w:rFonts w:cstheme="minorHAnsi"/>
        </w:rPr>
        <w:t xml:space="preserve"> Dopo-scuola; </w:t>
      </w:r>
      <w:r w:rsidRPr="006B0B81">
        <w:rPr>
          <w:rFonts w:cstheme="minorHAnsi"/>
        </w:rPr>
        <w:sym w:font="Symbol" w:char="F02D"/>
      </w:r>
      <w:r w:rsidRPr="006B0B81">
        <w:rPr>
          <w:rFonts w:cstheme="minorHAnsi"/>
        </w:rPr>
        <w:t xml:space="preserve"> Sport; </w:t>
      </w:r>
      <w:r w:rsidRPr="006B0B81">
        <w:rPr>
          <w:rFonts w:cstheme="minorHAnsi"/>
        </w:rPr>
        <w:sym w:font="Symbol" w:char="F02D"/>
      </w:r>
      <w:r w:rsidRPr="006B0B81">
        <w:rPr>
          <w:rFonts w:cstheme="minorHAnsi"/>
        </w:rPr>
        <w:t xml:space="preserve"> Attività/laboratori culturali. </w:t>
      </w:r>
    </w:p>
    <w:p w:rsidR="00EB0A54" w:rsidRPr="006B0B81" w:rsidRDefault="00EB0A54" w:rsidP="00EB0A54">
      <w:pPr>
        <w:spacing w:after="0" w:line="20" w:lineRule="atLeast"/>
        <w:jc w:val="both"/>
        <w:rPr>
          <w:rFonts w:cstheme="minorHAnsi"/>
        </w:rPr>
      </w:pPr>
      <w:r w:rsidRPr="006B0B81">
        <w:rPr>
          <w:rFonts w:cstheme="minorHAnsi"/>
        </w:rPr>
        <w:t xml:space="preserve">E’ ammissibile anche il rimborso delle spese sopra elencate dietro presentazione di opportuna rendicontazione. </w:t>
      </w:r>
    </w:p>
    <w:p w:rsidR="00EB0A54" w:rsidRPr="006B0B81" w:rsidRDefault="00EB0A54" w:rsidP="00EB0A54">
      <w:pPr>
        <w:spacing w:after="0" w:line="20" w:lineRule="atLeast"/>
        <w:jc w:val="both"/>
        <w:rPr>
          <w:rFonts w:cstheme="minorHAnsi"/>
        </w:rPr>
      </w:pPr>
      <w:r w:rsidRPr="006B0B81">
        <w:rPr>
          <w:rFonts w:cstheme="minorHAnsi"/>
        </w:rPr>
        <w:t xml:space="preserve">Per quanto riguarda la specifica dei trattamenti assistenziali che non determinano il reddito familiare si rimanda all’Allegato A (criteri generali di accesso del R.I.A). </w:t>
      </w:r>
    </w:p>
    <w:p w:rsidR="00EB0A54" w:rsidRPr="006B0B81" w:rsidRDefault="00EB0A54" w:rsidP="00EB0A54">
      <w:pPr>
        <w:spacing w:after="0" w:line="20" w:lineRule="atLeast"/>
        <w:jc w:val="both"/>
        <w:rPr>
          <w:rFonts w:cstheme="minorHAnsi"/>
        </w:rPr>
      </w:pPr>
      <w:r w:rsidRPr="006B0B81">
        <w:rPr>
          <w:rFonts w:cstheme="minorHAnsi"/>
        </w:rPr>
        <w:t xml:space="preserve">2. Sperimentazione di servizi/interventi innovativi a sostegno della genitorialità dedicati al target individuato. Alcuni criteri: </w:t>
      </w:r>
      <w:r w:rsidRPr="006B0B81">
        <w:rPr>
          <w:rFonts w:cstheme="minorHAnsi"/>
        </w:rPr>
        <w:sym w:font="Symbol" w:char="F02D"/>
      </w:r>
      <w:r w:rsidRPr="006B0B81">
        <w:rPr>
          <w:rFonts w:cstheme="minorHAnsi"/>
        </w:rPr>
        <w:t xml:space="preserve"> la sperimentazione dovrà interessare almeno una delle seguenti aree: famiglia e genitorialità (interventi rivolti alla famiglia/genitori); cultura/natura (interventi focalizzati sul minore); rete (interventi che prevedono approccio integrato scuola-famiglia-territorio), </w:t>
      </w:r>
      <w:r w:rsidRPr="006B0B81">
        <w:rPr>
          <w:rFonts w:cstheme="minorHAnsi"/>
        </w:rPr>
        <w:sym w:font="Symbol" w:char="F02D"/>
      </w:r>
      <w:r w:rsidRPr="006B0B81">
        <w:rPr>
          <w:rFonts w:cstheme="minorHAnsi"/>
        </w:rPr>
        <w:t xml:space="preserve"> sarà necessario dimostrare il carattere sperimentale e innovativo dell’azione/servizio per quel dato territorio (progetti che vengono attivati per la prima volta e/o si differenzino dalle misure sopra elencate al punto 1); </w:t>
      </w:r>
      <w:r w:rsidRPr="006B0B81">
        <w:rPr>
          <w:rFonts w:cstheme="minorHAnsi"/>
        </w:rPr>
        <w:sym w:font="Symbol" w:char="F02D"/>
      </w:r>
      <w:r w:rsidRPr="006B0B81">
        <w:rPr>
          <w:rFonts w:cstheme="minorHAnsi"/>
        </w:rPr>
        <w:t xml:space="preserve"> la sperimentazione dovrà adottare un metodo che vede la collaborazione di rete sia all’interno dei servizi, sia tra i territori dello stesso Ambito e tra diversi soggetti/attori istituzionali e non.</w:t>
      </w:r>
    </w:p>
    <w:p w:rsidR="00EB0A54" w:rsidRPr="006B0B81" w:rsidRDefault="00EB0A54" w:rsidP="00EB0A54">
      <w:pPr>
        <w:spacing w:after="0" w:line="20" w:lineRule="atLeast"/>
        <w:jc w:val="both"/>
        <w:rPr>
          <w:rFonts w:cstheme="minorHAnsi"/>
        </w:rPr>
      </w:pPr>
    </w:p>
    <w:p w:rsidR="00EB0A54" w:rsidRPr="00CA7E42" w:rsidRDefault="00EB0A54" w:rsidP="00EB0A54">
      <w:pPr>
        <w:spacing w:after="0" w:line="20" w:lineRule="atLeast"/>
        <w:jc w:val="both"/>
        <w:rPr>
          <w:rFonts w:cstheme="minorHAnsi"/>
          <w:b/>
        </w:rPr>
      </w:pPr>
      <w:r w:rsidRPr="00CA7E42">
        <w:rPr>
          <w:rFonts w:cstheme="minorHAnsi"/>
          <w:b/>
        </w:rPr>
        <w:t xml:space="preserve">Disposizioni attuative per il finanziamento </w:t>
      </w:r>
    </w:p>
    <w:p w:rsidR="00EB0A54" w:rsidRPr="006B0B81" w:rsidRDefault="00EB0A54" w:rsidP="00EB0A54">
      <w:pPr>
        <w:spacing w:after="0" w:line="20" w:lineRule="atLeast"/>
        <w:jc w:val="both"/>
        <w:rPr>
          <w:rFonts w:cstheme="minorHAnsi"/>
        </w:rPr>
      </w:pPr>
      <w:r w:rsidRPr="006B0B81">
        <w:rPr>
          <w:rFonts w:cstheme="minorHAnsi"/>
        </w:rPr>
        <w:t xml:space="preserve">Le linee di finanziamento per il sostegno delle progettualità sono dunque le seguenti: </w:t>
      </w:r>
    </w:p>
    <w:p w:rsidR="00EB0A54" w:rsidRDefault="00EB0A54" w:rsidP="00EB0A54">
      <w:pPr>
        <w:spacing w:after="0" w:line="20" w:lineRule="atLeast"/>
        <w:jc w:val="both"/>
        <w:rPr>
          <w:rFonts w:cstheme="minorHAnsi"/>
        </w:rPr>
      </w:pPr>
      <w:r w:rsidRPr="006B0B81">
        <w:rPr>
          <w:rFonts w:cstheme="minorHAnsi"/>
        </w:rPr>
        <w:lastRenderedPageBreak/>
        <w:t xml:space="preserve">1) Finanziamento in favore dei 21 Ambiti territoriali per la prosecuzione e l’estensione del Reddito d’inclusione Attiva – R.I.A. 2019-2020, Sostegno all’Abitare – SoA, Povertà Educativa – PE, a tutti i Comuni del Veneto - (Euro 6.000.000,00) Individuazione dell’importo assegnabile: L’importo assegnabile ai piani operativi di intervento elaborati dai 21 Ambiti territoriali è composto da: Una quota di coordinamento pari a Euro 250.000,00 euro così suddivisi: </w:t>
      </w:r>
    </w:p>
    <w:p w:rsidR="00EB0A54" w:rsidRDefault="00EB0A54" w:rsidP="00EB0A54">
      <w:pPr>
        <w:spacing w:after="0" w:line="20" w:lineRule="atLeast"/>
        <w:jc w:val="both"/>
        <w:rPr>
          <w:rFonts w:cstheme="minorHAnsi"/>
        </w:rPr>
      </w:pPr>
      <w:r w:rsidRPr="006B0B81">
        <w:rPr>
          <w:rFonts w:cstheme="minorHAnsi"/>
        </w:rPr>
        <w:sym w:font="Symbol" w:char="F0B7"/>
      </w:r>
      <w:r w:rsidRPr="006B0B81">
        <w:rPr>
          <w:rFonts w:cstheme="minorHAnsi"/>
        </w:rPr>
        <w:t xml:space="preserve"> Per ogni Ambito, il 60% calcolato proporzionalmente al numero di abitanti in ciascun Ambito territoriale secondo i dati ISTAT sul bilancio demografico riferiti alla data del 01.01.2019 (totale importo Euro 145.800,00);</w:t>
      </w:r>
    </w:p>
    <w:p w:rsidR="00EB0A54" w:rsidRDefault="00EB0A54" w:rsidP="00EB0A54">
      <w:pPr>
        <w:spacing w:after="0" w:line="20" w:lineRule="atLeast"/>
        <w:jc w:val="both"/>
        <w:rPr>
          <w:rFonts w:cstheme="minorHAnsi"/>
        </w:rPr>
      </w:pPr>
      <w:r w:rsidRPr="006B0B81">
        <w:rPr>
          <w:rFonts w:cstheme="minorHAnsi"/>
        </w:rPr>
        <w:sym w:font="Symbol" w:char="F0B7"/>
      </w:r>
      <w:r w:rsidRPr="006B0B81">
        <w:rPr>
          <w:rFonts w:cstheme="minorHAnsi"/>
        </w:rPr>
        <w:t xml:space="preserve"> Il rimanente 40% calcolato proporzionalmente in base al numero di Comuni in ciascun Ambito territoriale (totale Euro 97.200,00); </w:t>
      </w:r>
    </w:p>
    <w:p w:rsidR="00EB0A54" w:rsidRDefault="00EB0A54" w:rsidP="00EB0A54">
      <w:pPr>
        <w:spacing w:after="0" w:line="20" w:lineRule="atLeast"/>
        <w:jc w:val="both"/>
        <w:rPr>
          <w:rFonts w:cstheme="minorHAnsi"/>
        </w:rPr>
      </w:pPr>
      <w:r w:rsidRPr="006B0B81">
        <w:rPr>
          <w:rFonts w:cstheme="minorHAnsi"/>
        </w:rPr>
        <w:sym w:font="Symbol" w:char="F0B7"/>
      </w:r>
      <w:r w:rsidRPr="006B0B81">
        <w:rPr>
          <w:rFonts w:cstheme="minorHAnsi"/>
        </w:rPr>
        <w:t xml:space="preserve"> Una quota aggiuntiva simbolica di Euro 1.000,00 per i Comuni Capoluogo per fornire know how e supporto tramite formazione, scambio di buone pratiche o altro agli Ambiti, in particolare a quelli che per la prima volta si trovano a dover organizzare e mettere in pratica le progettualità descritte (totale Euro 7.000,00); La rimanente parte viene così suddivisa per ogni Ambito territoriale (Euro 5.750.000,00): </w:t>
      </w:r>
    </w:p>
    <w:p w:rsidR="00EB0A54" w:rsidRDefault="00EB0A54" w:rsidP="00EB0A54">
      <w:pPr>
        <w:spacing w:after="0" w:line="20" w:lineRule="atLeast"/>
        <w:jc w:val="both"/>
        <w:rPr>
          <w:rFonts w:cstheme="minorHAnsi"/>
        </w:rPr>
      </w:pPr>
      <w:r w:rsidRPr="006B0B81">
        <w:rPr>
          <w:rFonts w:cstheme="minorHAnsi"/>
        </w:rPr>
        <w:sym w:font="Symbol" w:char="F0B7"/>
      </w:r>
      <w:r w:rsidRPr="006B0B81">
        <w:rPr>
          <w:rFonts w:cstheme="minorHAnsi"/>
        </w:rPr>
        <w:t xml:space="preserve"> Una quota fissa di Euro 50.000,00 per ogni Ambito territoriale (totale importo Euro 1.050.000,00) </w:t>
      </w:r>
    </w:p>
    <w:p w:rsidR="00EB0A54" w:rsidRDefault="00EB0A54" w:rsidP="00EB0A54">
      <w:pPr>
        <w:spacing w:after="0" w:line="20" w:lineRule="atLeast"/>
        <w:jc w:val="both"/>
        <w:rPr>
          <w:rFonts w:cstheme="minorHAnsi"/>
        </w:rPr>
      </w:pPr>
      <w:r w:rsidRPr="006B0B81">
        <w:rPr>
          <w:rFonts w:cstheme="minorHAnsi"/>
        </w:rPr>
        <w:sym w:font="Symbol" w:char="F0B7"/>
      </w:r>
      <w:r w:rsidRPr="006B0B81">
        <w:rPr>
          <w:rFonts w:cstheme="minorHAnsi"/>
        </w:rPr>
        <w:t xml:space="preserve"> Una quota proporzionale al numero totale degli abitanti in ciascun Ambito territoriale, secondo i dati ISTAT sul bilancio demografico riferiti alla data del 1.1.2019 (totale importo Euro 4.700.000,00); </w:t>
      </w:r>
    </w:p>
    <w:p w:rsidR="00EB0A54" w:rsidRDefault="00EB0A54" w:rsidP="00EB0A54">
      <w:pPr>
        <w:spacing w:after="0" w:line="20" w:lineRule="atLeast"/>
        <w:jc w:val="both"/>
        <w:rPr>
          <w:rFonts w:cstheme="minorHAnsi"/>
        </w:rPr>
      </w:pPr>
      <w:r w:rsidRPr="006B0B81">
        <w:rPr>
          <w:rFonts w:cstheme="minorHAnsi"/>
        </w:rPr>
        <w:sym w:font="Symbol" w:char="F0B7"/>
      </w:r>
      <w:r w:rsidRPr="006B0B81">
        <w:rPr>
          <w:rFonts w:cstheme="minorHAnsi"/>
        </w:rPr>
        <w:t xml:space="preserve"> Almeno Euro 500.000,00 del totale generale di Euro 5.750.000,00 vengono destinati alla Povertà Educativa secondo la medesima ripartizione proporzionale per Ambito. </w:t>
      </w:r>
    </w:p>
    <w:p w:rsidR="00EB0A54" w:rsidRDefault="00EB0A54" w:rsidP="00EB0A54">
      <w:pPr>
        <w:spacing w:after="0" w:line="20" w:lineRule="atLeast"/>
        <w:jc w:val="both"/>
        <w:rPr>
          <w:rFonts w:cstheme="minorHAnsi"/>
        </w:rPr>
      </w:pPr>
      <w:r w:rsidRPr="006B0B81">
        <w:rPr>
          <w:rFonts w:cstheme="minorHAnsi"/>
        </w:rPr>
        <w:t xml:space="preserve">Per particolari difficoltà del coordinamento di cui sopra, derivate dalle specificità e peculiarità territoriali, e previa necessaria autorizzazione regionale, si potrà destinare una parte della quota fissa dei 50.000,00 euro (e fino a un limite massimo di Euro 20.000,00) ad ulteriore supporto del coordinamento. </w:t>
      </w:r>
    </w:p>
    <w:p w:rsidR="00EB0A54" w:rsidRDefault="00EB0A54" w:rsidP="00EB0A54">
      <w:pPr>
        <w:spacing w:after="0" w:line="20" w:lineRule="atLeast"/>
        <w:jc w:val="both"/>
        <w:rPr>
          <w:rFonts w:cstheme="minorHAnsi"/>
        </w:rPr>
      </w:pPr>
      <w:r w:rsidRPr="006B0B81">
        <w:rPr>
          <w:rFonts w:cstheme="minorHAnsi"/>
        </w:rPr>
        <w:t xml:space="preserve">Il finanziamento si intende destinato all’Ambito territoriale; si tiene comunque conto che nel caso in cui un comune non intenda avvalersi della misura, la quota ad esso spettante rimane comunque in gestione all’Ambito. </w:t>
      </w:r>
    </w:p>
    <w:p w:rsidR="00EB0A54" w:rsidRDefault="00EB0A54" w:rsidP="00EB0A54">
      <w:pPr>
        <w:spacing w:after="0" w:line="20" w:lineRule="atLeast"/>
        <w:jc w:val="both"/>
        <w:rPr>
          <w:rFonts w:cstheme="minorHAnsi"/>
        </w:rPr>
      </w:pPr>
      <w:r w:rsidRPr="006B0B81">
        <w:rPr>
          <w:rFonts w:cstheme="minorHAnsi"/>
        </w:rPr>
        <w:t xml:space="preserve">2) Ulteriori criteri comuni per le misure oggetto del finanziamento: </w:t>
      </w:r>
    </w:p>
    <w:p w:rsidR="00EB0A54" w:rsidRDefault="00EB0A54" w:rsidP="00EB0A54">
      <w:pPr>
        <w:spacing w:after="0" w:line="20" w:lineRule="atLeast"/>
        <w:jc w:val="both"/>
        <w:rPr>
          <w:rFonts w:cstheme="minorHAnsi"/>
        </w:rPr>
      </w:pPr>
      <w:r w:rsidRPr="006B0B81">
        <w:rPr>
          <w:rFonts w:cstheme="minorHAnsi"/>
        </w:rPr>
        <w:t xml:space="preserve">- Cofinanziamento E’ fissata una quota di cofinanziamento a carico di ciascun Ambito territoriale pari al 20% del finanziamento regionale; tale quota è quindi da ripartirsi per Ambito territoriale e non per Comune. La quota di coordinamento stanziata è da intendersi come parte del finanziamento regionale. </w:t>
      </w:r>
    </w:p>
    <w:p w:rsidR="00EB0A54" w:rsidRDefault="00EB0A54" w:rsidP="00EB0A54">
      <w:pPr>
        <w:spacing w:after="0" w:line="20" w:lineRule="atLeast"/>
        <w:jc w:val="both"/>
        <w:rPr>
          <w:rFonts w:cstheme="minorHAnsi"/>
        </w:rPr>
      </w:pPr>
      <w:r w:rsidRPr="006B0B81">
        <w:rPr>
          <w:rFonts w:cstheme="minorHAnsi"/>
        </w:rPr>
        <w:t>- Modalità di erogazione del finanziamento Le tabelle con le ripartizioni delle risorse totali a disposizione pari a Euro 6.000.000,00 di cui almeno Euro 500.000,00 per la Povertà Educativa, saranno definite con successivo atto di impegno del Direttore della U.O. Dipendenze, Terzo Settore, Nuove Marginalità e Inclusione Sociale. Nel medesimo atto saranno altresì precisate le modalità di erogazione dell’acconto e del saldo e le modalità di rendicontazione.</w:t>
      </w:r>
    </w:p>
    <w:p w:rsidR="00BC4DC2" w:rsidRDefault="00BC4DC2" w:rsidP="00EB0A54">
      <w:pPr>
        <w:spacing w:after="0" w:line="20" w:lineRule="atLeast"/>
        <w:jc w:val="both"/>
        <w:rPr>
          <w:rFonts w:cstheme="minorHAnsi"/>
        </w:rPr>
      </w:pPr>
    </w:p>
    <w:p w:rsidR="00B737B2" w:rsidRPr="007E064E" w:rsidRDefault="00B737B2" w:rsidP="00B737B2">
      <w:pPr>
        <w:pStyle w:val="cust-dettaglio-tipo-atto"/>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FFFFF"/>
        <w:spacing w:before="0" w:beforeAutospacing="0" w:after="0" w:afterAutospacing="0" w:line="20" w:lineRule="atLeast"/>
        <w:jc w:val="center"/>
        <w:textAlignment w:val="baseline"/>
        <w:rPr>
          <w:rFonts w:asciiTheme="minorHAnsi" w:hAnsiTheme="minorHAnsi" w:cstheme="minorHAnsi"/>
          <w:b/>
          <w:caps/>
          <w:color w:val="505050"/>
          <w:sz w:val="22"/>
          <w:szCs w:val="22"/>
        </w:rPr>
      </w:pPr>
      <w:r w:rsidRPr="007E064E">
        <w:rPr>
          <w:rFonts w:asciiTheme="minorHAnsi" w:hAnsiTheme="minorHAnsi" w:cstheme="minorHAnsi"/>
          <w:b/>
          <w:caps/>
          <w:color w:val="505050"/>
          <w:sz w:val="22"/>
          <w:szCs w:val="22"/>
        </w:rPr>
        <w:t>SANITà</w:t>
      </w:r>
    </w:p>
    <w:p w:rsidR="00812786" w:rsidRDefault="00812786" w:rsidP="00B737B2">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
          <w:caps/>
          <w:color w:val="505050"/>
          <w:sz w:val="22"/>
          <w:szCs w:val="22"/>
        </w:rPr>
      </w:pPr>
    </w:p>
    <w:p w:rsidR="007A4E91" w:rsidRDefault="00812786" w:rsidP="007A4E91">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Cs/>
          <w:color w:val="505050"/>
          <w:sz w:val="22"/>
          <w:szCs w:val="22"/>
        </w:rPr>
      </w:pPr>
      <w:r w:rsidRPr="00812786">
        <w:rPr>
          <w:rFonts w:asciiTheme="minorHAnsi" w:hAnsiTheme="minorHAnsi" w:cstheme="minorHAnsi"/>
          <w:b/>
          <w:caps/>
          <w:sz w:val="22"/>
          <w:szCs w:val="22"/>
        </w:rPr>
        <w:t xml:space="preserve">DGR </w:t>
      </w:r>
      <w:r w:rsidRPr="00812786">
        <w:rPr>
          <w:rStyle w:val="cust-dettaglio-tipo-atto-num-data"/>
          <w:rFonts w:asciiTheme="minorHAnsi" w:hAnsiTheme="minorHAnsi" w:cstheme="minorHAnsi"/>
          <w:b/>
          <w:caps/>
          <w:sz w:val="22"/>
          <w:szCs w:val="22"/>
          <w:bdr w:val="none" w:sz="0" w:space="0" w:color="auto" w:frame="1"/>
        </w:rPr>
        <w:t xml:space="preserve">  </w:t>
      </w:r>
      <w:r w:rsidRPr="00812786">
        <w:rPr>
          <w:rStyle w:val="cust-dettaglio-tipo-atto-num-data"/>
          <w:rFonts w:asciiTheme="minorHAnsi" w:hAnsiTheme="minorHAnsi" w:cstheme="minorHAnsi"/>
          <w:b/>
          <w:sz w:val="22"/>
          <w:szCs w:val="22"/>
          <w:bdr w:val="none" w:sz="0" w:space="0" w:color="auto" w:frame="1"/>
        </w:rPr>
        <w:t>12 luglio 2019, n. 1035</w:t>
      </w:r>
      <w:r w:rsidRPr="00812786">
        <w:rPr>
          <w:rStyle w:val="cust-dettaglio-tipo-atto-num-data"/>
          <w:rFonts w:asciiTheme="minorHAnsi" w:hAnsiTheme="minorHAnsi" w:cstheme="minorHAnsi"/>
          <w:sz w:val="22"/>
          <w:szCs w:val="22"/>
          <w:bdr w:val="none" w:sz="0" w:space="0" w:color="auto" w:frame="1"/>
        </w:rPr>
        <w:t xml:space="preserve">, </w:t>
      </w:r>
      <w:r w:rsidRPr="00812786">
        <w:rPr>
          <w:rFonts w:asciiTheme="minorHAnsi" w:hAnsiTheme="minorHAnsi" w:cstheme="minorHAnsi"/>
          <w:bCs/>
          <w:sz w:val="22"/>
          <w:szCs w:val="22"/>
        </w:rPr>
        <w:t>Approvazione delle disposizioni operative per l'efficientamento del modello organizzativo di Pronto Soccorso ed individuazione delle azioni per il governo del personale di Pronto Soccorso. PSSR 2019-2023.</w:t>
      </w:r>
      <w:r w:rsidR="007A4E91">
        <w:rPr>
          <w:rFonts w:asciiTheme="minorHAnsi" w:hAnsiTheme="minorHAnsi" w:cstheme="minorHAnsi"/>
          <w:bCs/>
          <w:sz w:val="22"/>
          <w:szCs w:val="22"/>
        </w:rPr>
        <w:t xml:space="preserve"> </w:t>
      </w:r>
      <w:proofErr w:type="gramStart"/>
      <w:r w:rsidR="007A4E91" w:rsidRPr="007E064E">
        <w:rPr>
          <w:rFonts w:asciiTheme="minorHAnsi" w:hAnsiTheme="minorHAnsi" w:cstheme="minorHAnsi"/>
          <w:bCs/>
          <w:color w:val="505050"/>
          <w:sz w:val="22"/>
          <w:szCs w:val="22"/>
        </w:rPr>
        <w:t>l'anno</w:t>
      </w:r>
      <w:proofErr w:type="gramEnd"/>
      <w:r w:rsidR="007A4E91" w:rsidRPr="007E064E">
        <w:rPr>
          <w:rFonts w:asciiTheme="minorHAnsi" w:hAnsiTheme="minorHAnsi" w:cstheme="minorHAnsi"/>
          <w:bCs/>
          <w:color w:val="505050"/>
          <w:sz w:val="22"/>
          <w:szCs w:val="22"/>
        </w:rPr>
        <w:t xml:space="preserve"> 2019 ed approvazione del piano di attività, per l'anno 2019, del Coordinamento Regionale per i Trapianti. </w:t>
      </w:r>
      <w:r w:rsidR="007A4E91">
        <w:rPr>
          <w:rFonts w:asciiTheme="minorHAnsi" w:hAnsiTheme="minorHAnsi" w:cstheme="minorHAnsi"/>
          <w:bCs/>
          <w:color w:val="505050"/>
          <w:sz w:val="22"/>
          <w:szCs w:val="22"/>
        </w:rPr>
        <w:t>(BUR n. 97 del 27.8.19)</w:t>
      </w:r>
    </w:p>
    <w:p w:rsidR="00812786" w:rsidRPr="0061590C" w:rsidRDefault="00812786" w:rsidP="00812786">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
          <w:bCs/>
          <w:color w:val="505050"/>
          <w:sz w:val="22"/>
          <w:szCs w:val="22"/>
        </w:rPr>
      </w:pPr>
      <w:r w:rsidRPr="0061590C">
        <w:rPr>
          <w:rFonts w:asciiTheme="minorHAnsi" w:hAnsiTheme="minorHAnsi" w:cstheme="minorHAnsi"/>
          <w:b/>
          <w:bCs/>
          <w:color w:val="505050"/>
          <w:sz w:val="22"/>
          <w:szCs w:val="22"/>
        </w:rPr>
        <w:t>Note</w:t>
      </w:r>
    </w:p>
    <w:p w:rsidR="00812786" w:rsidRPr="000959D2" w:rsidRDefault="00812786" w:rsidP="00812786">
      <w:pPr>
        <w:spacing w:after="0" w:line="20" w:lineRule="atLeast"/>
        <w:jc w:val="both"/>
        <w:textAlignment w:val="baseline"/>
        <w:rPr>
          <w:rFonts w:eastAsia="Times New Roman" w:cstheme="minorHAnsi"/>
          <w:color w:val="505050"/>
        </w:rPr>
      </w:pPr>
      <w:r w:rsidRPr="000959D2">
        <w:rPr>
          <w:rFonts w:cstheme="minorHAnsi"/>
          <w:color w:val="000000"/>
        </w:rPr>
        <w:t>Vengono approvate le disposizioni operative per l’efficientamento del modello organizzativo di Pronto Soccorso e vengono individuati il programma formativo per l’inserimento di medici privi del diploma di specializzazione nei Dipartimenti di Emergenza e le azioni per il governo del personale di Pronto Soccorso</w:t>
      </w:r>
    </w:p>
    <w:p w:rsidR="00812786" w:rsidRDefault="00812786" w:rsidP="00B737B2">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
          <w:caps/>
          <w:color w:val="505050"/>
          <w:sz w:val="22"/>
          <w:szCs w:val="22"/>
        </w:rPr>
      </w:pPr>
    </w:p>
    <w:p w:rsidR="00B737B2" w:rsidRDefault="00B737B2" w:rsidP="00B737B2">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Cs/>
          <w:color w:val="505050"/>
          <w:sz w:val="22"/>
          <w:szCs w:val="22"/>
        </w:rPr>
      </w:pPr>
      <w:r w:rsidRPr="007E064E">
        <w:rPr>
          <w:rFonts w:asciiTheme="minorHAnsi" w:hAnsiTheme="minorHAnsi" w:cstheme="minorHAnsi"/>
          <w:b/>
          <w:caps/>
          <w:color w:val="505050"/>
          <w:sz w:val="22"/>
          <w:szCs w:val="22"/>
        </w:rPr>
        <w:t xml:space="preserve">DGR </w:t>
      </w:r>
      <w:r w:rsidRPr="007E064E">
        <w:rPr>
          <w:rStyle w:val="cust-dettaglio-tipo-atto-num-data"/>
          <w:rFonts w:asciiTheme="minorHAnsi" w:hAnsiTheme="minorHAnsi" w:cstheme="minorHAnsi"/>
          <w:b/>
          <w:caps/>
          <w:color w:val="505050"/>
          <w:sz w:val="22"/>
          <w:szCs w:val="22"/>
          <w:bdr w:val="none" w:sz="0" w:space="0" w:color="auto" w:frame="1"/>
        </w:rPr>
        <w:t xml:space="preserve">  </w:t>
      </w:r>
      <w:r w:rsidRPr="007E064E">
        <w:rPr>
          <w:rStyle w:val="cust-dettaglio-tipo-atto-num-data"/>
          <w:rFonts w:asciiTheme="minorHAnsi" w:hAnsiTheme="minorHAnsi" w:cstheme="minorHAnsi"/>
          <w:b/>
          <w:color w:val="505050"/>
          <w:sz w:val="22"/>
          <w:szCs w:val="22"/>
          <w:bdr w:val="none" w:sz="0" w:space="0" w:color="auto" w:frame="1"/>
        </w:rPr>
        <w:t>30 luglio 2019, n. 1101</w:t>
      </w:r>
      <w:r w:rsidRPr="000959D2">
        <w:rPr>
          <w:rStyle w:val="cust-dettaglio-tipo-atto-num-data"/>
          <w:rFonts w:asciiTheme="minorHAnsi" w:hAnsiTheme="minorHAnsi" w:cstheme="minorHAnsi"/>
          <w:color w:val="505050"/>
          <w:sz w:val="22"/>
          <w:szCs w:val="22"/>
          <w:bdr w:val="none" w:sz="0" w:space="0" w:color="auto" w:frame="1"/>
        </w:rPr>
        <w:t xml:space="preserve">, </w:t>
      </w:r>
      <w:r w:rsidRPr="007E064E">
        <w:rPr>
          <w:rFonts w:asciiTheme="minorHAnsi" w:hAnsiTheme="minorHAnsi" w:cstheme="minorHAnsi"/>
          <w:bCs/>
          <w:color w:val="505050"/>
          <w:sz w:val="22"/>
          <w:szCs w:val="22"/>
        </w:rPr>
        <w:t xml:space="preserve">Finanziamento dell'intero Sistema Regionale Trapianti per l'anno 2019 ed approvazione del piano di attività, per l'anno 2019, del Coordinamento Regionale per i Trapianti. </w:t>
      </w:r>
      <w:r>
        <w:rPr>
          <w:rFonts w:asciiTheme="minorHAnsi" w:hAnsiTheme="minorHAnsi" w:cstheme="minorHAnsi"/>
          <w:bCs/>
          <w:color w:val="505050"/>
          <w:sz w:val="22"/>
          <w:szCs w:val="22"/>
        </w:rPr>
        <w:t>(BUR n. 97 del 27.8.19)</w:t>
      </w:r>
    </w:p>
    <w:p w:rsidR="00B737B2" w:rsidRDefault="00B737B2" w:rsidP="00B737B2">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
          <w:bCs/>
          <w:color w:val="505050"/>
          <w:sz w:val="22"/>
          <w:szCs w:val="22"/>
        </w:rPr>
      </w:pPr>
      <w:r w:rsidRPr="007E064E">
        <w:rPr>
          <w:rFonts w:asciiTheme="minorHAnsi" w:hAnsiTheme="minorHAnsi" w:cstheme="minorHAnsi"/>
          <w:b/>
          <w:bCs/>
          <w:color w:val="505050"/>
          <w:sz w:val="22"/>
          <w:szCs w:val="22"/>
        </w:rPr>
        <w:t>Note</w:t>
      </w:r>
    </w:p>
    <w:p w:rsidR="00B737B2" w:rsidRDefault="00B737B2" w:rsidP="00B737B2">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color w:val="000000"/>
          <w:sz w:val="22"/>
          <w:szCs w:val="22"/>
        </w:rPr>
      </w:pPr>
      <w:r w:rsidRPr="000959D2">
        <w:rPr>
          <w:rFonts w:asciiTheme="minorHAnsi" w:hAnsiTheme="minorHAnsi" w:cstheme="minorHAnsi"/>
          <w:color w:val="000000"/>
          <w:sz w:val="22"/>
          <w:szCs w:val="22"/>
        </w:rPr>
        <w:t xml:space="preserve">Viene finanziato, per l’anno 2019, il Sistema Regionale Trapianti composto dal Coordinamento Regionale per i Trapianti, dai Coordinamenti aziendali per i Trapianti, dai 10 Centri per i Trapianti, dalla Banca dei Tessuti </w:t>
      </w:r>
      <w:r w:rsidRPr="000959D2">
        <w:rPr>
          <w:rFonts w:asciiTheme="minorHAnsi" w:hAnsiTheme="minorHAnsi" w:cstheme="minorHAnsi"/>
          <w:color w:val="000000"/>
          <w:sz w:val="22"/>
          <w:szCs w:val="22"/>
        </w:rPr>
        <w:lastRenderedPageBreak/>
        <w:t>dell’Azienda Ospedaliera Universitaria Integrata di Verona, dai Servizi di secondo livello dell’Azienda Ospedale-Università di Padova e dal Sistema trapianti dei tessuti oculari dell’Azienda Ulss 3 Serenissima e viene approvato il piano di attività, per l’anno 2019, del Coordinamento Regionale per i Trapianti.</w:t>
      </w:r>
    </w:p>
    <w:p w:rsidR="00812786" w:rsidRDefault="00812786" w:rsidP="00B737B2">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color w:val="000000"/>
          <w:sz w:val="22"/>
          <w:szCs w:val="22"/>
        </w:rPr>
      </w:pPr>
    </w:p>
    <w:p w:rsidR="00812786" w:rsidRDefault="00812786" w:rsidP="00812786">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caps/>
          <w:color w:val="505050"/>
          <w:sz w:val="22"/>
          <w:szCs w:val="22"/>
        </w:rPr>
      </w:pPr>
    </w:p>
    <w:p w:rsidR="00812786" w:rsidRPr="003F65DC" w:rsidRDefault="00812786" w:rsidP="00812786">
      <w:pPr>
        <w:pStyle w:val="cust-dettaglio-tipo-atto"/>
        <w:shd w:val="clear" w:color="auto" w:fill="FFFFFF"/>
        <w:spacing w:before="0" w:beforeAutospacing="0" w:after="0" w:afterAutospacing="0" w:line="20" w:lineRule="atLeast"/>
        <w:jc w:val="both"/>
        <w:textAlignment w:val="baseline"/>
        <w:rPr>
          <w:rFonts w:asciiTheme="minorHAnsi" w:hAnsiTheme="minorHAnsi" w:cstheme="minorHAnsi"/>
          <w:bCs/>
          <w:sz w:val="22"/>
          <w:szCs w:val="22"/>
        </w:rPr>
      </w:pPr>
      <w:r w:rsidRPr="003F65DC">
        <w:rPr>
          <w:rFonts w:asciiTheme="minorHAnsi" w:hAnsiTheme="minorHAnsi" w:cstheme="minorHAnsi"/>
          <w:b/>
          <w:caps/>
          <w:sz w:val="22"/>
          <w:szCs w:val="22"/>
        </w:rPr>
        <w:t xml:space="preserve">DGR </w:t>
      </w:r>
      <w:r w:rsidRPr="003F65DC">
        <w:rPr>
          <w:rStyle w:val="cust-dettaglio-tipo-atto-num-data"/>
          <w:rFonts w:asciiTheme="minorHAnsi" w:hAnsiTheme="minorHAnsi" w:cstheme="minorHAnsi"/>
          <w:b/>
          <w:caps/>
          <w:sz w:val="22"/>
          <w:szCs w:val="22"/>
          <w:bdr w:val="none" w:sz="0" w:space="0" w:color="auto" w:frame="1"/>
        </w:rPr>
        <w:t> </w:t>
      </w:r>
      <w:r w:rsidRPr="003F65DC">
        <w:rPr>
          <w:rStyle w:val="cust-dettaglio-tipo-atto-num-data"/>
          <w:rFonts w:asciiTheme="minorHAnsi" w:hAnsiTheme="minorHAnsi" w:cstheme="minorHAnsi"/>
          <w:b/>
          <w:sz w:val="22"/>
          <w:szCs w:val="22"/>
          <w:bdr w:val="none" w:sz="0" w:space="0" w:color="auto" w:frame="1"/>
        </w:rPr>
        <w:t>14 agosto 2019, n. 1225</w:t>
      </w:r>
      <w:r w:rsidRPr="003F65DC">
        <w:rPr>
          <w:rStyle w:val="cust-dettaglio-tipo-atto-num-data"/>
          <w:rFonts w:asciiTheme="minorHAnsi" w:hAnsiTheme="minorHAnsi" w:cstheme="minorHAnsi"/>
          <w:caps/>
          <w:sz w:val="22"/>
          <w:szCs w:val="22"/>
          <w:bdr w:val="none" w:sz="0" w:space="0" w:color="auto" w:frame="1"/>
        </w:rPr>
        <w:t xml:space="preserve">, </w:t>
      </w:r>
      <w:r w:rsidRPr="003F65DC">
        <w:rPr>
          <w:rFonts w:asciiTheme="minorHAnsi" w:hAnsiTheme="minorHAnsi" w:cstheme="minorHAnsi"/>
          <w:bCs/>
          <w:sz w:val="22"/>
          <w:szCs w:val="22"/>
        </w:rPr>
        <w:t xml:space="preserve">Carenza di dirigenti medici nelle aziende ed enti del servizio sanitario regionale: indicazioni operative per garantire il fabbisogno di professionisti e avvio di un percorso formativo nell'area internistica. (BUR n. </w:t>
      </w:r>
      <w:proofErr w:type="gramStart"/>
      <w:r w:rsidRPr="003F65DC">
        <w:rPr>
          <w:rFonts w:asciiTheme="minorHAnsi" w:hAnsiTheme="minorHAnsi" w:cstheme="minorHAnsi"/>
          <w:bCs/>
          <w:sz w:val="22"/>
          <w:szCs w:val="22"/>
        </w:rPr>
        <w:t>96  del</w:t>
      </w:r>
      <w:proofErr w:type="gramEnd"/>
      <w:r w:rsidRPr="003F65DC">
        <w:rPr>
          <w:rFonts w:asciiTheme="minorHAnsi" w:hAnsiTheme="minorHAnsi" w:cstheme="minorHAnsi"/>
          <w:bCs/>
          <w:sz w:val="22"/>
          <w:szCs w:val="22"/>
        </w:rPr>
        <w:t xml:space="preserve"> 27.8.19)</w:t>
      </w:r>
    </w:p>
    <w:tbl>
      <w:tblPr>
        <w:tblW w:w="9960" w:type="dxa"/>
        <w:tblBorders>
          <w:top w:val="single" w:sz="6" w:space="0" w:color="C8C8C8"/>
          <w:left w:val="single" w:sz="6" w:space="0" w:color="C8C8C8"/>
          <w:bottom w:val="single" w:sz="6" w:space="0" w:color="C8C8C8"/>
          <w:right w:val="single" w:sz="6" w:space="0" w:color="C8C8C8"/>
        </w:tblBorders>
        <w:shd w:val="clear" w:color="auto" w:fill="FFFFFF"/>
        <w:tblCellMar>
          <w:left w:w="0" w:type="dxa"/>
          <w:right w:w="0" w:type="dxa"/>
        </w:tblCellMar>
        <w:tblLook w:val="04A0" w:firstRow="1" w:lastRow="0" w:firstColumn="1" w:lastColumn="0" w:noHBand="0" w:noVBand="1"/>
      </w:tblPr>
      <w:tblGrid>
        <w:gridCol w:w="9960"/>
      </w:tblGrid>
      <w:tr w:rsidR="003F65DC" w:rsidRPr="003F65DC" w:rsidTr="00297481">
        <w:tc>
          <w:tcPr>
            <w:tcW w:w="0" w:type="auto"/>
            <w:tcBorders>
              <w:top w:val="nil"/>
              <w:left w:val="nil"/>
              <w:bottom w:val="single" w:sz="6" w:space="0" w:color="DCDCDC"/>
              <w:right w:val="nil"/>
            </w:tcBorders>
            <w:shd w:val="clear" w:color="auto" w:fill="auto"/>
            <w:tcMar>
              <w:top w:w="120" w:type="dxa"/>
              <w:left w:w="120" w:type="dxa"/>
              <w:bottom w:w="120" w:type="dxa"/>
              <w:right w:w="120" w:type="dxa"/>
            </w:tcMar>
            <w:vAlign w:val="bottom"/>
            <w:hideMark/>
          </w:tcPr>
          <w:p w:rsidR="00812786" w:rsidRPr="003F65DC" w:rsidRDefault="00812786" w:rsidP="00297481">
            <w:pPr>
              <w:spacing w:after="0" w:line="20" w:lineRule="atLeast"/>
              <w:jc w:val="both"/>
              <w:rPr>
                <w:rFonts w:cstheme="minorHAnsi"/>
              </w:rPr>
            </w:pPr>
          </w:p>
        </w:tc>
      </w:tr>
      <w:tr w:rsidR="003F65DC" w:rsidRPr="003F65DC" w:rsidTr="00297481">
        <w:tc>
          <w:tcPr>
            <w:tcW w:w="0" w:type="auto"/>
            <w:tcBorders>
              <w:top w:val="nil"/>
              <w:left w:val="nil"/>
              <w:bottom w:val="single" w:sz="6" w:space="0" w:color="DCDCDC"/>
              <w:right w:val="nil"/>
            </w:tcBorders>
            <w:shd w:val="clear" w:color="auto" w:fill="auto"/>
            <w:tcMar>
              <w:top w:w="120" w:type="dxa"/>
              <w:left w:w="120" w:type="dxa"/>
              <w:bottom w:w="120" w:type="dxa"/>
              <w:right w:w="120" w:type="dxa"/>
            </w:tcMar>
            <w:vAlign w:val="bottom"/>
            <w:hideMark/>
          </w:tcPr>
          <w:p w:rsidR="00812786" w:rsidRPr="003F65DC" w:rsidRDefault="00812786" w:rsidP="00297481">
            <w:pPr>
              <w:shd w:val="clear" w:color="auto" w:fill="FFFFFF"/>
              <w:spacing w:after="0" w:line="20" w:lineRule="atLeast"/>
              <w:jc w:val="both"/>
              <w:textAlignment w:val="baseline"/>
              <w:rPr>
                <w:rFonts w:eastAsia="Times New Roman" w:cstheme="minorHAnsi"/>
                <w:b/>
              </w:rPr>
            </w:pPr>
            <w:r w:rsidRPr="003F65DC">
              <w:rPr>
                <w:rFonts w:eastAsia="Times New Roman" w:cstheme="minorHAnsi"/>
                <w:b/>
              </w:rPr>
              <w:t xml:space="preserve">PREMESSA </w:t>
            </w:r>
          </w:p>
          <w:p w:rsidR="00812786" w:rsidRPr="003F65DC" w:rsidRDefault="00812786" w:rsidP="00297481">
            <w:pPr>
              <w:shd w:val="clear" w:color="auto" w:fill="FFFFFF"/>
              <w:spacing w:after="0" w:line="20" w:lineRule="atLeast"/>
              <w:jc w:val="both"/>
              <w:textAlignment w:val="baseline"/>
              <w:rPr>
                <w:rFonts w:eastAsia="Times New Roman" w:cstheme="minorHAnsi"/>
              </w:rPr>
            </w:pPr>
            <w:r w:rsidRPr="003F65DC">
              <w:rPr>
                <w:rFonts w:eastAsia="Times New Roman" w:cstheme="minorHAnsi"/>
              </w:rPr>
              <w:t>Il PSSR 2019-2023 approvato con la L.R. 28 dicembre 2018, n. 48 ha stabilito che, per far fronte con servizi appropriati, di qualità e sostenibili ai bisogni socio-sanitari emergenti, caratterizzati sia dall’aumento della complessità clinico-assistenziale sia degli interventi da mettere in atto, è necessario riaffermare la centralità della persona, promuovendo ulteriormente il cambiamento organizzativo-assistenziale introdotto negli ultimi anni attraverso il supporto di adeguate politiche di governo del personale che richiedono la definizione e l’utilizzo di standard minimi fondamentali per garantire l’equilibrio tra efficacia ed efficienza del sistema salute.</w:t>
            </w:r>
          </w:p>
          <w:p w:rsidR="00812786" w:rsidRPr="003F65DC" w:rsidRDefault="00812786" w:rsidP="00297481">
            <w:pPr>
              <w:shd w:val="clear" w:color="auto" w:fill="FFFFFF"/>
              <w:spacing w:after="0" w:line="20" w:lineRule="atLeast"/>
              <w:jc w:val="both"/>
              <w:textAlignment w:val="baseline"/>
              <w:rPr>
                <w:rFonts w:eastAsia="Times New Roman" w:cstheme="minorHAnsi"/>
              </w:rPr>
            </w:pPr>
            <w:r w:rsidRPr="003F65DC">
              <w:rPr>
                <w:rFonts w:eastAsia="Times New Roman" w:cstheme="minorHAnsi"/>
              </w:rPr>
              <w:t>L’art. 6 della predetta legge regionale prevede che, entro il 2019, la Giunta regionale, sentita la competente commissione consiliare, definisca le dotazioni standard del personale sanitario, professionale e amministrativo dei servizi sanitari e socio-sanitari necessari a garantire l’erogazione dei livelli essenziali di assistenza (LEA), con riferimento ai bacini territoriali coincidenti con le aziende ULSS.</w:t>
            </w:r>
          </w:p>
          <w:p w:rsidR="00812786" w:rsidRPr="003F65DC" w:rsidRDefault="00812786" w:rsidP="00297481">
            <w:pPr>
              <w:shd w:val="clear" w:color="auto" w:fill="FFFFFF"/>
              <w:spacing w:after="0" w:line="20" w:lineRule="atLeast"/>
              <w:jc w:val="both"/>
              <w:textAlignment w:val="baseline"/>
              <w:rPr>
                <w:rFonts w:eastAsia="Times New Roman" w:cstheme="minorHAnsi"/>
              </w:rPr>
            </w:pPr>
            <w:r w:rsidRPr="003F65DC">
              <w:rPr>
                <w:rFonts w:eastAsia="Times New Roman" w:cstheme="minorHAnsi"/>
              </w:rPr>
              <w:t>Tale percorso è già stato avviato negli anni precedenti; in particolare con DGR n. 245 del 7 marzo 2017 sono stati approvati due documenti, il primo dei quali, a carattere metodologico generale, ha individuato parametri organizzativi minimi relativi alla dirigenza medica in funzione della garanzia dei livelli assistenziali. Il secondo documento ha definito valori minimi di riferimento per il personale dei pronto soccorso individuando criteri di valutazione ed una metodologia unica per la misurazione dell’apporto dello stesso personale.</w:t>
            </w:r>
          </w:p>
          <w:p w:rsidR="00812786" w:rsidRPr="003F65DC" w:rsidRDefault="00812786" w:rsidP="00297481">
            <w:pPr>
              <w:shd w:val="clear" w:color="auto" w:fill="FFFFFF"/>
              <w:spacing w:after="0" w:line="20" w:lineRule="atLeast"/>
              <w:jc w:val="both"/>
              <w:textAlignment w:val="baseline"/>
              <w:rPr>
                <w:rFonts w:eastAsia="Times New Roman" w:cstheme="minorHAnsi"/>
              </w:rPr>
            </w:pPr>
            <w:r w:rsidRPr="003F65DC">
              <w:rPr>
                <w:rFonts w:eastAsia="Times New Roman" w:cstheme="minorHAnsi"/>
              </w:rPr>
              <w:t>In base al primo documento, di carattere metodologico generale, la dotazione organica va correlata non solo al numero e alla tipologia di posti letto per singola specialità, al numero di posti letto complessivi della struttura ospedaliera, ma anche all’attività svolta per soddisfare le esigenze assistenziali e garantire l’offerta sanitaria, alla complessità di patologie trattate, alla </w:t>
            </w:r>
            <w:r w:rsidRPr="003F65DC">
              <w:rPr>
                <w:rFonts w:eastAsia="Times New Roman" w:cstheme="minorHAnsi"/>
                <w:i/>
                <w:iCs/>
                <w:bdr w:val="none" w:sz="0" w:space="0" w:color="auto" w:frame="1"/>
              </w:rPr>
              <w:t>mission </w:t>
            </w:r>
            <w:r w:rsidRPr="003F65DC">
              <w:rPr>
                <w:rFonts w:eastAsia="Times New Roman" w:cstheme="minorHAnsi"/>
              </w:rPr>
              <w:t>delle singole strutture e alla funzione attribuita dalla programmazione.</w:t>
            </w:r>
          </w:p>
          <w:p w:rsidR="00812786" w:rsidRPr="003F65DC" w:rsidRDefault="00812786" w:rsidP="00297481">
            <w:pPr>
              <w:shd w:val="clear" w:color="auto" w:fill="FFFFFF"/>
              <w:spacing w:after="0" w:line="20" w:lineRule="atLeast"/>
              <w:jc w:val="both"/>
              <w:textAlignment w:val="baseline"/>
              <w:rPr>
                <w:rFonts w:eastAsia="Times New Roman" w:cstheme="minorHAnsi"/>
              </w:rPr>
            </w:pPr>
            <w:r w:rsidRPr="003F65DC">
              <w:rPr>
                <w:rFonts w:eastAsia="Times New Roman" w:cstheme="minorHAnsi"/>
              </w:rPr>
              <w:t>I diversi modelli organizzativi in essere presso le aziende e le diverse caratteristiche logistico-organizzative comportano una diversa pianificazione delle attività nei singoli presidi. Viene così individuato un modello che deve, comunque, essere analizzato con riferimento alle caratteristiche organizzative tipiche delle singole realtà.</w:t>
            </w:r>
          </w:p>
          <w:p w:rsidR="00812786" w:rsidRPr="003F65DC" w:rsidRDefault="00812786" w:rsidP="00297481">
            <w:pPr>
              <w:shd w:val="clear" w:color="auto" w:fill="FFFFFF"/>
              <w:spacing w:after="0" w:line="20" w:lineRule="atLeast"/>
              <w:jc w:val="both"/>
              <w:textAlignment w:val="baseline"/>
              <w:rPr>
                <w:rFonts w:eastAsia="Times New Roman" w:cstheme="minorHAnsi"/>
              </w:rPr>
            </w:pPr>
            <w:r w:rsidRPr="003F65DC">
              <w:rPr>
                <w:rFonts w:eastAsia="Times New Roman" w:cstheme="minorHAnsi"/>
              </w:rPr>
              <w:t>Con DGR n. 1833 del 14 novembre 2017 è stato approvato il documento con il quale si definiscono i valori minimi di riferimento per il personale medico delle Medicine Generali e delle Chirurgie Generali, funzionali per il computo delle ore annuali complessive necessarie di lavoro medico e della conseguente dotazione organica minima.</w:t>
            </w:r>
          </w:p>
          <w:p w:rsidR="00812786" w:rsidRPr="003F65DC" w:rsidRDefault="00812786" w:rsidP="00297481">
            <w:pPr>
              <w:shd w:val="clear" w:color="auto" w:fill="FFFFFF"/>
              <w:spacing w:after="0" w:line="20" w:lineRule="atLeast"/>
              <w:jc w:val="both"/>
              <w:textAlignment w:val="baseline"/>
              <w:rPr>
                <w:rFonts w:eastAsia="Times New Roman" w:cstheme="minorHAnsi"/>
              </w:rPr>
            </w:pPr>
            <w:r w:rsidRPr="003F65DC">
              <w:rPr>
                <w:rFonts w:eastAsia="Times New Roman" w:cstheme="minorHAnsi"/>
              </w:rPr>
              <w:t>Partendo dal valore minimo di riferimento delle unità operative oggetto di analisi, confrontando lo stesso con le unità di personale in servizio, anche sulla base delle altre considerazioni sopra esposte, è stato possibile stimare il numero di professionisti carenti nel sistema. Attualmente, rispetto a una rilevazione condotta ad aprile 2019, si stima una carenza per il Servizio Sanitario Regionale di 180 medici nelle unità operative di medicina e geriatria.</w:t>
            </w:r>
          </w:p>
          <w:p w:rsidR="00812786" w:rsidRPr="003F65DC" w:rsidRDefault="00812786" w:rsidP="00297481">
            <w:pPr>
              <w:shd w:val="clear" w:color="auto" w:fill="FFFFFF"/>
              <w:spacing w:after="0" w:line="20" w:lineRule="atLeast"/>
              <w:jc w:val="both"/>
              <w:textAlignment w:val="baseline"/>
              <w:rPr>
                <w:rFonts w:eastAsia="Times New Roman" w:cstheme="minorHAnsi"/>
              </w:rPr>
            </w:pPr>
            <w:r w:rsidRPr="003F65DC">
              <w:rPr>
                <w:rFonts w:eastAsia="Times New Roman" w:cstheme="minorHAnsi"/>
              </w:rPr>
              <w:t>Nel corso degli anni, le suddette aziende prima e Azienda Zero poi hanno tentato di coprire i posti vacanti con l’indizione di concorsi e avvisi pubblici per l’assunzione di dirigenti medici a tempo indeterminato e determinato, che hanno soddisfatto le necessità solo in parte.</w:t>
            </w:r>
          </w:p>
          <w:p w:rsidR="00812786" w:rsidRPr="003F65DC" w:rsidRDefault="00812786" w:rsidP="00297481">
            <w:pPr>
              <w:shd w:val="clear" w:color="auto" w:fill="FFFFFF"/>
              <w:spacing w:after="0" w:line="20" w:lineRule="atLeast"/>
              <w:jc w:val="both"/>
              <w:textAlignment w:val="baseline"/>
              <w:rPr>
                <w:rFonts w:eastAsia="Times New Roman" w:cstheme="minorHAnsi"/>
                <w:b/>
              </w:rPr>
            </w:pPr>
            <w:r w:rsidRPr="003F65DC">
              <w:rPr>
                <w:rFonts w:eastAsia="Times New Roman" w:cstheme="minorHAnsi"/>
                <w:b/>
              </w:rPr>
              <w:t>LE CRITICITA’ DA AFFRONTARE</w:t>
            </w:r>
          </w:p>
          <w:p w:rsidR="00812786" w:rsidRPr="003F65DC" w:rsidRDefault="00812786" w:rsidP="00297481">
            <w:pPr>
              <w:shd w:val="clear" w:color="auto" w:fill="FFFFFF"/>
              <w:spacing w:after="0" w:line="20" w:lineRule="atLeast"/>
              <w:jc w:val="both"/>
              <w:textAlignment w:val="baseline"/>
              <w:rPr>
                <w:rFonts w:eastAsia="Times New Roman" w:cstheme="minorHAnsi"/>
              </w:rPr>
            </w:pPr>
            <w:r w:rsidRPr="003F65DC">
              <w:rPr>
                <w:rFonts w:eastAsia="Times New Roman" w:cstheme="minorHAnsi"/>
              </w:rPr>
              <w:t xml:space="preserve">Vari fattori incidono sulla possibilità di reclutamento di personale da parte delle aziende ed enti del SSN. Si evidenziano, in particolare, le difficoltà nell’assunzione di personale medico in alcuni specifici settori, determinata da un numero insufficiente di medici in possesso del titolo di formazione specialistica. Le relative </w:t>
            </w:r>
            <w:r w:rsidRPr="003F65DC">
              <w:rPr>
                <w:rFonts w:eastAsia="Times New Roman" w:cstheme="minorHAnsi"/>
              </w:rPr>
              <w:lastRenderedPageBreak/>
              <w:t>criticità nella copertura dei fabbisogni sono poi accentuate da un’elevata uscita dei medici in servizio, sia per una maggiore attrattività del settore privato, sia a causa di pensionamento.</w:t>
            </w:r>
          </w:p>
          <w:p w:rsidR="00812786" w:rsidRPr="003F65DC" w:rsidRDefault="00812786" w:rsidP="00297481">
            <w:pPr>
              <w:shd w:val="clear" w:color="auto" w:fill="FFFFFF"/>
              <w:spacing w:after="0" w:line="20" w:lineRule="atLeast"/>
              <w:jc w:val="both"/>
              <w:textAlignment w:val="baseline"/>
              <w:rPr>
                <w:rFonts w:eastAsia="Times New Roman" w:cstheme="minorHAnsi"/>
              </w:rPr>
            </w:pPr>
            <w:r w:rsidRPr="003F65DC">
              <w:rPr>
                <w:rFonts w:eastAsia="Times New Roman" w:cstheme="minorHAnsi"/>
              </w:rPr>
              <w:t>A tale ultimo riguardo anche le recenti disposizioni in materia di trattamento di pensione contenute nel D.L. 28 gennaio 2019, n. 4, convertito in legge dall’articolo 1, comma 1, della L. 28 marzo 2019, n 26, contribuiscono a rendere ancora più critica la situazione degli organici e tale situazione potrebbe aggravarsi ulteriormente con l’entrata in vigore del nuovo CCNL dell’area sanità per il triennio 2016-2018.</w:t>
            </w:r>
          </w:p>
          <w:p w:rsidR="00812786" w:rsidRPr="003F65DC" w:rsidRDefault="00812786" w:rsidP="00297481">
            <w:pPr>
              <w:shd w:val="clear" w:color="auto" w:fill="FFFFFF"/>
              <w:spacing w:after="0" w:line="20" w:lineRule="atLeast"/>
              <w:jc w:val="both"/>
              <w:textAlignment w:val="baseline"/>
              <w:rPr>
                <w:rFonts w:eastAsia="Times New Roman" w:cstheme="minorHAnsi"/>
              </w:rPr>
            </w:pPr>
            <w:r w:rsidRPr="003F65DC">
              <w:rPr>
                <w:rFonts w:eastAsia="Times New Roman" w:cstheme="minorHAnsi"/>
              </w:rPr>
              <w:t>Infatti, nell’attuale ipotesi, sottoscritta in data 24 luglio 2019, è previsto all’art. 26, comma 2, che, di regola, sono programmabili non più di cinque servizi di guardia notturni al mese per ciascun dirigente. Un numero così limitato di guardie potrebbe determinare maggiori difficoltà nella copertura dei turni da parte delle aziende sanitarie e quindi determinare un fabbisogno maggiore.</w:t>
            </w:r>
          </w:p>
          <w:p w:rsidR="00812786" w:rsidRPr="003F65DC" w:rsidRDefault="00812786" w:rsidP="00297481">
            <w:pPr>
              <w:shd w:val="clear" w:color="auto" w:fill="FFFFFF"/>
              <w:spacing w:after="0" w:line="20" w:lineRule="atLeast"/>
              <w:jc w:val="both"/>
              <w:textAlignment w:val="baseline"/>
              <w:rPr>
                <w:rFonts w:eastAsia="Times New Roman" w:cstheme="minorHAnsi"/>
              </w:rPr>
            </w:pPr>
            <w:r w:rsidRPr="003F65DC">
              <w:rPr>
                <w:rFonts w:eastAsia="Times New Roman" w:cstheme="minorHAnsi"/>
              </w:rPr>
              <w:t>La ridotta disponibilità di professionisti, rende difficoltosa l’attuazione, in misura più accentuata nelle aree periferiche, degli indirizzi di programmazione socio-sanitaria contenuti nel Piano Socio Sanitario Regionale (PSSR) 2019-2023, approvato con L.R. 28 dicembre 2018, n. 48.</w:t>
            </w:r>
          </w:p>
          <w:p w:rsidR="00812786" w:rsidRPr="003F65DC" w:rsidRDefault="00812786" w:rsidP="00297481">
            <w:pPr>
              <w:shd w:val="clear" w:color="auto" w:fill="FFFFFF"/>
              <w:spacing w:after="0" w:line="20" w:lineRule="atLeast"/>
              <w:jc w:val="both"/>
              <w:textAlignment w:val="baseline"/>
              <w:rPr>
                <w:rFonts w:eastAsia="Times New Roman" w:cstheme="minorHAnsi"/>
              </w:rPr>
            </w:pPr>
            <w:r w:rsidRPr="003F65DC">
              <w:rPr>
                <w:rFonts w:eastAsia="Times New Roman" w:cstheme="minorHAnsi"/>
              </w:rPr>
              <w:t>Alcuni interventi, atti ad assicurare la copertura dei fabbisogni o, comunque, ad affrontare la carenza di personale, sono stati assunti dal sopra richiamato PSSR 2019-2023 e ulteriori se ne prefigurano nel redigendo nuovo “Patto per la Salute” 2019/2021.</w:t>
            </w:r>
          </w:p>
          <w:p w:rsidR="00812786" w:rsidRPr="003F65DC" w:rsidRDefault="00812786" w:rsidP="00297481">
            <w:pPr>
              <w:shd w:val="clear" w:color="auto" w:fill="FFFFFF"/>
              <w:spacing w:after="0" w:line="20" w:lineRule="atLeast"/>
              <w:jc w:val="both"/>
              <w:textAlignment w:val="baseline"/>
              <w:rPr>
                <w:rFonts w:eastAsia="Times New Roman" w:cstheme="minorHAnsi"/>
                <w:b/>
              </w:rPr>
            </w:pPr>
            <w:r w:rsidRPr="003F65DC">
              <w:rPr>
                <w:rFonts w:eastAsia="Times New Roman" w:cstheme="minorHAnsi"/>
                <w:b/>
              </w:rPr>
              <w:t xml:space="preserve">LA COPERTURA DEL FABBISOGNO </w:t>
            </w:r>
          </w:p>
          <w:p w:rsidR="00812786" w:rsidRPr="003F65DC" w:rsidRDefault="00812786" w:rsidP="00297481">
            <w:pPr>
              <w:shd w:val="clear" w:color="auto" w:fill="FFFFFF"/>
              <w:spacing w:after="0" w:line="20" w:lineRule="atLeast"/>
              <w:jc w:val="both"/>
              <w:textAlignment w:val="baseline"/>
              <w:rPr>
                <w:rFonts w:eastAsia="Times New Roman" w:cstheme="minorHAnsi"/>
              </w:rPr>
            </w:pPr>
            <w:r w:rsidRPr="003F65DC">
              <w:rPr>
                <w:rFonts w:eastAsia="Times New Roman" w:cstheme="minorHAnsi"/>
              </w:rPr>
              <w:t xml:space="preserve">In particolare, il PSSR 2019-2023, evidenziando la necessità di assicurare la piena copertura dei fabbisogni di personale del sistema del SSR, definisce alcuni strumenti per affrontare la carenza di medici specialisti. Viene previsto infatti che, allo scopo di garantire l’erogazione delle prestazioni di assistenza diretta ai pazienti comprese nei </w:t>
            </w:r>
            <w:proofErr w:type="gramStart"/>
            <w:r w:rsidRPr="003F65DC">
              <w:rPr>
                <w:rFonts w:eastAsia="Times New Roman" w:cstheme="minorHAnsi"/>
              </w:rPr>
              <w:t>LEA,  le</w:t>
            </w:r>
            <w:proofErr w:type="gramEnd"/>
            <w:r w:rsidRPr="003F65DC">
              <w:rPr>
                <w:rFonts w:eastAsia="Times New Roman" w:cstheme="minorHAnsi"/>
              </w:rPr>
              <w:t xml:space="preserve"> aziende sanitarie possano, in via eccezionale, conferire a medici incarichi individuali con contratto di lavoro autonomo anche per lo svolgimento di funzioni ordinarie, a condizione che l’azienda abbia:</w:t>
            </w:r>
          </w:p>
          <w:p w:rsidR="00812786" w:rsidRPr="003F65DC" w:rsidRDefault="00812786" w:rsidP="00297481">
            <w:pPr>
              <w:numPr>
                <w:ilvl w:val="0"/>
                <w:numId w:val="20"/>
              </w:numPr>
              <w:spacing w:after="0" w:line="20" w:lineRule="atLeast"/>
              <w:ind w:left="0"/>
              <w:jc w:val="both"/>
              <w:textAlignment w:val="baseline"/>
              <w:rPr>
                <w:rFonts w:eastAsia="Times New Roman" w:cstheme="minorHAnsi"/>
              </w:rPr>
            </w:pPr>
            <w:proofErr w:type="gramStart"/>
            <w:r w:rsidRPr="003F65DC">
              <w:rPr>
                <w:rFonts w:eastAsia="Times New Roman" w:cstheme="minorHAnsi"/>
              </w:rPr>
              <w:t>accertato</w:t>
            </w:r>
            <w:proofErr w:type="gramEnd"/>
            <w:r w:rsidRPr="003F65DC">
              <w:rPr>
                <w:rFonts w:eastAsia="Times New Roman" w:cstheme="minorHAnsi"/>
              </w:rPr>
              <w:t xml:space="preserve"> l’impossibilità oggettiva di utilizzare le risorse umane disponibili al suo interno anche in relazione al ricorso a tutti gli istituti previsti dai contratti collettivi nazionali di lavoro del personale dipendente;</w:t>
            </w:r>
          </w:p>
          <w:p w:rsidR="00812786" w:rsidRPr="003F65DC" w:rsidRDefault="00812786" w:rsidP="00297481">
            <w:pPr>
              <w:numPr>
                <w:ilvl w:val="0"/>
                <w:numId w:val="20"/>
              </w:numPr>
              <w:spacing w:after="0" w:line="20" w:lineRule="atLeast"/>
              <w:ind w:left="0"/>
              <w:jc w:val="both"/>
              <w:textAlignment w:val="baseline"/>
              <w:rPr>
                <w:rFonts w:eastAsia="Times New Roman" w:cstheme="minorHAnsi"/>
              </w:rPr>
            </w:pPr>
            <w:proofErr w:type="gramStart"/>
            <w:r w:rsidRPr="003F65DC">
              <w:rPr>
                <w:rFonts w:eastAsia="Times New Roman" w:cstheme="minorHAnsi"/>
              </w:rPr>
              <w:t>accertato</w:t>
            </w:r>
            <w:proofErr w:type="gramEnd"/>
            <w:r w:rsidRPr="003F65DC">
              <w:rPr>
                <w:rFonts w:eastAsia="Times New Roman" w:cstheme="minorHAnsi"/>
              </w:rPr>
              <w:t xml:space="preserve"> l’assenza di valide graduatorie di concorso pubblico o avviso pubblico, cui attingere per eventuali assunzioni a tempo indeterminato o a tempo determinato;</w:t>
            </w:r>
          </w:p>
          <w:p w:rsidR="00812786" w:rsidRPr="003F65DC" w:rsidRDefault="00812786" w:rsidP="00297481">
            <w:pPr>
              <w:numPr>
                <w:ilvl w:val="0"/>
                <w:numId w:val="20"/>
              </w:numPr>
              <w:spacing w:after="0" w:line="20" w:lineRule="atLeast"/>
              <w:ind w:left="0"/>
              <w:jc w:val="both"/>
              <w:textAlignment w:val="baseline"/>
              <w:rPr>
                <w:rFonts w:eastAsia="Times New Roman" w:cstheme="minorHAnsi"/>
              </w:rPr>
            </w:pPr>
            <w:proofErr w:type="gramStart"/>
            <w:r w:rsidRPr="003F65DC">
              <w:rPr>
                <w:rFonts w:eastAsia="Times New Roman" w:cstheme="minorHAnsi"/>
              </w:rPr>
              <w:t>accertato</w:t>
            </w:r>
            <w:proofErr w:type="gramEnd"/>
            <w:r w:rsidRPr="003F65DC">
              <w:rPr>
                <w:rFonts w:eastAsia="Times New Roman" w:cstheme="minorHAnsi"/>
              </w:rPr>
              <w:t>, pur in presenza di graduatorie di cui alla precedente lettera b), il rifiuto del personale utilmente collocato nelle stesse graduatorie all’assunzione;</w:t>
            </w:r>
          </w:p>
          <w:p w:rsidR="00812786" w:rsidRPr="003F65DC" w:rsidRDefault="00812786" w:rsidP="00297481">
            <w:pPr>
              <w:numPr>
                <w:ilvl w:val="0"/>
                <w:numId w:val="20"/>
              </w:numPr>
              <w:spacing w:after="0" w:line="20" w:lineRule="atLeast"/>
              <w:ind w:left="0"/>
              <w:jc w:val="both"/>
              <w:textAlignment w:val="baseline"/>
              <w:rPr>
                <w:rFonts w:eastAsia="Times New Roman" w:cstheme="minorHAnsi"/>
              </w:rPr>
            </w:pPr>
            <w:proofErr w:type="gramStart"/>
            <w:r w:rsidRPr="003F65DC">
              <w:rPr>
                <w:rFonts w:eastAsia="Times New Roman" w:cstheme="minorHAnsi"/>
              </w:rPr>
              <w:t>indetto</w:t>
            </w:r>
            <w:proofErr w:type="gramEnd"/>
            <w:r w:rsidRPr="003F65DC">
              <w:rPr>
                <w:rFonts w:eastAsia="Times New Roman" w:cstheme="minorHAnsi"/>
              </w:rPr>
              <w:t>, nell’ipotesi di assenza di graduatorie, procedure per assunzioni di personale a tempo indeterminato o determinato, in rapporto alla natura permanente o temporanea delle funzioni  che deve garantire.</w:t>
            </w:r>
          </w:p>
          <w:p w:rsidR="00812786" w:rsidRPr="003F65DC" w:rsidRDefault="00812786" w:rsidP="00297481">
            <w:pPr>
              <w:numPr>
                <w:ilvl w:val="0"/>
                <w:numId w:val="20"/>
              </w:numPr>
              <w:shd w:val="clear" w:color="auto" w:fill="FFFFFF"/>
              <w:spacing w:after="0" w:line="20" w:lineRule="atLeast"/>
              <w:ind w:left="0"/>
              <w:jc w:val="both"/>
              <w:textAlignment w:val="baseline"/>
              <w:rPr>
                <w:rFonts w:eastAsia="Times New Roman" w:cstheme="minorHAnsi"/>
                <w:b/>
              </w:rPr>
            </w:pPr>
            <w:r w:rsidRPr="003F65DC">
              <w:rPr>
                <w:rFonts w:eastAsia="Times New Roman" w:cstheme="minorHAnsi"/>
                <w:b/>
              </w:rPr>
              <w:t xml:space="preserve">LE MODALITA’ DI CONFERIMENTO DELL’INCARICO </w:t>
            </w:r>
          </w:p>
          <w:p w:rsidR="00812786" w:rsidRPr="003F65DC" w:rsidRDefault="00812786" w:rsidP="00297481">
            <w:pPr>
              <w:numPr>
                <w:ilvl w:val="0"/>
                <w:numId w:val="20"/>
              </w:numPr>
              <w:shd w:val="clear" w:color="auto" w:fill="FFFFFF"/>
              <w:spacing w:after="0" w:line="20" w:lineRule="atLeast"/>
              <w:ind w:left="0"/>
              <w:jc w:val="both"/>
              <w:textAlignment w:val="baseline"/>
              <w:rPr>
                <w:rFonts w:eastAsia="Times New Roman" w:cstheme="minorHAnsi"/>
              </w:rPr>
            </w:pPr>
            <w:proofErr w:type="gramStart"/>
            <w:r w:rsidRPr="003F65DC">
              <w:rPr>
                <w:rFonts w:eastAsia="Times New Roman" w:cstheme="minorHAnsi"/>
              </w:rPr>
              <w:t>l</w:t>
            </w:r>
            <w:proofErr w:type="gramEnd"/>
            <w:r w:rsidRPr="003F65DC">
              <w:rPr>
                <w:rFonts w:eastAsia="Times New Roman" w:cstheme="minorHAnsi"/>
              </w:rPr>
              <w:t xml:space="preserve"> personale cui viene conferito l’incarico deve essere in possesso dei requisiti previsti dall’ordinamento per l’accesso alla dirigenza medica e deve essere selezionato attraverso procedure comparative.</w:t>
            </w:r>
          </w:p>
          <w:p w:rsidR="00812786" w:rsidRPr="003F65DC" w:rsidRDefault="00812786" w:rsidP="00297481">
            <w:pPr>
              <w:shd w:val="clear" w:color="auto" w:fill="FFFFFF"/>
              <w:spacing w:after="0" w:line="20" w:lineRule="atLeast"/>
              <w:jc w:val="both"/>
              <w:textAlignment w:val="baseline"/>
              <w:rPr>
                <w:rFonts w:eastAsia="Times New Roman" w:cstheme="minorHAnsi"/>
              </w:rPr>
            </w:pPr>
            <w:r w:rsidRPr="003F65DC">
              <w:rPr>
                <w:rFonts w:eastAsia="Times New Roman" w:cstheme="minorHAnsi"/>
              </w:rPr>
              <w:t>Il Piano prevede, inoltre, che qualora risulti oggettivamente impossibile il reperimento di medici in possesso della specializzazione richiesta, la selezione possa essere estesa anche a medici in possesso di diploma di specializzazione in disciplina equipollente o affine. Qualora il reperimento di professionisti risulti infruttuoso anche con l’estensione alle discipline equipollenti o affini, si potrà procedere al reclutamento di medici privi del diploma di specializzazione sulla base di linee di indirizzo regionali che definiscano le modalità di inserimento dei medesimi all’interno delle strutture aziendali e di individuazione degli ambiti di autonomia esercitabili con tutoraggio del personale strutturato.</w:t>
            </w:r>
          </w:p>
          <w:p w:rsidR="00812786" w:rsidRPr="003F65DC" w:rsidRDefault="00812786" w:rsidP="00297481">
            <w:pPr>
              <w:shd w:val="clear" w:color="auto" w:fill="FFFFFF"/>
              <w:spacing w:after="0" w:line="20" w:lineRule="atLeast"/>
              <w:jc w:val="both"/>
              <w:textAlignment w:val="baseline"/>
              <w:rPr>
                <w:rFonts w:eastAsia="Times New Roman" w:cstheme="minorHAnsi"/>
              </w:rPr>
            </w:pPr>
            <w:r w:rsidRPr="003F65DC">
              <w:rPr>
                <w:rFonts w:eastAsia="Times New Roman" w:cstheme="minorHAnsi"/>
              </w:rPr>
              <w:t>La Regione potrà anche organizzare o riconoscere percorsi formativi dedicati all’acquisizione di competenze teorico-pratiche negli ambiti di potenziale impiego di medici privi del diploma di specializzazione. Il diploma di specializzazione è sempre richiesto per le specialità di Anestesia, rianimazione e terapia intensiva e del dolore, Medicina nucleare, Radiodiagnostica, Radioterapia e Neuroradiologia. In luogo della specializzazione in Neuroradiologia sono ammesse le specializzazioni in Radiologia diagnostica, Radiodiagnostica, Radiologia e Radiologia medica.</w:t>
            </w:r>
          </w:p>
          <w:p w:rsidR="00812786" w:rsidRPr="003F65DC" w:rsidRDefault="00812786" w:rsidP="00297481">
            <w:pPr>
              <w:shd w:val="clear" w:color="auto" w:fill="FFFFFF"/>
              <w:spacing w:after="0" w:line="20" w:lineRule="atLeast"/>
              <w:jc w:val="both"/>
              <w:textAlignment w:val="baseline"/>
              <w:rPr>
                <w:rFonts w:eastAsia="Times New Roman" w:cstheme="minorHAnsi"/>
              </w:rPr>
            </w:pPr>
            <w:r w:rsidRPr="003F65DC">
              <w:rPr>
                <w:rFonts w:eastAsia="Times New Roman" w:cstheme="minorHAnsi"/>
              </w:rPr>
              <w:t xml:space="preserve">Viene </w:t>
            </w:r>
            <w:proofErr w:type="gramStart"/>
            <w:r w:rsidRPr="003F65DC">
              <w:rPr>
                <w:rFonts w:eastAsia="Times New Roman" w:cstheme="minorHAnsi"/>
              </w:rPr>
              <w:t>avviato  un</w:t>
            </w:r>
            <w:proofErr w:type="gramEnd"/>
            <w:r w:rsidRPr="003F65DC">
              <w:rPr>
                <w:rFonts w:eastAsia="Times New Roman" w:cstheme="minorHAnsi"/>
              </w:rPr>
              <w:t xml:space="preserve"> percorso formativo rivolto al personale medico laureato e abilitato non in possesso del diploma di specializzazione per l’acquisizione di specifiche competenze teorico-pratiche nell’area internistica, in analogia a quanto già realizzato per l’inserimento di medici non specialisti nei dipartimenti di emergenza della regione (DGR n. 1035 del 12 luglio 2019).</w:t>
            </w:r>
          </w:p>
          <w:p w:rsidR="00812786" w:rsidRPr="003F65DC" w:rsidRDefault="00812786" w:rsidP="00297481">
            <w:pPr>
              <w:shd w:val="clear" w:color="auto" w:fill="FFFFFF"/>
              <w:spacing w:after="0" w:line="20" w:lineRule="atLeast"/>
              <w:jc w:val="both"/>
              <w:textAlignment w:val="baseline"/>
              <w:rPr>
                <w:rFonts w:eastAsia="Times New Roman" w:cstheme="minorHAnsi"/>
              </w:rPr>
            </w:pPr>
            <w:r w:rsidRPr="003F65DC">
              <w:rPr>
                <w:rFonts w:eastAsia="Times New Roman" w:cstheme="minorHAnsi"/>
              </w:rPr>
              <w:lastRenderedPageBreak/>
              <w:t>Una volta concluso l’iter formativo e raggiunta la certificazione di competenza, il personale medico potrà essere ammesso a partecipare alle procedure comparative per l’assegnazione di incarichi di lavoro autonomo presso le aziende ed enti del SSR.</w:t>
            </w:r>
          </w:p>
          <w:p w:rsidR="00812786" w:rsidRPr="003F65DC" w:rsidRDefault="00812786" w:rsidP="00297481">
            <w:pPr>
              <w:shd w:val="clear" w:color="auto" w:fill="FFFFFF"/>
              <w:spacing w:after="0" w:line="20" w:lineRule="atLeast"/>
              <w:jc w:val="both"/>
              <w:textAlignment w:val="baseline"/>
              <w:rPr>
                <w:rFonts w:eastAsia="Times New Roman" w:cstheme="minorHAnsi"/>
              </w:rPr>
            </w:pPr>
            <w:r w:rsidRPr="003F65DC">
              <w:rPr>
                <w:rFonts w:eastAsia="Times New Roman" w:cstheme="minorHAnsi"/>
              </w:rPr>
              <w:t>I professionisti che supereranno positivamente la procedura comparativa potranno essere inseriti progressivamente nell’attività assistenziale in autonomia secondo progetti individuali che dovranno necessariamente tenere conto del grado di competenza richiesto, fermo restando la presenza di un tutor di riferimento, nel rispetto delle linee di indirizzo regionali.</w:t>
            </w:r>
          </w:p>
          <w:p w:rsidR="00812786" w:rsidRPr="003F65DC" w:rsidRDefault="00812786" w:rsidP="00297481">
            <w:pPr>
              <w:shd w:val="clear" w:color="auto" w:fill="FFFFFF"/>
              <w:spacing w:after="0" w:line="20" w:lineRule="atLeast"/>
              <w:jc w:val="both"/>
              <w:textAlignment w:val="baseline"/>
              <w:rPr>
                <w:rFonts w:eastAsia="Times New Roman" w:cstheme="minorHAnsi"/>
              </w:rPr>
            </w:pPr>
            <w:r w:rsidRPr="003F65DC">
              <w:rPr>
                <w:rFonts w:eastAsia="Times New Roman" w:cstheme="minorHAnsi"/>
              </w:rPr>
              <w:t>Il suddetto percorso formativo comprenderà 92 ore di formazione d’aula e un’attività di tirocinio pratico con tutoraggio di 2 mesi continuativi (38 ore settimanali) che sarà svolta all’interno delle unità operative di area internistica delle aziende ed enti del SSR che saranno successivamente individuate.</w:t>
            </w:r>
          </w:p>
          <w:p w:rsidR="00812786" w:rsidRPr="003F65DC" w:rsidRDefault="00812786" w:rsidP="00297481">
            <w:pPr>
              <w:shd w:val="clear" w:color="auto" w:fill="FFFFFF"/>
              <w:spacing w:after="0" w:line="20" w:lineRule="atLeast"/>
              <w:jc w:val="both"/>
              <w:textAlignment w:val="baseline"/>
              <w:rPr>
                <w:rFonts w:eastAsia="Times New Roman" w:cstheme="minorHAnsi"/>
              </w:rPr>
            </w:pPr>
            <w:r w:rsidRPr="003F65DC">
              <w:rPr>
                <w:rFonts w:eastAsia="Times New Roman" w:cstheme="minorHAnsi"/>
              </w:rPr>
              <w:t xml:space="preserve">La programmazione e la realizzazione del percorso </w:t>
            </w:r>
            <w:proofErr w:type="gramStart"/>
            <w:r w:rsidRPr="003F65DC">
              <w:rPr>
                <w:rFonts w:eastAsia="Times New Roman" w:cstheme="minorHAnsi"/>
              </w:rPr>
              <w:t>formativo  sono</w:t>
            </w:r>
            <w:proofErr w:type="gramEnd"/>
            <w:r w:rsidRPr="003F65DC">
              <w:rPr>
                <w:rFonts w:eastAsia="Times New Roman" w:cstheme="minorHAnsi"/>
              </w:rPr>
              <w:t xml:space="preserve"> affidate  alla Fondazione Scuola di Sanità Pubblica, management delle aziende socio-sanitarie e per l’incremento dei trapianti d’organo e tessuti (Fondazione SSP), dando atto che i relativi oneri troveranno copertura finanziaria nell’ambito del finanziamento regionale annuale stabilito dalla Giunta regionale.</w:t>
            </w:r>
          </w:p>
          <w:p w:rsidR="00812786" w:rsidRPr="003F65DC" w:rsidRDefault="00812786" w:rsidP="00297481">
            <w:pPr>
              <w:shd w:val="clear" w:color="auto" w:fill="FFFFFF"/>
              <w:spacing w:after="0" w:line="20" w:lineRule="atLeast"/>
              <w:jc w:val="both"/>
              <w:textAlignment w:val="baseline"/>
              <w:rPr>
                <w:rFonts w:eastAsia="Times New Roman" w:cstheme="minorHAnsi"/>
              </w:rPr>
            </w:pPr>
            <w:r w:rsidRPr="003F65DC">
              <w:rPr>
                <w:rFonts w:eastAsia="Times New Roman" w:cstheme="minorHAnsi"/>
              </w:rPr>
              <w:t>La Fondazione pubblicherà, entro il 15 ottobre 2019, un avviso, cui sarà data adeguata pubblicità, rivolto ai medici privi del diploma di specializzazione per raccogliere eventuali adesioni.</w:t>
            </w:r>
          </w:p>
          <w:p w:rsidR="00812786" w:rsidRPr="003F65DC" w:rsidRDefault="00812786" w:rsidP="003F65DC">
            <w:pPr>
              <w:shd w:val="clear" w:color="auto" w:fill="FFFFFF"/>
              <w:spacing w:after="0" w:line="20" w:lineRule="atLeast"/>
              <w:jc w:val="both"/>
              <w:textAlignment w:val="baseline"/>
              <w:rPr>
                <w:rFonts w:cstheme="minorHAnsi"/>
              </w:rPr>
            </w:pPr>
            <w:r w:rsidRPr="003F65DC">
              <w:rPr>
                <w:rFonts w:eastAsia="Times New Roman" w:cstheme="minorHAnsi"/>
              </w:rPr>
              <w:t>Tutte le aziende ed enti del SSR sono tenute a rendersi disponibili ad accogliere i tirocinanti per lo svolgimento dell’attività formativa. L’azienda dovrà garantire al tirocinante l’accesso al servizio mensa aziendale alle medesime condizioni previste per il personale dipendente e la fornitura dell’abbigliamento professionale idoneo allo svolgimento delle funzioni.</w:t>
            </w:r>
          </w:p>
        </w:tc>
      </w:tr>
    </w:tbl>
    <w:p w:rsidR="007A4E91" w:rsidRDefault="007A4E91" w:rsidP="007A4E91">
      <w:pPr>
        <w:spacing w:after="0" w:line="20" w:lineRule="atLeast"/>
        <w:jc w:val="center"/>
        <w:rPr>
          <w:rFonts w:ascii="Broadway" w:hAnsi="Broadway" w:cstheme="majorHAnsi"/>
          <w:b/>
          <w:sz w:val="40"/>
          <w:szCs w:val="40"/>
        </w:rPr>
      </w:pPr>
      <w:r>
        <w:rPr>
          <w:rFonts w:ascii="Broadway" w:hAnsi="Broadway" w:cstheme="majorHAnsi"/>
          <w:b/>
          <w:sz w:val="40"/>
          <w:szCs w:val="40"/>
        </w:rPr>
        <w:lastRenderedPageBreak/>
        <w:t>BOLZANO</w:t>
      </w:r>
    </w:p>
    <w:p w:rsidR="00AB6D04" w:rsidRDefault="00AB6D04" w:rsidP="00EB0A54">
      <w:pPr>
        <w:spacing w:after="0" w:line="20" w:lineRule="atLeast"/>
        <w:jc w:val="both"/>
        <w:rPr>
          <w:rFonts w:cstheme="minorHAnsi"/>
        </w:rPr>
      </w:pPr>
    </w:p>
    <w:p w:rsidR="00AB6D04" w:rsidRDefault="00AB6D04" w:rsidP="00AB6D04">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b/>
        </w:rPr>
      </w:pPr>
      <w:r>
        <w:rPr>
          <w:b/>
        </w:rPr>
        <w:t>ANZIANI</w:t>
      </w:r>
    </w:p>
    <w:p w:rsidR="00AB6D04" w:rsidRDefault="00AB6D04" w:rsidP="00AB6D04">
      <w:pPr>
        <w:spacing w:after="0" w:line="20" w:lineRule="atLeast"/>
        <w:jc w:val="both"/>
        <w:rPr>
          <w:b/>
        </w:rPr>
      </w:pPr>
    </w:p>
    <w:p w:rsidR="00AB6D04" w:rsidRDefault="00AB6D04" w:rsidP="00AB6D04">
      <w:pPr>
        <w:spacing w:after="0" w:line="20" w:lineRule="atLeast"/>
        <w:jc w:val="both"/>
      </w:pPr>
      <w:r w:rsidRPr="009877DF">
        <w:rPr>
          <w:b/>
        </w:rPr>
        <w:t>DGP 30 luglio 2019, n. 667</w:t>
      </w:r>
      <w:r>
        <w:t>, Accompagnamento e assistenza abitativa per anziani - revoca della deliberazione 7 marzo 2017, n. 254 (BUR n. 33 del 16.8.19)</w:t>
      </w:r>
    </w:p>
    <w:p w:rsidR="007A4E91" w:rsidRPr="007A4E91" w:rsidRDefault="007A4E91" w:rsidP="00AB6D04">
      <w:pPr>
        <w:spacing w:after="0" w:line="20" w:lineRule="atLeast"/>
        <w:jc w:val="both"/>
        <w:rPr>
          <w:b/>
        </w:rPr>
      </w:pPr>
      <w:r w:rsidRPr="007A4E91">
        <w:rPr>
          <w:b/>
        </w:rPr>
        <w:t>Note</w:t>
      </w:r>
    </w:p>
    <w:p w:rsidR="00AB6D04" w:rsidRDefault="00594F13" w:rsidP="00AB6D04">
      <w:pPr>
        <w:spacing w:after="0" w:line="20" w:lineRule="atLeast"/>
        <w:jc w:val="both"/>
        <w:rPr>
          <w:rFonts w:ascii="Corbel" w:hAnsi="Corbel" w:cs="DecimaWE-Bold"/>
          <w:b/>
          <w:bCs/>
          <w:color w:val="FFFFFF"/>
          <w:sz w:val="28"/>
          <w:szCs w:val="28"/>
        </w:rPr>
      </w:pPr>
      <w:r>
        <w:t xml:space="preserve">Vengono </w:t>
      </w:r>
      <w:r w:rsidR="00AB6D04">
        <w:t>approva</w:t>
      </w:r>
      <w:r>
        <w:t xml:space="preserve">te </w:t>
      </w:r>
      <w:proofErr w:type="gramStart"/>
      <w:r w:rsidR="00AB6D04">
        <w:t>le  disposizioni</w:t>
      </w:r>
      <w:proofErr w:type="gramEnd"/>
      <w:r w:rsidR="00AB6D04">
        <w:t xml:space="preserve"> concernenti il servizio di “Accompagnamento e assistenza abitativa per anziani” come da allegato A), il quale costituisce parte integrante della presente deliberazione. </w:t>
      </w:r>
    </w:p>
    <w:p w:rsidR="00594F13" w:rsidRDefault="00594F13" w:rsidP="00AB6D04">
      <w:pPr>
        <w:spacing w:after="0" w:line="20" w:lineRule="atLeast"/>
        <w:jc w:val="both"/>
      </w:pPr>
    </w:p>
    <w:p w:rsidR="00AB6D04" w:rsidRDefault="00AB6D04" w:rsidP="00AB6D04">
      <w:pPr>
        <w:spacing w:after="0" w:line="20" w:lineRule="atLeast"/>
        <w:jc w:val="both"/>
      </w:pPr>
      <w:r>
        <w:t xml:space="preserve"> Allegato A Accompagnamento e assistenza abitativa per anziani </w:t>
      </w:r>
    </w:p>
    <w:p w:rsidR="00AB6D04" w:rsidRDefault="00AB6D04" w:rsidP="00AB6D04">
      <w:pPr>
        <w:spacing w:after="0" w:line="20" w:lineRule="atLeast"/>
        <w:jc w:val="both"/>
      </w:pPr>
      <w:r>
        <w:t>Art. 1</w:t>
      </w:r>
    </w:p>
    <w:p w:rsidR="00AB6D04" w:rsidRDefault="00AB6D04" w:rsidP="00AB6D04">
      <w:pPr>
        <w:spacing w:after="0" w:line="20" w:lineRule="atLeast"/>
        <w:jc w:val="both"/>
      </w:pPr>
      <w:r>
        <w:t xml:space="preserve">1. Le presenti disposizioni determinano, ai sensi dell’articolo 8, comma 1, lettera b), della legge provinciale 30 aprile 1991, n. 13, le linee guida e i criteri relativi all’organizzazione e alla gestione del servizio “Accompagnamento e assistenza abitativa per anziani” di cui all’articolo 11/quater, comma 2, lettera a), della stessa legge provinciale, all’interno degli alloggi a tal fine previsti. </w:t>
      </w:r>
    </w:p>
    <w:p w:rsidR="00AB6D04" w:rsidRDefault="00AB6D04" w:rsidP="00AB6D04">
      <w:pPr>
        <w:spacing w:after="0" w:line="20" w:lineRule="atLeast"/>
        <w:jc w:val="both"/>
      </w:pPr>
      <w:r>
        <w:t xml:space="preserve">2. In quanto compatibili, trovano applicazione gli articoli del decreto del Presidente della Giunta provinciale 11 agosto 2000, n. 30, e successive modifiche, come ad esempio l’articolo 5, e altri decreti e delibere che disciplinano le residenze per anziani. </w:t>
      </w:r>
    </w:p>
    <w:p w:rsidR="00AB6D04" w:rsidRDefault="00AB6D04" w:rsidP="00AB6D04">
      <w:pPr>
        <w:spacing w:after="0" w:line="20" w:lineRule="atLeast"/>
        <w:jc w:val="both"/>
      </w:pPr>
      <w:r>
        <w:t xml:space="preserve">3. Per livelli di non autosufficienza menzionati nel presente testo si intendono quelli indicati all’articolo 3 della legge provinciale del 12 ottobre 2007, n. 9, e successive modifiche. </w:t>
      </w:r>
    </w:p>
    <w:p w:rsidR="00AB6D04" w:rsidRDefault="00AB6D04" w:rsidP="00AB6D04">
      <w:pPr>
        <w:spacing w:after="0" w:line="20" w:lineRule="atLeast"/>
        <w:jc w:val="both"/>
      </w:pPr>
      <w:r>
        <w:t xml:space="preserve">4. Le persone appartenenti all’utenza del servizio vengono di seguito denominate utenti. Persone non appartenenti a tale utenza, ma che abitano insieme a persone appartenenti all’utenza in un alloggio destinato all’accompagnamento e assistenza abitativa, vengono denominate conviventi. Utenti e conviventi considerati insieme vengono denominati residenti. </w:t>
      </w:r>
    </w:p>
    <w:p w:rsidR="00AB6D04" w:rsidRDefault="00AB6D04" w:rsidP="00AB6D04">
      <w:pPr>
        <w:spacing w:after="0" w:line="20" w:lineRule="atLeast"/>
        <w:jc w:val="both"/>
      </w:pPr>
      <w:r>
        <w:t xml:space="preserve">Art. 2 Caratteristiche e finalità del servizio </w:t>
      </w:r>
    </w:p>
    <w:p w:rsidR="00AB6D04" w:rsidRDefault="00AB6D04" w:rsidP="00AB6D04">
      <w:pPr>
        <w:spacing w:after="0" w:line="20" w:lineRule="atLeast"/>
        <w:jc w:val="both"/>
      </w:pPr>
      <w:r>
        <w:t xml:space="preserve">1. Il servizio di cui alle presenti disposizioni è offerto all’interno degli alloggi a tal fine destinati dai Comuni, preferibilmente all’interno degli alloggi per anziani di cui al comma 4, con l’opzione tra la tipologia del servizio di accompagnamento abitativo e quella di assistenza abitativa, secondo quanto previsto dall’articolo 6 delle presenti disposizioni. Il servizio viene offerto nella lingua provinciale preferita dall’utente, nel rispetto della normativa vigente. </w:t>
      </w:r>
    </w:p>
    <w:p w:rsidR="00AB6D04" w:rsidRDefault="00AB6D04" w:rsidP="00AB6D04">
      <w:pPr>
        <w:spacing w:after="0" w:line="20" w:lineRule="atLeast"/>
        <w:jc w:val="both"/>
      </w:pPr>
      <w:r>
        <w:lastRenderedPageBreak/>
        <w:t xml:space="preserve">2. Il servizio, indipendentemente dalla tipologia in cui è offerto, si basa sul principio di solidarietà tra tutti i residenti degli alloggi, i loro familiari e i volontari. Esso persegue l’obiettivo di sostenere le/gli utenti degli alloggi nella gestione della vita quotidiana e a mantenerli attivi tramite l’offerta di attività note, familiari e, soprattutto, adeguate alle singole capacità. In questo senso, i servizi di assistenza e le prestazioni da parte del personale vengono offerti solo se l’utente di cui all’articolo 3 non è più in grado di gestire autonomamente la propria vita quotidiana, neppure con l’aiuto degli altri residenti. </w:t>
      </w:r>
    </w:p>
    <w:p w:rsidR="00AB6D04" w:rsidRDefault="00AB6D04" w:rsidP="00AB6D04">
      <w:pPr>
        <w:spacing w:after="0" w:line="20" w:lineRule="atLeast"/>
        <w:jc w:val="both"/>
      </w:pPr>
      <w:r>
        <w:t xml:space="preserve">3. Per raggiungere tale obiettivo, il servizio deve essere organizzato con la massima flessibilità possibile, sia in riferimento alle esigenze delle/degli utenti, sia alle risorse disponibili. </w:t>
      </w:r>
    </w:p>
    <w:p w:rsidR="00AB6D04" w:rsidRDefault="00AB6D04" w:rsidP="00AB6D04">
      <w:pPr>
        <w:spacing w:after="0" w:line="20" w:lineRule="atLeast"/>
        <w:jc w:val="both"/>
      </w:pPr>
      <w:r>
        <w:t>4. Il servizio è collegato ad appositi alloggi a tal fine destinati, che possono consistere in alloggi singoli collegati o, in alternativa, in un alloggio suddiviso in piccole unità in forma di comunità alloggio. Nel caso in cui gli alloggi non siano di proprietà del Comune, l’ente gestore deve ottenerne il consenso, affinché essi vengano riconosciuti come alloggi utilizzabili ai sensi delle presenti disposizioni.</w:t>
      </w:r>
    </w:p>
    <w:p w:rsidR="00AB6D04" w:rsidRDefault="00AB6D04" w:rsidP="00AB6D04">
      <w:pPr>
        <w:spacing w:after="0" w:line="20" w:lineRule="atLeast"/>
        <w:jc w:val="both"/>
      </w:pPr>
      <w:r>
        <w:t xml:space="preserve"> 5. La capacità ricettiva del servizio non può essere inferiore a cinque né superiore a 25 utenti. Motivate eccezioni devono essere preventivamente autorizzate dalla ripartizione provinciale competente. </w:t>
      </w:r>
    </w:p>
    <w:p w:rsidR="00AB6D04" w:rsidRDefault="00AB6D04" w:rsidP="00AB6D04">
      <w:pPr>
        <w:spacing w:after="0" w:line="20" w:lineRule="atLeast"/>
        <w:jc w:val="both"/>
      </w:pPr>
      <w:r>
        <w:t>Art. 3 Utenza e ammissione</w:t>
      </w:r>
    </w:p>
    <w:p w:rsidR="00AB6D04" w:rsidRDefault="00AB6D04" w:rsidP="00AB6D04">
      <w:pPr>
        <w:spacing w:after="0" w:line="20" w:lineRule="atLeast"/>
        <w:jc w:val="both"/>
      </w:pPr>
      <w:r>
        <w:t xml:space="preserve">1. Il servizio si rivolge in primo luogo a persone anziane ultrasessantacinquenni residenti in Alto Adige, che non sono più in grado di gestire autonomamente o con l’aiuto di altre persone la propria vita quotidiana presso il proprio domicilio. </w:t>
      </w:r>
    </w:p>
    <w:p w:rsidR="00AB6D04" w:rsidRDefault="00AB6D04" w:rsidP="00AB6D04">
      <w:pPr>
        <w:spacing w:after="0" w:line="20" w:lineRule="atLeast"/>
        <w:jc w:val="both"/>
      </w:pPr>
      <w:r>
        <w:t xml:space="preserve">2. Nel caso in cui all’interno degli alloggi previsti per il servizio rimangano posti liberi e non vi siano richieste pendenti di persone anziane, l’ente gestore può prescindere dal limite di età e dai presupposti di cui al comma 1 per ammettere come utenti persone con problemi specifici o affette da forme di dipendenza, malattie psichiche o disabilità, sulla base di una proposta del distretto sociale competente. </w:t>
      </w:r>
    </w:p>
    <w:p w:rsidR="00AB6D04" w:rsidRDefault="00AB6D04" w:rsidP="00AB6D04">
      <w:pPr>
        <w:spacing w:after="0" w:line="20" w:lineRule="atLeast"/>
        <w:jc w:val="both"/>
      </w:pPr>
      <w:r>
        <w:t xml:space="preserve">3. Sono ammessi al servizio le/gli utenti non inquadrati in alcun livello di non autosufficienza oppure con inquadramento al primo o al secondo livello. </w:t>
      </w:r>
    </w:p>
    <w:p w:rsidR="00AB6D04" w:rsidRDefault="00AB6D04" w:rsidP="00AB6D04">
      <w:pPr>
        <w:spacing w:after="0" w:line="20" w:lineRule="atLeast"/>
        <w:jc w:val="both"/>
      </w:pPr>
      <w:r>
        <w:t xml:space="preserve">4. Ai fini dell’ammissione deve essere effettuata una valutazione sociale della/dell’utente e del gruppo degli altri utenti. A tal fine vengono rilevati i seguenti aspetti: a) la situazione sociale; b) la capacità di convivenza; c) il fabbisogno di assistenza dell’utente e delle altre/degli altri utenti. </w:t>
      </w:r>
    </w:p>
    <w:p w:rsidR="00AB6D04" w:rsidRDefault="00AB6D04" w:rsidP="00AB6D04">
      <w:pPr>
        <w:spacing w:after="0" w:line="20" w:lineRule="atLeast"/>
        <w:jc w:val="both"/>
      </w:pPr>
      <w:r>
        <w:t>5. Al momento dell’ammissione, l’utente elabora insieme alla persona responsabile del servizio un contratto di accompagnamento/assistenza in cui sono definite le modalità atte a garantire accompagnamento, assistenza e aiuto adeguati alle rispettive esigenze.</w:t>
      </w:r>
    </w:p>
    <w:p w:rsidR="00AB6D04" w:rsidRDefault="00AB6D04" w:rsidP="00AB6D04">
      <w:pPr>
        <w:spacing w:after="0" w:line="20" w:lineRule="atLeast"/>
        <w:jc w:val="both"/>
      </w:pPr>
      <w:r>
        <w:t xml:space="preserve"> 6. Le/Gli utenti, le cui condizioni nel corso del tempo peggiorano a tal punto che non è più possibile garantire loro un’assistenza adeguata, o quelli che, secondo la valutazione sociale di una operatrice/un operatore sociale, non sono più in grado di abitare nell’alloggio o la cui permanenza nell’alloggio stesso risulta eccessivamente gravosa per gli altri residenti, devono trasferirsi in una struttura adatta alle loro esigenze. </w:t>
      </w:r>
    </w:p>
    <w:p w:rsidR="00AB6D04" w:rsidRDefault="00AB6D04" w:rsidP="00AB6D04">
      <w:pPr>
        <w:spacing w:after="0" w:line="20" w:lineRule="atLeast"/>
        <w:jc w:val="both"/>
      </w:pPr>
      <w:r>
        <w:t xml:space="preserve">7. Le persone anziane vengono trasferite in questo caso in una residenza per anziani, tutti gli altri utenti invece in una struttura adatta alle rispettive esigenze. </w:t>
      </w:r>
    </w:p>
    <w:p w:rsidR="00AB6D04" w:rsidRDefault="00AB6D04" w:rsidP="00AB6D04">
      <w:pPr>
        <w:spacing w:after="0" w:line="20" w:lineRule="atLeast"/>
        <w:jc w:val="both"/>
      </w:pPr>
      <w:r>
        <w:t xml:space="preserve">Art. 4 Gestione del servizio </w:t>
      </w:r>
    </w:p>
    <w:p w:rsidR="00AB6D04" w:rsidRDefault="00AB6D04" w:rsidP="00AB6D04">
      <w:pPr>
        <w:spacing w:after="0" w:line="20" w:lineRule="atLeast"/>
        <w:jc w:val="both"/>
      </w:pPr>
      <w:r>
        <w:t xml:space="preserve">1. Il servizio è gestito direttamente dal Comune o trasferito ad altri soggetti di cui all’articolo 1, comma 2, e all’articolo 20 della legge provinciale 30 aprile 1991, n. 13, e successive modifiche, prevalentemente a enti gestori di strutture residenziali. </w:t>
      </w:r>
    </w:p>
    <w:p w:rsidR="00AB6D04" w:rsidRDefault="00AB6D04" w:rsidP="00AB6D04">
      <w:pPr>
        <w:spacing w:after="0" w:line="20" w:lineRule="atLeast"/>
        <w:jc w:val="both"/>
      </w:pPr>
      <w:r>
        <w:t xml:space="preserve">2. Nell’atto di trasferimento di cui al comma 1 vengono stabilite le modalità di gestione, in ottemperanza alle disposizioni provinciali vigenti. L’atto di trasferimento, o, in assenza di trasferimento, il regolamento di servizio, deve regolare almeno i seguenti aspetti: </w:t>
      </w:r>
    </w:p>
    <w:p w:rsidR="00AB6D04" w:rsidRDefault="00AB6D04" w:rsidP="00AB6D04">
      <w:pPr>
        <w:spacing w:after="0" w:line="20" w:lineRule="atLeast"/>
        <w:jc w:val="both"/>
      </w:pPr>
      <w:r>
        <w:t xml:space="preserve">a) se il Comune mette a disposizione anche gli alloggi: </w:t>
      </w:r>
    </w:p>
    <w:p w:rsidR="00AB6D04" w:rsidRDefault="00AB6D04" w:rsidP="00AB6D04">
      <w:pPr>
        <w:spacing w:after="0" w:line="20" w:lineRule="atLeast"/>
        <w:jc w:val="both"/>
      </w:pPr>
      <w:r>
        <w:t>- le modalità relative alla cessione degli alloggi all’ente che gestisce il servizio</w:t>
      </w:r>
    </w:p>
    <w:p w:rsidR="00AB6D04" w:rsidRDefault="00AB6D04" w:rsidP="00AB6D04">
      <w:pPr>
        <w:spacing w:after="0" w:line="20" w:lineRule="atLeast"/>
        <w:jc w:val="both"/>
      </w:pPr>
      <w:r>
        <w:t xml:space="preserve"> - la forma di cessione dell’alloggio alle/agli utenti; </w:t>
      </w:r>
    </w:p>
    <w:p w:rsidR="00AB6D04" w:rsidRDefault="00AB6D04" w:rsidP="00AB6D04">
      <w:pPr>
        <w:spacing w:after="0" w:line="20" w:lineRule="atLeast"/>
        <w:jc w:val="both"/>
      </w:pPr>
      <w:r>
        <w:t>- chi sostiene i costi per la manutenzione ordinaria e straordinaria dell’edificio e in quale misura;</w:t>
      </w:r>
    </w:p>
    <w:p w:rsidR="00AB6D04" w:rsidRDefault="00AB6D04" w:rsidP="00AB6D04">
      <w:pPr>
        <w:spacing w:after="0" w:line="20" w:lineRule="atLeast"/>
        <w:jc w:val="both"/>
      </w:pPr>
      <w:r>
        <w:t xml:space="preserve">, - la procedura e le competenze nel caso di mancato pagamento di spese che non sono regolamentate; </w:t>
      </w:r>
    </w:p>
    <w:p w:rsidR="00AB6D04" w:rsidRDefault="00AB6D04" w:rsidP="00AB6D04">
      <w:pPr>
        <w:spacing w:after="0" w:line="20" w:lineRule="atLeast"/>
        <w:jc w:val="both"/>
      </w:pPr>
      <w:r>
        <w:t>b) i criteri e le modalità di ammissione e dimissione delle/degli utenti, da pubblicarsi online. A tal fine si terrà prevalentemente in considerazione quanto segue:</w:t>
      </w:r>
    </w:p>
    <w:p w:rsidR="00AB6D04" w:rsidRDefault="00AB6D04" w:rsidP="00AB6D04">
      <w:pPr>
        <w:spacing w:after="0" w:line="20" w:lineRule="atLeast"/>
        <w:jc w:val="both"/>
      </w:pPr>
      <w:r>
        <w:t xml:space="preserve">- la persona vive da sola, in isolamento sociale e a rischio di abbandono; </w:t>
      </w:r>
    </w:p>
    <w:p w:rsidR="00AB6D04" w:rsidRDefault="00AB6D04" w:rsidP="00AB6D04">
      <w:pPr>
        <w:spacing w:after="0" w:line="20" w:lineRule="atLeast"/>
        <w:jc w:val="both"/>
      </w:pPr>
      <w:r>
        <w:t xml:space="preserve">- la persona vive in un’abitazione non adatta alle proprie specifiche esigenze o che presenta significative barriere architettoniche; </w:t>
      </w:r>
    </w:p>
    <w:p w:rsidR="00AB6D04" w:rsidRDefault="00AB6D04" w:rsidP="00AB6D04">
      <w:pPr>
        <w:spacing w:after="0" w:line="20" w:lineRule="atLeast"/>
        <w:jc w:val="both"/>
      </w:pPr>
      <w:r>
        <w:lastRenderedPageBreak/>
        <w:t xml:space="preserve">- la persona, pur avendone bisogno, è priva di qualsiasi forma d’aiuto esterno o dispone di un insufficiente aiuto familiare; </w:t>
      </w:r>
    </w:p>
    <w:p w:rsidR="00AB6D04" w:rsidRDefault="00AB6D04" w:rsidP="00AB6D04">
      <w:pPr>
        <w:spacing w:after="0" w:line="20" w:lineRule="atLeast"/>
        <w:jc w:val="both"/>
      </w:pPr>
      <w:r>
        <w:t xml:space="preserve">- per i familiari l’assistenza risulta eccessivamente onerosa; </w:t>
      </w:r>
    </w:p>
    <w:p w:rsidR="00AB6D04" w:rsidRDefault="00AB6D04" w:rsidP="00AB6D04">
      <w:pPr>
        <w:spacing w:after="0" w:line="20" w:lineRule="atLeast"/>
        <w:jc w:val="both"/>
      </w:pPr>
      <w:r>
        <w:t xml:space="preserve">- la persona per altri motivi si trova in una situazione sociale non sostenibile; </w:t>
      </w:r>
    </w:p>
    <w:p w:rsidR="00AB6D04" w:rsidRDefault="00AB6D04" w:rsidP="00AB6D04">
      <w:pPr>
        <w:spacing w:after="0" w:line="20" w:lineRule="atLeast"/>
        <w:jc w:val="both"/>
      </w:pPr>
      <w:r>
        <w:t xml:space="preserve">c) la gestione di un’apposita graduatoria per l’ammissione, indipendente da quella per gli alloggi per anziani nei quali non viene offerto alcun servizio; </w:t>
      </w:r>
    </w:p>
    <w:p w:rsidR="00AB6D04" w:rsidRDefault="00AB6D04" w:rsidP="00AB6D04">
      <w:pPr>
        <w:spacing w:after="0" w:line="20" w:lineRule="atLeast"/>
        <w:jc w:val="both"/>
      </w:pPr>
      <w:r>
        <w:t xml:space="preserve">d) la regolamentazione dell’assenza delle/degli utenti; </w:t>
      </w:r>
    </w:p>
    <w:p w:rsidR="00AB6D04" w:rsidRDefault="00AB6D04" w:rsidP="00AB6D04">
      <w:pPr>
        <w:spacing w:after="0" w:line="20" w:lineRule="atLeast"/>
        <w:jc w:val="both"/>
      </w:pPr>
      <w:r>
        <w:t xml:space="preserve">e) la regolamentazione dell’assistenza notturna di cui all’articolo 5, comma 4; </w:t>
      </w:r>
    </w:p>
    <w:p w:rsidR="00AB6D04" w:rsidRDefault="00AB6D04" w:rsidP="00AB6D04">
      <w:pPr>
        <w:spacing w:after="0" w:line="20" w:lineRule="atLeast"/>
        <w:jc w:val="both"/>
      </w:pPr>
      <w:r>
        <w:t xml:space="preserve">f) le modalità previste per l’ammissione in un ricovero temporaneo delle/degli utenti che necessitano di un’assistenza notturna prolungata, oppure, in ogni caso, il loro immediato trasferimento in una residenza per anziani qualora il servizio stesso non risulti più adatto alle loro esigenze; </w:t>
      </w:r>
    </w:p>
    <w:p w:rsidR="00AB6D04" w:rsidRDefault="00AB6D04" w:rsidP="00AB6D04">
      <w:pPr>
        <w:spacing w:after="0" w:line="20" w:lineRule="atLeast"/>
        <w:jc w:val="both"/>
      </w:pPr>
      <w:r>
        <w:t xml:space="preserve">g) le modalità seguite dalla residenza per anziani per garantire l’inserimento prioritario in lista di attesa delle/degli utenti sulla base del sistema di punteggio previsto; </w:t>
      </w:r>
    </w:p>
    <w:p w:rsidR="00AB6D04" w:rsidRDefault="00AB6D04" w:rsidP="00AB6D04">
      <w:pPr>
        <w:spacing w:after="0" w:line="20" w:lineRule="atLeast"/>
        <w:jc w:val="both"/>
      </w:pPr>
      <w:r>
        <w:t>h) la forma di collaborazione con gli altri servizi sociali e sanitari presenti sul territorio provinciale, tra l’altro con il rispettivo sportello unico per l’assistenza e cura ai sensi dell’articolo 15/bis della legge provinciale 30 aprile 1991, n. 13, e successive modifiche;</w:t>
      </w:r>
    </w:p>
    <w:p w:rsidR="00AB6D04" w:rsidRDefault="00AB6D04" w:rsidP="00AB6D04">
      <w:pPr>
        <w:spacing w:after="0" w:line="20" w:lineRule="atLeast"/>
        <w:jc w:val="both"/>
      </w:pPr>
      <w:r>
        <w:t xml:space="preserve"> i) se vengono attivate una o entrambe le tipologie di offerta di cui all’articolo 6, comma 1;</w:t>
      </w:r>
    </w:p>
    <w:p w:rsidR="00AB6D04" w:rsidRDefault="00AB6D04" w:rsidP="00AB6D04">
      <w:pPr>
        <w:spacing w:after="0" w:line="20" w:lineRule="atLeast"/>
        <w:jc w:val="both"/>
      </w:pPr>
      <w:r>
        <w:t xml:space="preserve">j) se sussiste la possibilità di ammettere conviventi insieme alle/agli utenti, affinché possano abitare insieme nell’alloggio e, in caso affermativo, in base a quali criteri, fermo restando il divieto di sublocazione; k) quale ente – Comune o ente gestore – sostiene gli eventuali costi non coperti dalla tariffa, nel caso in cui la retta superi la tariffa massima; </w:t>
      </w:r>
    </w:p>
    <w:p w:rsidR="00AB6D04" w:rsidRDefault="00AB6D04" w:rsidP="00AB6D04">
      <w:pPr>
        <w:spacing w:after="0" w:line="20" w:lineRule="atLeast"/>
        <w:jc w:val="both"/>
      </w:pPr>
      <w:r>
        <w:t xml:space="preserve">l) se le tariffe delle prestazioni aggiuntive a favore delle/degli utenti di cui all’articolo 8, comma 4, sono integrate dal Comune e, in caso affermativo, in quale misura. </w:t>
      </w:r>
    </w:p>
    <w:p w:rsidR="00AB6D04" w:rsidRDefault="00AB6D04" w:rsidP="00AB6D04">
      <w:pPr>
        <w:spacing w:after="0" w:line="20" w:lineRule="atLeast"/>
        <w:jc w:val="both"/>
      </w:pPr>
      <w:r>
        <w:t>3. Per quanto riguarda la determinazione delle spese accessorie per la manutenzione ordinaria si applicano le disposizioni del codice civile. In casi dubbi si applica la ripartizione delle spese condominiali tra inquilino e proprietario, applicata dall’Istituto per l’edilizia sociale della Provincia di Bolzano</w:t>
      </w:r>
    </w:p>
    <w:p w:rsidR="00AB6D04" w:rsidRDefault="00AB6D04" w:rsidP="00AB6D04">
      <w:pPr>
        <w:spacing w:after="0" w:line="20" w:lineRule="atLeast"/>
        <w:jc w:val="both"/>
      </w:pPr>
      <w:r>
        <w:t xml:space="preserve">4. La decisione relativa alle tipologie di offerta di cui all’articolo 6, comma 1, spetta all’ente gestore del servizio, d’intesa con il Comune competente, in base alle condizioni d’accesso previste nell’atto di trasferimento. La decisione relativa all’ammissione spetta all’ente gestore del servizio. </w:t>
      </w:r>
    </w:p>
    <w:p w:rsidR="00AB6D04" w:rsidRDefault="00AB6D04" w:rsidP="00AB6D04">
      <w:pPr>
        <w:spacing w:after="0" w:line="20" w:lineRule="atLeast"/>
        <w:jc w:val="both"/>
      </w:pPr>
      <w:r>
        <w:t xml:space="preserve">Art. 5 Organizzazione del servizio </w:t>
      </w:r>
    </w:p>
    <w:p w:rsidR="00AB6D04" w:rsidRDefault="00AB6D04" w:rsidP="00AB6D04">
      <w:pPr>
        <w:spacing w:after="0" w:line="20" w:lineRule="atLeast"/>
        <w:jc w:val="both"/>
      </w:pPr>
      <w:r>
        <w:t>1. Le/I residenti degli alloggi badano, nei limiti delle rispettive capacità, a se stessi autonomamente. Gli alloggi sono muniti di apparecchi di telesoccorso o dispongono di adeguati dispositivi tecnici o digitali attraverso i quali le/i residenti possono chiamare soccorso o essere contattati in caso di emergenza. In questo modo si vuole offrire sicurezza alle/ai residenti, soprattutto durante la notte.</w:t>
      </w:r>
    </w:p>
    <w:p w:rsidR="00AB6D04" w:rsidRDefault="00AB6D04" w:rsidP="00AB6D04">
      <w:pPr>
        <w:spacing w:after="0" w:line="20" w:lineRule="atLeast"/>
        <w:jc w:val="both"/>
      </w:pPr>
      <w:r>
        <w:t xml:space="preserve"> 2. Le/Gli utenti stipulano con il Comune o l’ente gestore un contratto, una convenzione o una concessione per la cessione dell’alloggio. </w:t>
      </w:r>
    </w:p>
    <w:p w:rsidR="00AB6D04" w:rsidRDefault="00AB6D04" w:rsidP="00AB6D04">
      <w:pPr>
        <w:spacing w:after="0" w:line="20" w:lineRule="atLeast"/>
        <w:jc w:val="both"/>
      </w:pPr>
      <w:r>
        <w:t xml:space="preserve">3. Le prestazioni previste possono essere erogate dal Comune con personale proprio o tramite affidamento esterno. </w:t>
      </w:r>
    </w:p>
    <w:p w:rsidR="00AB6D04" w:rsidRDefault="00AB6D04" w:rsidP="00AB6D04">
      <w:pPr>
        <w:spacing w:after="0" w:line="20" w:lineRule="atLeast"/>
        <w:jc w:val="both"/>
      </w:pPr>
      <w:r>
        <w:t xml:space="preserve">4. Nell’ambito del servizio di cui alle presenti disposizioni non è prevista la presenza di personale negli alloggi durante la notte. Un’assistenza notturna è possibile solo in casi eccezionali e di necessità per singole persone. </w:t>
      </w:r>
    </w:p>
    <w:p w:rsidR="00AB6D04" w:rsidRDefault="00AB6D04" w:rsidP="00AB6D04">
      <w:pPr>
        <w:spacing w:after="0" w:line="20" w:lineRule="atLeast"/>
        <w:jc w:val="both"/>
      </w:pPr>
      <w:r>
        <w:t xml:space="preserve">Art. 6 </w:t>
      </w:r>
    </w:p>
    <w:p w:rsidR="00AB6D04" w:rsidRDefault="00AB6D04" w:rsidP="00AB6D04">
      <w:pPr>
        <w:spacing w:after="0" w:line="20" w:lineRule="atLeast"/>
        <w:jc w:val="both"/>
      </w:pPr>
      <w:r>
        <w:t>1. Il servizio può assumere le seguenti tipologie d’offerta:</w:t>
      </w:r>
    </w:p>
    <w:p w:rsidR="00AB6D04" w:rsidRDefault="00AB6D04" w:rsidP="00AB6D04">
      <w:pPr>
        <w:spacing w:after="0" w:line="20" w:lineRule="atLeast"/>
        <w:jc w:val="both"/>
      </w:pPr>
      <w:r>
        <w:t xml:space="preserve"> a) accompagnamento abitativo; </w:t>
      </w:r>
    </w:p>
    <w:p w:rsidR="00AB6D04" w:rsidRDefault="00AB6D04" w:rsidP="00AB6D04">
      <w:pPr>
        <w:spacing w:after="0" w:line="20" w:lineRule="atLeast"/>
        <w:jc w:val="both"/>
      </w:pPr>
      <w:r>
        <w:t xml:space="preserve">b) assistenza abitativa. </w:t>
      </w:r>
    </w:p>
    <w:p w:rsidR="00AB6D04" w:rsidRDefault="00AB6D04" w:rsidP="00AB6D04">
      <w:pPr>
        <w:spacing w:after="0" w:line="20" w:lineRule="atLeast"/>
        <w:jc w:val="both"/>
      </w:pPr>
      <w:r>
        <w:t xml:space="preserve">2. L’offerta “accompagnamento abitativo” garantisce alle/agli utenti l’accompagnamento attraverso una persona di riferimento, che è presente ogni giorno in struttura per complessive sette ore settimanali oppure 14 ore in caso di strutture con più di 13 persone. La persona di riferimento: </w:t>
      </w:r>
    </w:p>
    <w:p w:rsidR="00AB6D04" w:rsidRDefault="00AB6D04" w:rsidP="00AB6D04">
      <w:pPr>
        <w:spacing w:after="0" w:line="20" w:lineRule="atLeast"/>
        <w:jc w:val="both"/>
      </w:pPr>
      <w:r>
        <w:t xml:space="preserve">a) informa, sostiene e consiglia le/gli utenti nella gestione della vita quotidiana; </w:t>
      </w:r>
    </w:p>
    <w:p w:rsidR="00AB6D04" w:rsidRDefault="00AB6D04" w:rsidP="00AB6D04">
      <w:pPr>
        <w:spacing w:after="0" w:line="20" w:lineRule="atLeast"/>
        <w:jc w:val="both"/>
      </w:pPr>
      <w:r>
        <w:t xml:space="preserve">b) promuove i rapporti sociali delle/degli utenti; </w:t>
      </w:r>
    </w:p>
    <w:p w:rsidR="00AB6D04" w:rsidRDefault="00AB6D04" w:rsidP="00AB6D04">
      <w:pPr>
        <w:spacing w:after="0" w:line="20" w:lineRule="atLeast"/>
        <w:jc w:val="both"/>
      </w:pPr>
      <w:r>
        <w:t xml:space="preserve">c) accompagna e assiste le/gli utenti presso gli uffici, nell’espletamento di pratiche burocratiche e nelle commissioni; </w:t>
      </w:r>
    </w:p>
    <w:p w:rsidR="00AB6D04" w:rsidRDefault="00AB6D04" w:rsidP="00AB6D04">
      <w:pPr>
        <w:spacing w:after="0" w:line="20" w:lineRule="atLeast"/>
        <w:jc w:val="both"/>
      </w:pPr>
      <w:r>
        <w:t xml:space="preserve">d) effettua piccoli lavori in casa; </w:t>
      </w:r>
    </w:p>
    <w:p w:rsidR="00AB6D04" w:rsidRDefault="00AB6D04" w:rsidP="00AB6D04">
      <w:pPr>
        <w:spacing w:after="0" w:line="20" w:lineRule="atLeast"/>
        <w:jc w:val="both"/>
      </w:pPr>
      <w:r>
        <w:t xml:space="preserve">e) organizza attività occupazionali e di tempo libero delle/degli utenti; </w:t>
      </w:r>
    </w:p>
    <w:p w:rsidR="00AB6D04" w:rsidRDefault="00AB6D04" w:rsidP="00AB6D04">
      <w:pPr>
        <w:spacing w:after="0" w:line="20" w:lineRule="atLeast"/>
        <w:jc w:val="both"/>
      </w:pPr>
      <w:r>
        <w:lastRenderedPageBreak/>
        <w:t>f) aiuta le/gli utenti ad accedere a servizi sanitari e sociali;</w:t>
      </w:r>
    </w:p>
    <w:p w:rsidR="00AB6D04" w:rsidRDefault="00AB6D04" w:rsidP="00AB6D04">
      <w:pPr>
        <w:spacing w:after="0" w:line="20" w:lineRule="atLeast"/>
        <w:jc w:val="both"/>
      </w:pPr>
      <w:r>
        <w:t xml:space="preserve"> g) coordina l’utilizzo e provvede alla pulizia degli spazi comuni;</w:t>
      </w:r>
    </w:p>
    <w:p w:rsidR="00AB6D04" w:rsidRDefault="00AB6D04" w:rsidP="00AB6D04">
      <w:pPr>
        <w:spacing w:after="0" w:line="20" w:lineRule="atLeast"/>
        <w:jc w:val="both"/>
      </w:pPr>
      <w:r>
        <w:t xml:space="preserve">h) offre sporadicamente semplici prestazioni d’aiuto. </w:t>
      </w:r>
    </w:p>
    <w:p w:rsidR="00AB6D04" w:rsidRDefault="00AB6D04" w:rsidP="00AB6D04">
      <w:pPr>
        <w:spacing w:after="0" w:line="20" w:lineRule="atLeast"/>
        <w:jc w:val="both"/>
      </w:pPr>
      <w:r>
        <w:t xml:space="preserve">Per prestazioni semplici si intendono le prestazioni dell’assistenza domiciliare che non devono essere necessariamente svolte da personale qualificato. </w:t>
      </w:r>
    </w:p>
    <w:p w:rsidR="00AB6D04" w:rsidRDefault="00AB6D04" w:rsidP="00AB6D04">
      <w:pPr>
        <w:spacing w:after="0" w:line="20" w:lineRule="atLeast"/>
        <w:jc w:val="both"/>
      </w:pPr>
      <w:r>
        <w:t>3. A seconda delle necessità e dell’offerta disponibile, le singole utenti/i singoli utenti possono inoltre usufruire dell’offerta di “assistenza abitativa”, che comprende anche le prestazioni dell’accompagnamento abitativo.</w:t>
      </w:r>
    </w:p>
    <w:p w:rsidR="00AB6D04" w:rsidRDefault="00AB6D04" w:rsidP="00AB6D04">
      <w:pPr>
        <w:spacing w:after="0" w:line="20" w:lineRule="atLeast"/>
        <w:jc w:val="both"/>
      </w:pPr>
      <w:r>
        <w:t xml:space="preserve">4. L’offerta di “assistenza abitativa” garantisce alle/agli utenti le seguenti, ulteriori prestazioni a tariffa prestabilita: </w:t>
      </w:r>
    </w:p>
    <w:p w:rsidR="00AB6D04" w:rsidRDefault="00AB6D04" w:rsidP="00AB6D04">
      <w:pPr>
        <w:spacing w:after="0" w:line="20" w:lineRule="atLeast"/>
        <w:jc w:val="both"/>
      </w:pPr>
      <w:r>
        <w:t xml:space="preserve">a) la pulizia dei propri locali (almeno due volte alla settimana); </w:t>
      </w:r>
    </w:p>
    <w:p w:rsidR="00AB6D04" w:rsidRDefault="00AB6D04" w:rsidP="00AB6D04">
      <w:pPr>
        <w:spacing w:after="0" w:line="20" w:lineRule="atLeast"/>
        <w:jc w:val="both"/>
      </w:pPr>
      <w:r>
        <w:t xml:space="preserve">b) un pasto al giorno, anche durante il fine settimana: i pasti vengono preparati assieme oppure vengono consumati presso un’altra struttura sociale; </w:t>
      </w:r>
    </w:p>
    <w:p w:rsidR="00AB6D04" w:rsidRDefault="00AB6D04" w:rsidP="00AB6D04">
      <w:pPr>
        <w:spacing w:after="0" w:line="20" w:lineRule="atLeast"/>
        <w:jc w:val="both"/>
      </w:pPr>
      <w:r>
        <w:t xml:space="preserve">c) prestazioni semplici continuative, nella misura massima di 60 minuti alla settimana. </w:t>
      </w:r>
    </w:p>
    <w:p w:rsidR="00AB6D04" w:rsidRDefault="00AB6D04" w:rsidP="00AB6D04">
      <w:pPr>
        <w:spacing w:after="0" w:line="20" w:lineRule="atLeast"/>
        <w:jc w:val="both"/>
      </w:pPr>
      <w:r>
        <w:t xml:space="preserve">5. Se necessario, tra utente ed ente gestore possono essere concordate per iscritto le seguenti prestazioni aggiuntive: </w:t>
      </w:r>
    </w:p>
    <w:p w:rsidR="00AB6D04" w:rsidRDefault="00AB6D04" w:rsidP="00AB6D04">
      <w:pPr>
        <w:spacing w:after="0" w:line="20" w:lineRule="atLeast"/>
        <w:jc w:val="both"/>
      </w:pPr>
      <w:r>
        <w:t xml:space="preserve">a) pasto con fornitura; </w:t>
      </w:r>
    </w:p>
    <w:p w:rsidR="00AB6D04" w:rsidRDefault="00AB6D04" w:rsidP="00AB6D04">
      <w:pPr>
        <w:spacing w:after="0" w:line="20" w:lineRule="atLeast"/>
        <w:jc w:val="both"/>
      </w:pPr>
      <w:r>
        <w:t>b) pasto senza fornitura: i pasti vengono preparati assieme oppure vengono consumati presso un’altra struttura sociale;</w:t>
      </w:r>
    </w:p>
    <w:p w:rsidR="00AB6D04" w:rsidRDefault="00AB6D04" w:rsidP="00AB6D04">
      <w:pPr>
        <w:spacing w:after="0" w:line="20" w:lineRule="atLeast"/>
        <w:jc w:val="both"/>
      </w:pPr>
      <w:r>
        <w:t xml:space="preserve"> c) pulizia; </w:t>
      </w:r>
    </w:p>
    <w:p w:rsidR="00AB6D04" w:rsidRDefault="00AB6D04" w:rsidP="00AB6D04">
      <w:pPr>
        <w:spacing w:after="0" w:line="20" w:lineRule="atLeast"/>
        <w:jc w:val="both"/>
      </w:pPr>
      <w:r>
        <w:t xml:space="preserve">d) prestazioni semplici continuative; </w:t>
      </w:r>
    </w:p>
    <w:p w:rsidR="00AB6D04" w:rsidRDefault="00AB6D04" w:rsidP="00AB6D04">
      <w:pPr>
        <w:spacing w:after="0" w:line="20" w:lineRule="atLeast"/>
        <w:jc w:val="both"/>
      </w:pPr>
      <w:r>
        <w:t>e) prestazioni qualificate; per prestazioni qualificate si intendono quelle prestazioni dell’assistenza domiciliare che devono essere necessariamente svolte da personale qualificato. Le prestazioni aggiuntive concordate vengono conformate individualmente, offerte in forma di pacchetto mensile e acquistate direttamente presso l’ente gestore, nel caso in cui questo sia una residenza per anziani accreditata, a tariffe prestabilite oppure, nell’ambito dell’offerta di “accompagnamento abitativo”, anche presso il competente servizio di assistenza domiciliare accreditato alle tariffe vigenti per tale servizio. Nell’ambito dell’offerta di “assistenza abitativa” le/gli utenti non possono usufruire delle prestazioni dell’assistenza domiciliare.</w:t>
      </w:r>
    </w:p>
    <w:p w:rsidR="00AB6D04" w:rsidRDefault="00AB6D04" w:rsidP="00AB6D04">
      <w:pPr>
        <w:spacing w:after="0" w:line="20" w:lineRule="atLeast"/>
        <w:jc w:val="both"/>
      </w:pPr>
      <w:r>
        <w:t xml:space="preserve">6. Anche le/i conviventi possono concordare con l’ente gestore le prestazioni aggiuntive di cui al comma 5 previste per le/gli utenti e acquistarle alla tariffa prevista. L’accordo deve avvenire in forma scritta. </w:t>
      </w:r>
    </w:p>
    <w:p w:rsidR="00AB6D04" w:rsidRDefault="00AB6D04" w:rsidP="00AB6D04">
      <w:pPr>
        <w:spacing w:after="0" w:line="20" w:lineRule="atLeast"/>
        <w:jc w:val="both"/>
      </w:pPr>
      <w:r>
        <w:t xml:space="preserve">7.  Qualora dovesse variare il fabbisogno di assistenza dell’utente, su richiesta della stessa/dello stesso o sulla base di una valutazione del personale qualificato, si procede alla variazione del pacchetto di prestazioni, previa determinazione dell’effettiva necessità e delle effettive prestazioni erogate. La possibilità di variare la tipologia di offerta o il pacchetto di prestazioni è preventivamente stabilita nel contratto di accompagnamento/assistenza dell’utente; la nuova tariffa viene comunicata all’utente per iscritto. Lo stesso vale per l’accordo con le/i conviventi. Se non concordato diversamente con l’utente o con la/il convivente, la nuova tipologia di offerta o il nuovo pacchetto di prestazioni trova applicazione dal 1° giorno del mese successivo. </w:t>
      </w:r>
    </w:p>
    <w:p w:rsidR="00AB6D04" w:rsidRDefault="00AB6D04" w:rsidP="00AB6D04">
      <w:pPr>
        <w:spacing w:after="0" w:line="20" w:lineRule="atLeast"/>
        <w:jc w:val="both"/>
      </w:pPr>
      <w:r>
        <w:t>8. Se le/gli utenti, nell’ambito dell’offerta di “accompagnamento abitativo”, acquistano prestazioni aggiuntive per un importo mensile che, sommato a quello della tariffa prevista per tale offerta, dà un importo complessivo pari o superiore alla tariffa prevista per l’offerta di “assistenza abitativa”, si presume sussistente il fabbisogno per l</w:t>
      </w:r>
      <w:proofErr w:type="gramStart"/>
      <w:r>
        <w:t>’”assistenza</w:t>
      </w:r>
      <w:proofErr w:type="gramEnd"/>
      <w:r>
        <w:t xml:space="preserve"> abitativa” e il contratto di accompagnamento deve essere pertanto modificato ai sensi del comma 7. Se negli alloggi è offerto esclusivamente l</w:t>
      </w:r>
      <w:proofErr w:type="gramStart"/>
      <w:r>
        <w:t>’“</w:t>
      </w:r>
      <w:proofErr w:type="gramEnd"/>
      <w:r>
        <w:t xml:space="preserve">accompagnamento abitativo”, il suddetto importo complessivo non può in ogni caso essere superiore alla tariffa prevista per l’offerta di “assistenza abitativa”. </w:t>
      </w:r>
    </w:p>
    <w:p w:rsidR="00AB6D04" w:rsidRDefault="00AB6D04" w:rsidP="00AB6D04">
      <w:pPr>
        <w:spacing w:after="0" w:line="20" w:lineRule="atLeast"/>
        <w:jc w:val="both"/>
      </w:pPr>
      <w:r>
        <w:t xml:space="preserve">Art. </w:t>
      </w:r>
      <w:proofErr w:type="gramStart"/>
      <w:r>
        <w:t>7  Personale</w:t>
      </w:r>
      <w:proofErr w:type="gramEnd"/>
      <w:r>
        <w:t xml:space="preserve"> </w:t>
      </w:r>
    </w:p>
    <w:p w:rsidR="00AB6D04" w:rsidRDefault="00AB6D04" w:rsidP="00AB6D04">
      <w:pPr>
        <w:spacing w:after="0" w:line="20" w:lineRule="atLeast"/>
        <w:jc w:val="both"/>
      </w:pPr>
      <w:r>
        <w:t xml:space="preserve">1. L’ente gestore garantisce il personale necessario per assicurare tutte le prestazioni e attività previste dall’articolo 6 e da ogni singolo contratto di accompagnamento/assistenza. Esso è responsabile in caso di eventuali mancanze o irregolarità. </w:t>
      </w:r>
    </w:p>
    <w:p w:rsidR="00AB6D04" w:rsidRDefault="00AB6D04" w:rsidP="00AB6D04">
      <w:pPr>
        <w:spacing w:after="0" w:line="20" w:lineRule="atLeast"/>
        <w:jc w:val="both"/>
      </w:pPr>
      <w:r>
        <w:t xml:space="preserve">2. Il personale dispone di una formazione adeguata e delle competenze tecniche e sociali necessarie per l’esercizio delle varie funzioni e l’erogazione delle singole prestazioni; esso deve frequentare regolarmente corsi di aggiornamento. </w:t>
      </w:r>
    </w:p>
    <w:p w:rsidR="00AB6D04" w:rsidRDefault="00AB6D04" w:rsidP="00AB6D04">
      <w:pPr>
        <w:spacing w:after="0" w:line="20" w:lineRule="atLeast"/>
        <w:jc w:val="both"/>
      </w:pPr>
      <w:r>
        <w:lastRenderedPageBreak/>
        <w:t xml:space="preserve">3. Nella scelta del personale da destinare allo svolgimento di attività che non necessitano espressamente di una specifica formazione o che non richiedono un determinato profilo professionale, vengono prese in considerazione preferibilmente persone che hanno una formazione o esperienza lavorativa nell’ambito dell’assistenza sociale. </w:t>
      </w:r>
    </w:p>
    <w:p w:rsidR="00AB6D04" w:rsidRDefault="00AB6D04" w:rsidP="00AB6D04">
      <w:pPr>
        <w:spacing w:after="0" w:line="20" w:lineRule="atLeast"/>
        <w:jc w:val="both"/>
      </w:pPr>
      <w:r>
        <w:t xml:space="preserve">4. La persona di riferimento responsabile del servizio deve appartenere a uno dei seguenti profili professionali: </w:t>
      </w:r>
    </w:p>
    <w:p w:rsidR="00AB6D04" w:rsidRDefault="00AB6D04" w:rsidP="00AB6D04">
      <w:pPr>
        <w:spacing w:after="0" w:line="20" w:lineRule="atLeast"/>
        <w:jc w:val="both"/>
      </w:pPr>
      <w:r>
        <w:t xml:space="preserve">a) assistente geriatrico/geriatrica o assistente </w:t>
      </w:r>
    </w:p>
    <w:p w:rsidR="00AB6D04" w:rsidRDefault="00AB6D04" w:rsidP="00AB6D04">
      <w:pPr>
        <w:spacing w:after="0" w:line="20" w:lineRule="atLeast"/>
        <w:jc w:val="both"/>
      </w:pPr>
      <w:r>
        <w:t xml:space="preserve">b) assistente per soggetti portatori di handicap; </w:t>
      </w:r>
    </w:p>
    <w:p w:rsidR="00AB6D04" w:rsidRDefault="00AB6D04" w:rsidP="00AB6D04">
      <w:pPr>
        <w:spacing w:after="0" w:line="20" w:lineRule="atLeast"/>
        <w:jc w:val="both"/>
      </w:pPr>
      <w:r>
        <w:t xml:space="preserve">c) educatore/educatrice sociale o educatore/educatrice per soggetti portatori di handicap (qualifica in esaurimento); </w:t>
      </w:r>
    </w:p>
    <w:p w:rsidR="00AB6D04" w:rsidRDefault="00AB6D04" w:rsidP="00AB6D04">
      <w:pPr>
        <w:spacing w:after="0" w:line="20" w:lineRule="atLeast"/>
        <w:jc w:val="both"/>
      </w:pPr>
      <w:r>
        <w:t xml:space="preserve">d) operatore/operatrice socio-assistenziale; </w:t>
      </w:r>
    </w:p>
    <w:p w:rsidR="00AB6D04" w:rsidRDefault="00AB6D04" w:rsidP="00AB6D04">
      <w:pPr>
        <w:spacing w:after="0" w:line="20" w:lineRule="atLeast"/>
        <w:jc w:val="both"/>
      </w:pPr>
      <w:r>
        <w:t>e) tecnico/tecnica dei servizi sociali;</w:t>
      </w:r>
    </w:p>
    <w:p w:rsidR="00AB6D04" w:rsidRDefault="00AB6D04" w:rsidP="00AB6D04">
      <w:pPr>
        <w:spacing w:after="0" w:line="20" w:lineRule="atLeast"/>
        <w:jc w:val="both"/>
      </w:pPr>
      <w:r>
        <w:t xml:space="preserve"> f) ergoterapista o terapista occupazionale</w:t>
      </w:r>
    </w:p>
    <w:p w:rsidR="00AB6D04" w:rsidRDefault="00AB6D04" w:rsidP="00AB6D04">
      <w:pPr>
        <w:spacing w:after="0" w:line="20" w:lineRule="atLeast"/>
        <w:jc w:val="both"/>
      </w:pPr>
      <w:r>
        <w:t xml:space="preserve"> 5. La/Il responsabile del servizio è responsabile dell’accompagnamento o dell’assistenza specifici delle/degli utenti attraverso personale adeguato e a tal fine legittimato.</w:t>
      </w:r>
    </w:p>
    <w:p w:rsidR="00AB6D04" w:rsidRDefault="00AB6D04" w:rsidP="00AB6D04">
      <w:pPr>
        <w:spacing w:after="0" w:line="20" w:lineRule="atLeast"/>
        <w:jc w:val="both"/>
      </w:pPr>
      <w:r>
        <w:t xml:space="preserve">6.Se il servizio viene gestito dall’ente gestore di una residenza per anziani, la/il responsabile del servizio può essere, anche in deroga al comma 4, la responsabile tecnica/il responsabile tecnico dell’assistenza o una/un responsabile di settore della struttura residenziale. In questo caso va garantita trasparenza rispetto all’imputazione dei tempi e dei costi del lavoro tra i due servizi. </w:t>
      </w:r>
    </w:p>
    <w:p w:rsidR="00AB6D04" w:rsidRDefault="00AB6D04" w:rsidP="00AB6D04">
      <w:pPr>
        <w:spacing w:after="0" w:line="20" w:lineRule="atLeast"/>
        <w:jc w:val="both"/>
      </w:pPr>
      <w:r>
        <w:t xml:space="preserve">7. Il personale nonché i volontari e le volontarie devono essere assicurati per la responsabilità civile contro terzi. </w:t>
      </w:r>
    </w:p>
    <w:p w:rsidR="00AB6D04" w:rsidRDefault="00AB6D04" w:rsidP="00AB6D04">
      <w:pPr>
        <w:spacing w:after="0" w:line="20" w:lineRule="atLeast"/>
        <w:jc w:val="both"/>
      </w:pPr>
      <w:r>
        <w:t xml:space="preserve">Art. 8 </w:t>
      </w:r>
    </w:p>
    <w:p w:rsidR="00AB6D04" w:rsidRDefault="00AB6D04" w:rsidP="00AB6D04">
      <w:pPr>
        <w:spacing w:after="0" w:line="20" w:lineRule="atLeast"/>
        <w:jc w:val="both"/>
      </w:pPr>
      <w:r>
        <w:t xml:space="preserve">1. Gli enti gestori stabiliscono annualmente per entrambe le tipologie di offerta la retta giornaliera complessiva. Essa comprende, in relazione alle prestazioni erogate, i seguenti elementi: </w:t>
      </w:r>
    </w:p>
    <w:p w:rsidR="00AB6D04" w:rsidRDefault="00AB6D04" w:rsidP="00AB6D04">
      <w:pPr>
        <w:spacing w:after="0" w:line="20" w:lineRule="atLeast"/>
        <w:jc w:val="both"/>
      </w:pPr>
      <w:r>
        <w:t xml:space="preserve">a) costi dell’accompagnamento e dell’assistenza; </w:t>
      </w:r>
    </w:p>
    <w:p w:rsidR="00AB6D04" w:rsidRDefault="00AB6D04" w:rsidP="00AB6D04">
      <w:pPr>
        <w:spacing w:after="0" w:line="20" w:lineRule="atLeast"/>
        <w:jc w:val="both"/>
      </w:pPr>
      <w:r>
        <w:t xml:space="preserve">b) costi alberghieri; </w:t>
      </w:r>
    </w:p>
    <w:p w:rsidR="00AB6D04" w:rsidRDefault="00AB6D04" w:rsidP="00AB6D04">
      <w:pPr>
        <w:spacing w:after="0" w:line="20" w:lineRule="atLeast"/>
        <w:jc w:val="both"/>
      </w:pPr>
      <w:r>
        <w:t xml:space="preserve">c) costi dei pasti; </w:t>
      </w:r>
    </w:p>
    <w:p w:rsidR="00AB6D04" w:rsidRDefault="00AB6D04" w:rsidP="00AB6D04">
      <w:pPr>
        <w:spacing w:after="0" w:line="20" w:lineRule="atLeast"/>
        <w:jc w:val="both"/>
      </w:pPr>
      <w:r>
        <w:t xml:space="preserve">d) tutti gli altri costi non esplicitamente esclusi in base alle presenti disposizioni o ad accordi contrattuali. Gli enti gestori inoltre stabiliscono annualmente le spese accessorie e i costi relativi alla cessione dell’alloggio. </w:t>
      </w:r>
    </w:p>
    <w:p w:rsidR="00AB6D04" w:rsidRDefault="00AB6D04" w:rsidP="00AB6D04">
      <w:pPr>
        <w:spacing w:after="0" w:line="20" w:lineRule="atLeast"/>
        <w:jc w:val="both"/>
      </w:pPr>
      <w:r>
        <w:t xml:space="preserve">2. Le tariffe massime previste per ogni tipologia di offerta e per le prestazioni aggiuntive nonché i costi massimi per la cessione dell’alloggio vengono stabiliti annualmente dalla Giunta provinciale insieme alla quota base e devono essere osservati dall’ente gestore. </w:t>
      </w:r>
    </w:p>
    <w:p w:rsidR="00AB6D04" w:rsidRDefault="00AB6D04" w:rsidP="00AB6D04">
      <w:pPr>
        <w:spacing w:after="0" w:line="20" w:lineRule="atLeast"/>
        <w:jc w:val="both"/>
      </w:pPr>
      <w:r>
        <w:t xml:space="preserve">3. Il calcolo della compartecipazione tariffaria per la singola tipologia di offerta avviene ai sensi dell’articolo 41 del decreto del Presidente della Giunta provinciale 11 agosto 2000, n. 30, e successive modifiche. </w:t>
      </w:r>
    </w:p>
    <w:p w:rsidR="00AB6D04" w:rsidRDefault="00AB6D04" w:rsidP="00AB6D04">
      <w:pPr>
        <w:spacing w:after="0" w:line="20" w:lineRule="atLeast"/>
        <w:jc w:val="both"/>
      </w:pPr>
      <w:r>
        <w:t xml:space="preserve">4. Per le prestazioni aggiuntive non può essere richiesta un’agevolazione tariffaria ai sensi dell’articolo 41 del decreto del Presidente della Giunta provinciale 11 agosto 2000, n. 30, e successive modifiche. Le/Gli utenti con un “valore della situazione economica” inferiore a 1,22 non possono pagare più del 50 per cento della tariffa stabilita. </w:t>
      </w:r>
    </w:p>
    <w:p w:rsidR="00AB6D04" w:rsidRDefault="00AB6D04" w:rsidP="00AB6D04">
      <w:pPr>
        <w:spacing w:after="0" w:line="20" w:lineRule="atLeast"/>
        <w:jc w:val="both"/>
      </w:pPr>
      <w:r>
        <w:t xml:space="preserve">5. La fatturazione a carico delle persone viene emessa mensilmente. </w:t>
      </w:r>
    </w:p>
    <w:p w:rsidR="00AB6D04" w:rsidRDefault="00AB6D04" w:rsidP="00AB6D04">
      <w:pPr>
        <w:spacing w:after="0" w:line="20" w:lineRule="atLeast"/>
        <w:jc w:val="both"/>
      </w:pPr>
      <w:r>
        <w:t xml:space="preserve">6. L’utente che rifiuta un posto letto offerto ai sensi dell’articolo 3, comma 7, nella rispettiva struttura, deve pagare la tariffa massima prevista per la tipologia di offerta e le prestazioni aggiuntive usufruite, a decorrere dal giorno del rifiuto. </w:t>
      </w:r>
    </w:p>
    <w:p w:rsidR="00AB6D04" w:rsidRDefault="00AB6D04" w:rsidP="00AB6D04">
      <w:pPr>
        <w:spacing w:after="0" w:line="20" w:lineRule="atLeast"/>
        <w:jc w:val="both"/>
      </w:pPr>
      <w:r>
        <w:t xml:space="preserve">Art. 9 Contratto </w:t>
      </w:r>
    </w:p>
    <w:p w:rsidR="00AB6D04" w:rsidRDefault="00AB6D04" w:rsidP="00AB6D04">
      <w:pPr>
        <w:spacing w:after="0" w:line="20" w:lineRule="atLeast"/>
        <w:jc w:val="both"/>
      </w:pPr>
      <w:r>
        <w:t>1. Il gestore del servizio stipula con l’utente un contratto dove sono definiti tutti i diritti e i doveri della/del residente e del servizio, nonché le eventuali conseguenze in caso d’inadempienza degli stessi</w:t>
      </w:r>
    </w:p>
    <w:p w:rsidR="00AB6D04" w:rsidRDefault="00AB6D04" w:rsidP="00AB6D04">
      <w:pPr>
        <w:spacing w:after="0" w:line="20" w:lineRule="atLeast"/>
        <w:jc w:val="both"/>
      </w:pPr>
      <w:r>
        <w:t xml:space="preserve">2. Il contratto comprende anche le condizioni per il trasferimento dell’utente in una struttura idonea, qualora la permanenza nell’alloggio non dovesse essere più possibile secondo quanto previsto dall’articolo 3, comma 6. </w:t>
      </w:r>
    </w:p>
    <w:p w:rsidR="00AB6D04" w:rsidRDefault="00AB6D04" w:rsidP="00AB6D04">
      <w:pPr>
        <w:spacing w:after="0" w:line="20" w:lineRule="atLeast"/>
        <w:jc w:val="both"/>
      </w:pPr>
      <w:r>
        <w:t xml:space="preserve">3. Il contratto può prevedere il deposito di una cauzione a carico dell’utente per la copertura di crediti del gestore eventualmente sussistenti al momento dell’uscita dal servizio dell’utente stessa/dell’utente stesso o del suo decesso. L’importo della cauzione non può essere superiore alla somma di tre mensilità dei costi relativi alla cessione dell’alloggio e della tariffa del relativo servizio. Se il contratto prevede il deposito di una cauzione, il gestore può prescindere dalla relativa richiesta in caso di comprovata indigenza economica </w:t>
      </w:r>
      <w:r>
        <w:lastRenderedPageBreak/>
        <w:t xml:space="preserve">dell’utente e dei familiari obbligati alla compartecipazione tariffaria ai sensi del decreto del Presidente della Giunta provinciale 11 agosto 2000, n. 30, e successive modifiche. </w:t>
      </w:r>
    </w:p>
    <w:p w:rsidR="00AB6D04" w:rsidRDefault="00AB6D04" w:rsidP="00AB6D04">
      <w:pPr>
        <w:spacing w:after="0" w:line="20" w:lineRule="atLeast"/>
        <w:jc w:val="both"/>
      </w:pPr>
      <w:r>
        <w:t xml:space="preserve">Art. 10 Documentazione relativa all’assistenza </w:t>
      </w:r>
    </w:p>
    <w:p w:rsidR="00AB6D04" w:rsidRDefault="00AB6D04" w:rsidP="00AB6D04">
      <w:pPr>
        <w:spacing w:after="0" w:line="20" w:lineRule="atLeast"/>
        <w:jc w:val="both"/>
      </w:pPr>
      <w:r>
        <w:t xml:space="preserve">1. Per ogni utente deve essere redatta e costantemente aggiornata una cartella personale. La documentazione riferita all’accompagnamento/assistenza comprende un assessment sociale iniziale dell’utente, gli obiettivi specifici dell’assistenza, l’evolversi della situazione individuale; in essa sono documentati gli interventi pianificati ed effettuati, i responsabili della pianificazione e i risultati raggiunti. Art. 11 </w:t>
      </w:r>
    </w:p>
    <w:p w:rsidR="00AB6D04" w:rsidRDefault="00AB6D04" w:rsidP="00AB6D04">
      <w:pPr>
        <w:spacing w:after="0" w:line="20" w:lineRule="atLeast"/>
        <w:jc w:val="both"/>
      </w:pPr>
      <w:r>
        <w:t xml:space="preserve">1. Il regolamento interno stabilisce le condizioni organizzative di base per l’ammissione, la convivenza e la dimissione delle/dei residenti. Esso regola l’utilizzo delle abitazioni e degli spazi comuni così come l’eventuale coinvolgimento dei familiari nell’accompagnamento e nell’assistenza. </w:t>
      </w:r>
    </w:p>
    <w:p w:rsidR="00AB6D04" w:rsidRDefault="00AB6D04" w:rsidP="00AB6D04">
      <w:pPr>
        <w:spacing w:after="0" w:line="20" w:lineRule="atLeast"/>
        <w:jc w:val="both"/>
      </w:pPr>
      <w:r>
        <w:t xml:space="preserve">Art. 12 Carta dei servizi e organigramma </w:t>
      </w:r>
    </w:p>
    <w:p w:rsidR="00AB6D04" w:rsidRDefault="00AB6D04" w:rsidP="00AB6D04">
      <w:pPr>
        <w:spacing w:after="0" w:line="20" w:lineRule="atLeast"/>
        <w:jc w:val="both"/>
      </w:pPr>
      <w:r>
        <w:t xml:space="preserve">1. Il servizio dispone di una carta dei servizi che descrive le finalità e l’organizzazione del servizio, elenca il personale impiegato e i criteri di accesso al servizio. Nella carta dei servizi sono indicate tutte le prestazioni, i diritti e i doveri delle/dei residenti e le tariffe, nonché le forme di partecipazione e la possibilità di presentare eventuali reclami. </w:t>
      </w:r>
    </w:p>
    <w:p w:rsidR="00AB6D04" w:rsidRDefault="00AB6D04" w:rsidP="00AB6D04">
      <w:pPr>
        <w:spacing w:after="0" w:line="20" w:lineRule="atLeast"/>
        <w:jc w:val="both"/>
      </w:pPr>
      <w:r>
        <w:t xml:space="preserve">2. L’organigramma deve fornire una rappresentazione schematica dei diversi settori dell’ente gestore, con l’indicazione del relativo personale assegnato. L’organigramma va pubblicato online senza indicazione dei nominativi. </w:t>
      </w:r>
    </w:p>
    <w:p w:rsidR="00AB6D04" w:rsidRDefault="00AB6D04" w:rsidP="00AB6D04">
      <w:pPr>
        <w:spacing w:after="0" w:line="20" w:lineRule="atLeast"/>
        <w:jc w:val="both"/>
      </w:pPr>
      <w:r>
        <w:t xml:space="preserve">Art. 13 Criteri strutturali degli alloggi </w:t>
      </w:r>
    </w:p>
    <w:p w:rsidR="00AB6D04" w:rsidRDefault="00AB6D04" w:rsidP="00AB6D04">
      <w:pPr>
        <w:spacing w:after="0" w:line="20" w:lineRule="atLeast"/>
        <w:jc w:val="both"/>
      </w:pPr>
      <w:r>
        <w:t xml:space="preserve">1. Gli alloggi devono soddisfare gli standard minimi previsti per gli alloggi per anziani. Per la costruzione di nuove abitazioni deve essere garantita un’offerta minima di cinque posti. Gli alloggi devono essere ubicati possibilmente in posizione centrale, nelle immediate vicinanze dei servizi sociali o sociosanitari e in particolare di residenze per anziani. Gli spazi abitativi e l’accesso agli stessi e alla struttura devono essere privi di barriere architettoniche. </w:t>
      </w:r>
    </w:p>
    <w:p w:rsidR="00AB6D04" w:rsidRDefault="00AB6D04" w:rsidP="00AB6D04">
      <w:pPr>
        <w:spacing w:after="0" w:line="20" w:lineRule="atLeast"/>
        <w:jc w:val="both"/>
      </w:pPr>
      <w:r>
        <w:t xml:space="preserve">2. Le unità abitative, nelle quali è offerto il servizio, oltre ai singoli locali assegnati alle/agli utenti, devono preferibilmente disporre dei seguenti spazi: </w:t>
      </w:r>
    </w:p>
    <w:p w:rsidR="00AB6D04" w:rsidRDefault="00AB6D04" w:rsidP="00AB6D04">
      <w:pPr>
        <w:spacing w:after="0" w:line="20" w:lineRule="atLeast"/>
        <w:jc w:val="both"/>
      </w:pPr>
      <w:r>
        <w:t xml:space="preserve">a) una sala polivalente con angolo cottura per ogni unità abitativa; </w:t>
      </w:r>
    </w:p>
    <w:p w:rsidR="00AB6D04" w:rsidRDefault="00AB6D04" w:rsidP="00AB6D04">
      <w:pPr>
        <w:spacing w:after="0" w:line="20" w:lineRule="atLeast"/>
        <w:jc w:val="both"/>
      </w:pPr>
      <w:r>
        <w:t xml:space="preserve">b) un locale per la persona di riferimento e il personale (nel caso di almeno dieci utenti può trattarsi di un appartamento); </w:t>
      </w:r>
    </w:p>
    <w:p w:rsidR="00AB6D04" w:rsidRDefault="00AB6D04" w:rsidP="00AB6D04">
      <w:pPr>
        <w:spacing w:after="0" w:line="20" w:lineRule="atLeast"/>
        <w:jc w:val="both"/>
      </w:pPr>
      <w:r>
        <w:t xml:space="preserve">c) bagno con accessibilità comune; </w:t>
      </w:r>
    </w:p>
    <w:p w:rsidR="00AB6D04" w:rsidRDefault="00AB6D04" w:rsidP="00AB6D04">
      <w:pPr>
        <w:spacing w:after="0" w:line="20" w:lineRule="atLeast"/>
        <w:jc w:val="both"/>
      </w:pPr>
      <w:r>
        <w:t xml:space="preserve">d) ripostigli adeguati; </w:t>
      </w:r>
    </w:p>
    <w:p w:rsidR="00AB6D04" w:rsidRDefault="00AB6D04" w:rsidP="00AB6D04">
      <w:pPr>
        <w:spacing w:after="0" w:line="20" w:lineRule="atLeast"/>
        <w:jc w:val="both"/>
      </w:pPr>
      <w:r>
        <w:t xml:space="preserve">e) cantine adeguate; </w:t>
      </w:r>
    </w:p>
    <w:p w:rsidR="00AB6D04" w:rsidRDefault="00AB6D04" w:rsidP="00AB6D04">
      <w:pPr>
        <w:spacing w:after="0" w:line="20" w:lineRule="atLeast"/>
        <w:jc w:val="both"/>
      </w:pPr>
      <w:r>
        <w:t xml:space="preserve">f) lavanderia comune con lavatrice oppure appositi allacciamenti nelle unità abitative. </w:t>
      </w:r>
    </w:p>
    <w:p w:rsidR="00AB6D04" w:rsidRDefault="00AB6D04" w:rsidP="00AB6D04">
      <w:pPr>
        <w:spacing w:after="0" w:line="20" w:lineRule="atLeast"/>
        <w:jc w:val="both"/>
      </w:pPr>
      <w:r>
        <w:t xml:space="preserve">3. L’unità abitativa per il servizio dispone possibilmente di adeguati spazi all’aperto e di un’area verde. Essa dispone di un adeguato numero di parcheggi, compresi parcheggi per invalidi, nelle immediate vicinanze, conformemente alle diposizioni vigenti. L’unità abitativa dovrebbe essere facilmente raggiungibile con i mezzi di trasporto pubblico. </w:t>
      </w:r>
    </w:p>
    <w:p w:rsidR="00AB6D04" w:rsidRDefault="00AB6D04" w:rsidP="00AB6D04">
      <w:pPr>
        <w:spacing w:after="0" w:line="20" w:lineRule="atLeast"/>
        <w:jc w:val="both"/>
      </w:pPr>
      <w:r>
        <w:t xml:space="preserve">4. All’interno e all’esterno degli alloggi va garantita una segnaletica adeguata. </w:t>
      </w:r>
    </w:p>
    <w:p w:rsidR="00AB6D04" w:rsidRDefault="00AB6D04" w:rsidP="00AB6D04">
      <w:pPr>
        <w:spacing w:after="0" w:line="20" w:lineRule="atLeast"/>
        <w:jc w:val="both"/>
      </w:pPr>
      <w:r>
        <w:t xml:space="preserve">5. Nel caso in cui il servizio venga erogato da un ente gestore di un altro servizio nelle immediate vicinanze, per il rispetto delle caratteristiche previste, vengono presi in considerazione anche i locali e le superfici di tale servizio. </w:t>
      </w:r>
    </w:p>
    <w:p w:rsidR="00AB6D04" w:rsidRDefault="00AB6D04" w:rsidP="00AB6D04">
      <w:pPr>
        <w:spacing w:after="0" w:line="20" w:lineRule="atLeast"/>
        <w:jc w:val="both"/>
      </w:pPr>
      <w:r>
        <w:t xml:space="preserve">Art. </w:t>
      </w:r>
      <w:proofErr w:type="gramStart"/>
      <w:r>
        <w:t>14  Criteri</w:t>
      </w:r>
      <w:proofErr w:type="gramEnd"/>
      <w:r>
        <w:t xml:space="preserve"> di accreditamento </w:t>
      </w:r>
    </w:p>
    <w:p w:rsidR="00AB6D04" w:rsidRDefault="00AB6D04" w:rsidP="00AB6D04">
      <w:pPr>
        <w:spacing w:after="0" w:line="20" w:lineRule="atLeast"/>
        <w:jc w:val="both"/>
      </w:pPr>
      <w:r>
        <w:t xml:space="preserve"> 1. Quali criteri per l’accreditamento del servizio si applicano le seguenti disposizioni: a</w:t>
      </w:r>
    </w:p>
    <w:p w:rsidR="00AB6D04" w:rsidRDefault="00AB6D04" w:rsidP="00AB6D04">
      <w:pPr>
        <w:spacing w:after="0" w:line="20" w:lineRule="atLeast"/>
        <w:jc w:val="both"/>
      </w:pPr>
      <w:r>
        <w:t xml:space="preserve"> a) articolo 2, commi 1 e 5; </w:t>
      </w:r>
    </w:p>
    <w:p w:rsidR="00AB6D04" w:rsidRDefault="00AB6D04" w:rsidP="00AB6D04">
      <w:pPr>
        <w:spacing w:after="0" w:line="20" w:lineRule="atLeast"/>
        <w:jc w:val="both"/>
      </w:pPr>
      <w:r>
        <w:t xml:space="preserve">b) articolo 3; </w:t>
      </w:r>
    </w:p>
    <w:p w:rsidR="00AB6D04" w:rsidRDefault="00AB6D04" w:rsidP="00AB6D04">
      <w:pPr>
        <w:spacing w:after="0" w:line="20" w:lineRule="atLeast"/>
        <w:jc w:val="both"/>
      </w:pPr>
      <w:r>
        <w:t xml:space="preserve">c) articolo 4, comma 2, lettere b), c), g), h) e j); </w:t>
      </w:r>
    </w:p>
    <w:p w:rsidR="00AB6D04" w:rsidRDefault="00AB6D04" w:rsidP="00AB6D04">
      <w:pPr>
        <w:spacing w:after="0" w:line="20" w:lineRule="atLeast"/>
        <w:jc w:val="both"/>
      </w:pPr>
      <w:r>
        <w:t xml:space="preserve">d) articolo 5; </w:t>
      </w:r>
    </w:p>
    <w:p w:rsidR="00AB6D04" w:rsidRDefault="00AB6D04" w:rsidP="00AB6D04">
      <w:pPr>
        <w:spacing w:after="0" w:line="20" w:lineRule="atLeast"/>
        <w:jc w:val="both"/>
      </w:pPr>
      <w:r>
        <w:t>e) articolo 6, commi 2, 3, 4, 5, 6 e 7;</w:t>
      </w:r>
    </w:p>
    <w:p w:rsidR="00AB6D04" w:rsidRDefault="00AB6D04" w:rsidP="00AB6D04">
      <w:pPr>
        <w:spacing w:after="0" w:line="20" w:lineRule="atLeast"/>
        <w:jc w:val="both"/>
      </w:pPr>
      <w:r>
        <w:t>f) articolo 7;</w:t>
      </w:r>
    </w:p>
    <w:p w:rsidR="00AB6D04" w:rsidRDefault="00AB6D04" w:rsidP="00AB6D04">
      <w:pPr>
        <w:spacing w:after="0" w:line="20" w:lineRule="atLeast"/>
        <w:jc w:val="both"/>
      </w:pPr>
      <w:r>
        <w:t xml:space="preserve"> g) articolo 9; </w:t>
      </w:r>
    </w:p>
    <w:p w:rsidR="00AB6D04" w:rsidRDefault="00AB6D04" w:rsidP="00AB6D04">
      <w:pPr>
        <w:spacing w:after="0" w:line="20" w:lineRule="atLeast"/>
        <w:jc w:val="both"/>
      </w:pPr>
      <w:r>
        <w:t xml:space="preserve">h) articolo 10; </w:t>
      </w:r>
    </w:p>
    <w:p w:rsidR="00AB6D04" w:rsidRDefault="00AB6D04" w:rsidP="00AB6D04">
      <w:pPr>
        <w:spacing w:after="0" w:line="20" w:lineRule="atLeast"/>
        <w:jc w:val="both"/>
      </w:pPr>
      <w:r>
        <w:t xml:space="preserve">i) articolo 11; </w:t>
      </w:r>
    </w:p>
    <w:p w:rsidR="00AB6D04" w:rsidRDefault="00AB6D04" w:rsidP="00AB6D04">
      <w:pPr>
        <w:spacing w:after="0" w:line="20" w:lineRule="atLeast"/>
        <w:jc w:val="both"/>
      </w:pPr>
      <w:r>
        <w:lastRenderedPageBreak/>
        <w:t xml:space="preserve">j) articolo 12; </w:t>
      </w:r>
    </w:p>
    <w:p w:rsidR="00AB6D04" w:rsidRDefault="00AB6D04" w:rsidP="00AB6D04">
      <w:pPr>
        <w:spacing w:after="0" w:line="20" w:lineRule="atLeast"/>
        <w:jc w:val="both"/>
      </w:pPr>
      <w:r>
        <w:t xml:space="preserve">k) articolo 13. Art. 15 </w:t>
      </w:r>
    </w:p>
    <w:p w:rsidR="00AB6D04" w:rsidRDefault="00AB6D04" w:rsidP="00AB6D04">
      <w:pPr>
        <w:spacing w:after="0" w:line="20" w:lineRule="atLeast"/>
        <w:jc w:val="both"/>
      </w:pPr>
      <w:r>
        <w:t xml:space="preserve">Art. 15 </w:t>
      </w:r>
    </w:p>
    <w:p w:rsidR="00AB6D04" w:rsidRDefault="00AB6D04" w:rsidP="00AB6D04">
      <w:pPr>
        <w:spacing w:after="0" w:line="20" w:lineRule="atLeast"/>
        <w:jc w:val="both"/>
      </w:pPr>
      <w:r>
        <w:t xml:space="preserve">Norma transitoria </w:t>
      </w:r>
    </w:p>
    <w:p w:rsidR="00AB6D04" w:rsidRDefault="00AB6D04" w:rsidP="00AB6D04">
      <w:pPr>
        <w:spacing w:after="0" w:line="20" w:lineRule="atLeast"/>
        <w:jc w:val="both"/>
      </w:pPr>
      <w:r>
        <w:t>1. Per quanto concerne gli alloggi per anziani già esistenti, nei quali viene attivato il servizio di accompagnamento e assistenza abitativa, l’ente gestore del servizio può concordare con l’ufficio provinciale competente un passaggio graduale per l’attuazione del servizio stesso.</w:t>
      </w:r>
    </w:p>
    <w:p w:rsidR="00AB6D04" w:rsidRDefault="00AB6D04" w:rsidP="00AB6D04">
      <w:pPr>
        <w:spacing w:after="0" w:line="20" w:lineRule="atLeast"/>
        <w:jc w:val="both"/>
      </w:pPr>
      <w:r>
        <w:t xml:space="preserve"> Art. 16 Applicazione </w:t>
      </w:r>
    </w:p>
    <w:p w:rsidR="00AB6D04" w:rsidRDefault="00AB6D04" w:rsidP="00AB6D04">
      <w:pPr>
        <w:spacing w:after="0" w:line="20" w:lineRule="atLeast"/>
        <w:jc w:val="both"/>
        <w:rPr>
          <w:rFonts w:ascii="Corbel" w:hAnsi="Corbel" w:cs="DecimaWE-Bold"/>
          <w:b/>
          <w:bCs/>
          <w:color w:val="FFFFFF"/>
          <w:sz w:val="28"/>
          <w:szCs w:val="28"/>
        </w:rPr>
      </w:pPr>
      <w:r>
        <w:t xml:space="preserve">1. Le presenti disposizioni trovano applicazione a partire dal 1° gennaio 2020. </w:t>
      </w:r>
      <w:r w:rsidRPr="001223F4">
        <w:rPr>
          <w:rFonts w:ascii="Corbel" w:hAnsi="Corbel" w:cs="DecimaWE-Bold"/>
          <w:b/>
          <w:bCs/>
          <w:color w:val="FFFFFF"/>
          <w:sz w:val="28"/>
          <w:szCs w:val="28"/>
        </w:rPr>
        <w:t xml:space="preserve"> </w:t>
      </w:r>
    </w:p>
    <w:p w:rsidR="00C031CB" w:rsidRDefault="00C031CB" w:rsidP="00AB6D04">
      <w:pPr>
        <w:spacing w:after="0" w:line="20" w:lineRule="atLeast"/>
        <w:jc w:val="both"/>
        <w:rPr>
          <w:rFonts w:ascii="Corbel" w:hAnsi="Corbel" w:cs="DecimaWE-Bold"/>
          <w:b/>
          <w:bCs/>
          <w:color w:val="FFFFFF"/>
          <w:sz w:val="28"/>
          <w:szCs w:val="28"/>
        </w:rPr>
      </w:pPr>
    </w:p>
    <w:p w:rsidR="00C031CB" w:rsidRPr="00237BF6" w:rsidRDefault="00237BF6" w:rsidP="00237BF6">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0" w:lineRule="atLeast"/>
        <w:jc w:val="center"/>
        <w:rPr>
          <w:rFonts w:cstheme="minorHAnsi"/>
          <w:b/>
        </w:rPr>
      </w:pPr>
      <w:r w:rsidRPr="00237BF6">
        <w:rPr>
          <w:rFonts w:cstheme="minorHAnsi"/>
          <w:b/>
        </w:rPr>
        <w:t>MINORI</w:t>
      </w:r>
    </w:p>
    <w:p w:rsidR="00C031CB" w:rsidRPr="001E570E" w:rsidRDefault="00C031CB" w:rsidP="00C031CB">
      <w:pPr>
        <w:spacing w:after="0" w:line="20" w:lineRule="atLeast"/>
        <w:jc w:val="both"/>
        <w:rPr>
          <w:rFonts w:cstheme="minorHAnsi"/>
        </w:rPr>
      </w:pPr>
    </w:p>
    <w:p w:rsidR="00C031CB" w:rsidRPr="001E570E" w:rsidRDefault="00C031CB" w:rsidP="00C031CB">
      <w:pPr>
        <w:spacing w:after="0" w:line="20" w:lineRule="atLeast"/>
        <w:jc w:val="both"/>
        <w:rPr>
          <w:rFonts w:cstheme="minorHAnsi"/>
        </w:rPr>
      </w:pPr>
      <w:r w:rsidRPr="00237BF6">
        <w:rPr>
          <w:rFonts w:cstheme="minorHAnsi"/>
          <w:b/>
        </w:rPr>
        <w:t xml:space="preserve"> DGP 30 luglio 2019, n. </w:t>
      </w:r>
      <w:proofErr w:type="gramStart"/>
      <w:r w:rsidRPr="00237BF6">
        <w:rPr>
          <w:rFonts w:cstheme="minorHAnsi"/>
          <w:b/>
        </w:rPr>
        <w:t>666,</w:t>
      </w:r>
      <w:r w:rsidRPr="001E570E">
        <w:rPr>
          <w:rFonts w:cstheme="minorHAnsi"/>
        </w:rPr>
        <w:t xml:space="preserve">  Approvazione</w:t>
      </w:r>
      <w:proofErr w:type="gramEnd"/>
      <w:r w:rsidRPr="001E570E">
        <w:rPr>
          <w:rFonts w:cstheme="minorHAnsi"/>
        </w:rPr>
        <w:t xml:space="preserve"> dei Criteri per il finanziamento di microstrutture e del servizio di assistenza domiciliare all’infanzia e revoca della deliberazione n. 1198 del 20 novembre 2018.  </w:t>
      </w:r>
      <w:r w:rsidR="00237BF6">
        <w:rPr>
          <w:rFonts w:cstheme="minorHAnsi"/>
        </w:rPr>
        <w:t>(</w:t>
      </w:r>
      <w:r w:rsidRPr="001E570E">
        <w:rPr>
          <w:rFonts w:cstheme="minorHAnsi"/>
        </w:rPr>
        <w:t>BUR n. 35 del 29</w:t>
      </w:r>
      <w:r w:rsidR="00237BF6">
        <w:rPr>
          <w:rFonts w:cstheme="minorHAnsi"/>
        </w:rPr>
        <w:t>.</w:t>
      </w:r>
      <w:r w:rsidRPr="001E570E">
        <w:rPr>
          <w:rFonts w:cstheme="minorHAnsi"/>
        </w:rPr>
        <w:t>8.19</w:t>
      </w:r>
      <w:r w:rsidR="00237BF6">
        <w:rPr>
          <w:rFonts w:cstheme="minorHAnsi"/>
        </w:rPr>
        <w:t>)</w:t>
      </w:r>
    </w:p>
    <w:p w:rsidR="00C031CB" w:rsidRPr="00594F13" w:rsidRDefault="00594F13" w:rsidP="00C031CB">
      <w:pPr>
        <w:spacing w:after="0" w:line="20" w:lineRule="atLeast"/>
        <w:jc w:val="both"/>
        <w:rPr>
          <w:rFonts w:cstheme="minorHAnsi"/>
          <w:b/>
        </w:rPr>
      </w:pPr>
      <w:r w:rsidRPr="00594F13">
        <w:rPr>
          <w:rFonts w:cstheme="minorHAnsi"/>
          <w:b/>
        </w:rPr>
        <w:t>Note</w:t>
      </w:r>
    </w:p>
    <w:p w:rsidR="00C031CB" w:rsidRPr="001E570E" w:rsidRDefault="00594F13" w:rsidP="00C031CB">
      <w:pPr>
        <w:spacing w:after="0" w:line="20" w:lineRule="atLeast"/>
        <w:jc w:val="both"/>
        <w:rPr>
          <w:rFonts w:cstheme="minorHAnsi"/>
        </w:rPr>
      </w:pPr>
      <w:r>
        <w:rPr>
          <w:rFonts w:cstheme="minorHAnsi"/>
        </w:rPr>
        <w:t xml:space="preserve">Vengono </w:t>
      </w:r>
      <w:proofErr w:type="gramStart"/>
      <w:r w:rsidR="00C031CB" w:rsidRPr="001E570E">
        <w:rPr>
          <w:rFonts w:cstheme="minorHAnsi"/>
        </w:rPr>
        <w:t>aggiorna</w:t>
      </w:r>
      <w:r>
        <w:rPr>
          <w:rFonts w:cstheme="minorHAnsi"/>
        </w:rPr>
        <w:t xml:space="preserve">ti </w:t>
      </w:r>
      <w:r w:rsidR="00C031CB" w:rsidRPr="001E570E">
        <w:rPr>
          <w:rFonts w:cstheme="minorHAnsi"/>
        </w:rPr>
        <w:t xml:space="preserve"> i</w:t>
      </w:r>
      <w:proofErr w:type="gramEnd"/>
      <w:r>
        <w:rPr>
          <w:rFonts w:cstheme="minorHAnsi"/>
        </w:rPr>
        <w:t xml:space="preserve"> </w:t>
      </w:r>
      <w:r w:rsidR="00C031CB" w:rsidRPr="001E570E">
        <w:rPr>
          <w:rFonts w:cstheme="minorHAnsi"/>
        </w:rPr>
        <w:t xml:space="preserve"> “Criteri sul finanziamento dei servizi di microstruttura e di assistenza domiciliare all’infanzia” in quanto sulla base delle esperienze in seguito all’applicazione dei nuovi criteri di contribuzione su base oraria in questo ambito sono state avanzate delle proposte di modifica sia da parte delle famiglie utenti che da parte degli enti gestori dei servizi</w:t>
      </w:r>
      <w:r>
        <w:rPr>
          <w:rFonts w:cstheme="minorHAnsi"/>
        </w:rPr>
        <w:t>.</w:t>
      </w:r>
      <w:r w:rsidR="00C031CB" w:rsidRPr="001E570E">
        <w:rPr>
          <w:rFonts w:cstheme="minorHAnsi"/>
        </w:rPr>
        <w:t xml:space="preserve"> </w:t>
      </w:r>
    </w:p>
    <w:p w:rsidR="00594F13" w:rsidRDefault="00594F13" w:rsidP="00C031CB">
      <w:pPr>
        <w:spacing w:after="0" w:line="20" w:lineRule="atLeast"/>
        <w:jc w:val="both"/>
        <w:rPr>
          <w:rFonts w:cstheme="minorHAnsi"/>
        </w:rPr>
      </w:pPr>
      <w:r>
        <w:rPr>
          <w:rFonts w:cstheme="minorHAnsi"/>
        </w:rPr>
        <w:t xml:space="preserve">Vengono </w:t>
      </w:r>
      <w:proofErr w:type="gramStart"/>
      <w:r>
        <w:rPr>
          <w:rFonts w:cstheme="minorHAnsi"/>
        </w:rPr>
        <w:t xml:space="preserve">pertanto </w:t>
      </w:r>
      <w:r w:rsidR="00C031CB" w:rsidRPr="001E570E">
        <w:rPr>
          <w:rFonts w:cstheme="minorHAnsi"/>
        </w:rPr>
        <w:t xml:space="preserve"> approva</w:t>
      </w:r>
      <w:r>
        <w:rPr>
          <w:rFonts w:cstheme="minorHAnsi"/>
        </w:rPr>
        <w:t>ti</w:t>
      </w:r>
      <w:proofErr w:type="gramEnd"/>
      <w:r>
        <w:rPr>
          <w:rFonts w:cstheme="minorHAnsi"/>
        </w:rPr>
        <w:t xml:space="preserve"> </w:t>
      </w:r>
      <w:r w:rsidR="00C031CB" w:rsidRPr="001E570E">
        <w:rPr>
          <w:rFonts w:cstheme="minorHAnsi"/>
        </w:rPr>
        <w:t xml:space="preserve"> i criteri di cui all’Allegato “A” concernente il finanziamento dei servizi di microstruttura e di assistenza domiciliare</w:t>
      </w:r>
      <w:r>
        <w:rPr>
          <w:rFonts w:cstheme="minorHAnsi"/>
        </w:rPr>
        <w:t>.</w:t>
      </w:r>
    </w:p>
    <w:p w:rsidR="00C031CB" w:rsidRPr="001E570E" w:rsidRDefault="00C031CB" w:rsidP="00C031CB">
      <w:pPr>
        <w:spacing w:after="0" w:line="20" w:lineRule="atLeast"/>
        <w:jc w:val="both"/>
        <w:rPr>
          <w:rFonts w:cstheme="minorHAnsi"/>
        </w:rPr>
      </w:pPr>
      <w:r w:rsidRPr="001E570E">
        <w:rPr>
          <w:rFonts w:cstheme="minorHAnsi"/>
        </w:rPr>
        <w:t xml:space="preserve">ALLEGATO A </w:t>
      </w:r>
    </w:p>
    <w:p w:rsidR="00C031CB" w:rsidRPr="001E570E" w:rsidRDefault="00C031CB" w:rsidP="00C031CB">
      <w:pPr>
        <w:spacing w:after="0" w:line="20" w:lineRule="atLeast"/>
        <w:jc w:val="both"/>
        <w:rPr>
          <w:rFonts w:cstheme="minorHAnsi"/>
        </w:rPr>
      </w:pPr>
      <w:r w:rsidRPr="001E570E">
        <w:rPr>
          <w:rFonts w:cstheme="minorHAnsi"/>
        </w:rPr>
        <w:t xml:space="preserve">Ambito di applicazione </w:t>
      </w:r>
    </w:p>
    <w:p w:rsidR="00C031CB" w:rsidRPr="001E570E" w:rsidRDefault="00C031CB" w:rsidP="00C031CB">
      <w:pPr>
        <w:spacing w:after="0" w:line="20" w:lineRule="atLeast"/>
        <w:jc w:val="both"/>
        <w:rPr>
          <w:rFonts w:cstheme="minorHAnsi"/>
        </w:rPr>
      </w:pPr>
      <w:r w:rsidRPr="001E570E">
        <w:rPr>
          <w:rFonts w:cstheme="minorHAnsi"/>
        </w:rPr>
        <w:t xml:space="preserve">1. I presenti criteri disciplinano, ai sensi degli articoli 13 e 15 della legge provinciale 17 maggio 2013, n. 8, e successive modifiche, il finanziamento dei servizi di microstruttura e di assistenza domiciliare all’infanzia destinati a bambini e bambine di età compresa fra i tre mesi e i tre anni di età, e la concessione dei contributi provinciali per la loro gestione. I presenti criteri disciplinano inoltre altri aspetti riguardanti i suindicati servizi. </w:t>
      </w:r>
    </w:p>
    <w:p w:rsidR="00C031CB" w:rsidRPr="001E570E" w:rsidRDefault="00C031CB" w:rsidP="00C031CB">
      <w:pPr>
        <w:spacing w:after="0" w:line="20" w:lineRule="atLeast"/>
        <w:jc w:val="both"/>
        <w:rPr>
          <w:rFonts w:cstheme="minorHAnsi"/>
        </w:rPr>
      </w:pPr>
      <w:r w:rsidRPr="001E570E">
        <w:rPr>
          <w:rFonts w:cstheme="minorHAnsi"/>
        </w:rPr>
        <w:t xml:space="preserve">2. Gli enti gestori privati accreditati senza scopo di lucro che erogano i servizi di cui agli articoli 13 e 15 della legge provinciale 17 maggio 2013, n. 8, e successive modifiche, sono di seguito denominati enti gestori. Art. 2 Art. 2 </w:t>
      </w:r>
    </w:p>
    <w:p w:rsidR="00C031CB" w:rsidRPr="001E570E" w:rsidRDefault="00C031CB" w:rsidP="00C031CB">
      <w:pPr>
        <w:spacing w:after="0" w:line="20" w:lineRule="atLeast"/>
        <w:jc w:val="both"/>
        <w:rPr>
          <w:rFonts w:cstheme="minorHAnsi"/>
        </w:rPr>
      </w:pPr>
      <w:r w:rsidRPr="001E570E">
        <w:rPr>
          <w:rFonts w:cstheme="minorHAnsi"/>
        </w:rPr>
        <w:t xml:space="preserve">1. Ogni Comune elabora un proprio Piano di sviluppo della rete di servizi per la prima infanzia, che andrà aggiornato annualmente e presentato entro il 30 novembre all’Agenzia per la famiglia. Il Piano di sviluppo è uno strumento strategico di programmazione, condiviso con gli enti gestori, orientato al soddisfacimento del concreto fabbisogno di assistenza delle famiglie presenti sul territorio comunale e all’ottimale utilizzo delle strutture e dei servizi. </w:t>
      </w:r>
    </w:p>
    <w:p w:rsidR="00C031CB" w:rsidRPr="001E570E" w:rsidRDefault="00C031CB" w:rsidP="00C031CB">
      <w:pPr>
        <w:spacing w:after="0" w:line="20" w:lineRule="atLeast"/>
        <w:jc w:val="both"/>
        <w:rPr>
          <w:rFonts w:cstheme="minorHAnsi"/>
        </w:rPr>
      </w:pPr>
      <w:r w:rsidRPr="001E570E">
        <w:rPr>
          <w:rFonts w:cstheme="minorHAnsi"/>
        </w:rPr>
        <w:t xml:space="preserve">Art. </w:t>
      </w:r>
    </w:p>
    <w:p w:rsidR="00C031CB" w:rsidRPr="001E570E" w:rsidRDefault="00C031CB" w:rsidP="00C031CB">
      <w:pPr>
        <w:spacing w:after="0" w:line="20" w:lineRule="atLeast"/>
        <w:jc w:val="both"/>
        <w:rPr>
          <w:rFonts w:cstheme="minorHAnsi"/>
        </w:rPr>
      </w:pPr>
      <w:r w:rsidRPr="001E570E">
        <w:rPr>
          <w:rFonts w:cstheme="minorHAnsi"/>
        </w:rPr>
        <w:t>1. I Comuni mettono a disposizione postibambino nelle diverse tipologie di servizi disciplinate al capo IV della legge provinciale 17 maggio 2013, n. 8, e successive modifiche. 2</w:t>
      </w:r>
    </w:p>
    <w:p w:rsidR="00C031CB" w:rsidRPr="001E570E" w:rsidRDefault="00C031CB" w:rsidP="00C031CB">
      <w:pPr>
        <w:spacing w:after="0" w:line="20" w:lineRule="atLeast"/>
        <w:jc w:val="both"/>
        <w:rPr>
          <w:rFonts w:cstheme="minorHAnsi"/>
        </w:rPr>
      </w:pPr>
      <w:r w:rsidRPr="001E570E">
        <w:rPr>
          <w:rFonts w:cstheme="minorHAnsi"/>
        </w:rPr>
        <w:t xml:space="preserve"> 2. I Comuni possono mettere a disposizione i servizi socio-educativi per la prima infanzia presenti sul proprio territorio o avvalersi di servizi di altri Comuni della provincia di Bolzano o di Comuni fuori provincia. 3. Il Comune può avvalersi di posti-bambino nelle microstrutture aziendali di cui all’articolo 16 della legge provinciale 17 maggio 2013, n. 8, e successive modifiche, nei limiti dei vigenti criteri per la concessione dei contributi per microstrutture aziendali e l’acquisto di postibambino presso servizi analoghi. Viceversa, nelle microstrutture comunali alcuni postibambino possono essere assegnati a bambini per i quali il datore di lavoro di uno dei genitori contribuisca finanziariamente al costo del servizio di assistenza all’infanzia, a condizione che non vi siano liste di attesa presso il Comune gestore o presso altri Comuni. </w:t>
      </w:r>
    </w:p>
    <w:p w:rsidR="00C031CB" w:rsidRPr="001E570E" w:rsidRDefault="00C031CB" w:rsidP="00C031CB">
      <w:pPr>
        <w:spacing w:after="0" w:line="20" w:lineRule="atLeast"/>
        <w:jc w:val="both"/>
        <w:rPr>
          <w:rFonts w:cstheme="minorHAnsi"/>
        </w:rPr>
      </w:pPr>
      <w:r w:rsidRPr="001E570E">
        <w:rPr>
          <w:rFonts w:cstheme="minorHAnsi"/>
        </w:rPr>
        <w:t xml:space="preserve">4. Il numero dei posti-bambino deve essere adeguato al fabbisogno concreto, che il Comune deve rilevare e soddisfare in maniera ottimale. Deve essere garantito un posto di assistenza per almeno il 15 per cento dei bambini in età 0-3 anni residenti nel territorio comunale al 31 dicembre dell’anno precedente a quello di presentazione della domanda di contributo. Il Comune di residenza o di stabile dimora del bambino/della bambina partecipa ai costi sostenuti dalle famiglie che usufruiscono di servizi presso altri Comuni della </w:t>
      </w:r>
      <w:r w:rsidRPr="001E570E">
        <w:rPr>
          <w:rFonts w:cstheme="minorHAnsi"/>
        </w:rPr>
        <w:lastRenderedPageBreak/>
        <w:t>provincia di Bolzano, come stabilito all’articolo 7. L’ampliamento del numero di posti-bambino avviene in ogni caso tenendo conto dell’effettivo fabbisogno della popolazione e della necessità di creare posti-bambino per almeno il 33 per cento dei bambini presenti sul territorio, in linea con gli obiettivi fissati dal Consiglio europeo in occasione del convegno di Barcellona del 2002, poi ribaditi nella Strategia di Lisbona e successivamente nella Strategia Europa 2020. 5</w:t>
      </w:r>
    </w:p>
    <w:p w:rsidR="00C031CB" w:rsidRPr="001E570E" w:rsidRDefault="00C031CB" w:rsidP="00C031CB">
      <w:pPr>
        <w:spacing w:after="0" w:line="20" w:lineRule="atLeast"/>
        <w:jc w:val="both"/>
        <w:rPr>
          <w:rFonts w:cstheme="minorHAnsi"/>
        </w:rPr>
      </w:pPr>
      <w:r w:rsidRPr="001E570E">
        <w:rPr>
          <w:rFonts w:cstheme="minorHAnsi"/>
        </w:rPr>
        <w:t xml:space="preserve"> 5. Ogni posto-bambino corrisponde convenzionalmente a 1.200 ore annue di assistenza. </w:t>
      </w:r>
    </w:p>
    <w:p w:rsidR="00C031CB" w:rsidRPr="001E570E" w:rsidRDefault="00C031CB" w:rsidP="00C031CB">
      <w:pPr>
        <w:spacing w:after="0" w:line="20" w:lineRule="atLeast"/>
        <w:jc w:val="both"/>
        <w:rPr>
          <w:rFonts w:cstheme="minorHAnsi"/>
        </w:rPr>
      </w:pPr>
      <w:r w:rsidRPr="001E570E">
        <w:rPr>
          <w:rFonts w:cstheme="minorHAnsi"/>
        </w:rPr>
        <w:t xml:space="preserve">6. Ai fini del raggiungimento dell’obiettivo di cui al comma 4, si considerano i bambini e le bambine che usufruiscono di una delle forme di assistenza di cui al capo IV della legge provinciale 17 maggio 2013, n. 8, e successive modifiche, con il cofinanziamento di Provincia, Comuni e utenti ai sensi dell’articolo 7 dei presenti criteri e dei criteri relativi agli asili nido. </w:t>
      </w:r>
    </w:p>
    <w:p w:rsidR="00C031CB" w:rsidRPr="001E570E" w:rsidRDefault="00C031CB" w:rsidP="00C031CB">
      <w:pPr>
        <w:spacing w:after="0" w:line="20" w:lineRule="atLeast"/>
        <w:jc w:val="both"/>
        <w:rPr>
          <w:rFonts w:cstheme="minorHAnsi"/>
        </w:rPr>
      </w:pPr>
      <w:r w:rsidRPr="001E570E">
        <w:rPr>
          <w:rFonts w:cstheme="minorHAnsi"/>
        </w:rPr>
        <w:t xml:space="preserve">7. Al Comune che, in mancanza di adeguate motivazioni, non è in grado di raggiungere l’obiettivo di cui al comma 4, si applica, nel primo esercizio finanziario utile, una detrazione dai trasferimenti correnti a titolo di finanza locale pari a un importo calcolato in proporzione all’offerta mancante. L’ammontare della detrazione è pari al 20 per cento dell’importo determinato moltiplicando le ore di assistenza mancanti al raggiungimento del 15 per cento di cui al comma 4 per il costo orario standard del servizio previsto all’articolo 8, comma 1, lettera a), per le microstrutture con più di dieci posti. Gli importi dedotti verranno riutilizzati per il finanziamento dei servizi per la prima infanzia. </w:t>
      </w:r>
    </w:p>
    <w:p w:rsidR="00C031CB" w:rsidRPr="001E570E" w:rsidRDefault="00C031CB" w:rsidP="00C031CB">
      <w:pPr>
        <w:spacing w:after="0" w:line="20" w:lineRule="atLeast"/>
        <w:jc w:val="both"/>
        <w:rPr>
          <w:rFonts w:cstheme="minorHAnsi"/>
        </w:rPr>
      </w:pPr>
      <w:r w:rsidRPr="001E570E">
        <w:rPr>
          <w:rFonts w:cstheme="minorHAnsi"/>
        </w:rPr>
        <w:t xml:space="preserve">Art. 4 </w:t>
      </w:r>
    </w:p>
    <w:p w:rsidR="00C031CB" w:rsidRPr="001E570E" w:rsidRDefault="00C031CB" w:rsidP="00C031CB">
      <w:pPr>
        <w:spacing w:after="0" w:line="20" w:lineRule="atLeast"/>
        <w:jc w:val="both"/>
        <w:rPr>
          <w:rFonts w:cstheme="minorHAnsi"/>
        </w:rPr>
      </w:pPr>
      <w:r w:rsidRPr="001E570E">
        <w:rPr>
          <w:rFonts w:cstheme="minorHAnsi"/>
        </w:rPr>
        <w:t xml:space="preserve">1. Per l’accesso ai servizi si applicano i seguenti criteri di precedenza vincolanti, indicati in ordine decrescente di importanza: </w:t>
      </w:r>
    </w:p>
    <w:p w:rsidR="00C031CB" w:rsidRPr="001E570E" w:rsidRDefault="00C031CB" w:rsidP="00C031CB">
      <w:pPr>
        <w:spacing w:after="0" w:line="20" w:lineRule="atLeast"/>
        <w:jc w:val="both"/>
        <w:rPr>
          <w:rFonts w:cstheme="minorHAnsi"/>
        </w:rPr>
      </w:pPr>
      <w:r w:rsidRPr="001E570E">
        <w:rPr>
          <w:rFonts w:cstheme="minorHAnsi"/>
        </w:rPr>
        <w:t xml:space="preserve">a) la riammissione del bambino/dalla bambina dopo la disdetta del contratto di assistenza per malattia di durata prolungata ai sensi dell’articolo 9, comma 7; </w:t>
      </w:r>
    </w:p>
    <w:p w:rsidR="00C031CB" w:rsidRPr="001E570E" w:rsidRDefault="00C031CB" w:rsidP="00C031CB">
      <w:pPr>
        <w:spacing w:after="0" w:line="20" w:lineRule="atLeast"/>
        <w:jc w:val="both"/>
        <w:rPr>
          <w:rFonts w:cstheme="minorHAnsi"/>
        </w:rPr>
      </w:pPr>
      <w:r w:rsidRPr="001E570E">
        <w:rPr>
          <w:rFonts w:cstheme="minorHAnsi"/>
        </w:rPr>
        <w:t xml:space="preserve">b) la residenza del bambino/della bambina nel comune; </w:t>
      </w:r>
    </w:p>
    <w:p w:rsidR="00C031CB" w:rsidRPr="001E570E" w:rsidRDefault="00C031CB" w:rsidP="00C031CB">
      <w:pPr>
        <w:spacing w:after="0" w:line="20" w:lineRule="atLeast"/>
        <w:jc w:val="both"/>
        <w:rPr>
          <w:rFonts w:cstheme="minorHAnsi"/>
        </w:rPr>
      </w:pPr>
      <w:r w:rsidRPr="001E570E">
        <w:rPr>
          <w:rFonts w:cstheme="minorHAnsi"/>
        </w:rPr>
        <w:t>c) lo stato di lavoratore/lavoratrice di entrambi i genitori o del genitore monoparentale</w:t>
      </w:r>
    </w:p>
    <w:p w:rsidR="00C031CB" w:rsidRPr="001E570E" w:rsidRDefault="00C031CB" w:rsidP="00C031CB">
      <w:pPr>
        <w:spacing w:after="0" w:line="20" w:lineRule="atLeast"/>
        <w:jc w:val="both"/>
        <w:rPr>
          <w:rFonts w:cstheme="minorHAnsi"/>
        </w:rPr>
      </w:pPr>
      <w:r w:rsidRPr="001E570E">
        <w:rPr>
          <w:rFonts w:cstheme="minorHAnsi"/>
        </w:rPr>
        <w:t xml:space="preserve">d) problematiche fisiche e/o psichiche certificate riguardanti il bambino/la bambina da assistere, un fratello/una sorella oppure un genitore; </w:t>
      </w:r>
    </w:p>
    <w:p w:rsidR="00C031CB" w:rsidRPr="001E570E" w:rsidRDefault="00C031CB" w:rsidP="00C031CB">
      <w:pPr>
        <w:spacing w:after="0" w:line="20" w:lineRule="atLeast"/>
        <w:jc w:val="both"/>
        <w:rPr>
          <w:rFonts w:cstheme="minorHAnsi"/>
        </w:rPr>
      </w:pPr>
      <w:r w:rsidRPr="001E570E">
        <w:rPr>
          <w:rFonts w:cstheme="minorHAnsi"/>
        </w:rPr>
        <w:t xml:space="preserve">e) l’orario lavorativo di ciascun </w:t>
      </w:r>
      <w:proofErr w:type="gramStart"/>
      <w:r w:rsidRPr="001E570E">
        <w:rPr>
          <w:rFonts w:cstheme="minorHAnsi"/>
        </w:rPr>
        <w:t>genitore:  1</w:t>
      </w:r>
      <w:proofErr w:type="gramEnd"/>
      <w:r w:rsidRPr="001E570E">
        <w:rPr>
          <w:rFonts w:cstheme="minorHAnsi"/>
        </w:rPr>
        <w:t xml:space="preserve">) a tempo pieno;  2) a tempo parziale superiore al 50 per cento;  3) a tempo parziale fino al 50 per cento compreso. </w:t>
      </w:r>
    </w:p>
    <w:p w:rsidR="00C031CB" w:rsidRPr="001E570E" w:rsidRDefault="00C031CB" w:rsidP="00C031CB">
      <w:pPr>
        <w:spacing w:after="0" w:line="20" w:lineRule="atLeast"/>
        <w:jc w:val="both"/>
        <w:rPr>
          <w:rFonts w:cstheme="minorHAnsi"/>
        </w:rPr>
      </w:pPr>
      <w:r w:rsidRPr="001E570E">
        <w:rPr>
          <w:rFonts w:cstheme="minorHAnsi"/>
        </w:rPr>
        <w:t xml:space="preserve">2. Il Comune, in caso di microstruttura, e l’ente gestore, in caso di servizio di assistenza domiciliare all’infanzia, possono applicare ulteriori criteri di valutazione, quali: </w:t>
      </w:r>
    </w:p>
    <w:p w:rsidR="00C031CB" w:rsidRPr="001E570E" w:rsidRDefault="00C031CB" w:rsidP="00C031CB">
      <w:pPr>
        <w:spacing w:after="0" w:line="20" w:lineRule="atLeast"/>
        <w:jc w:val="both"/>
        <w:rPr>
          <w:rFonts w:cstheme="minorHAnsi"/>
        </w:rPr>
      </w:pPr>
      <w:r w:rsidRPr="001E570E">
        <w:rPr>
          <w:rFonts w:cstheme="minorHAnsi"/>
        </w:rPr>
        <w:t xml:space="preserve">a) lo stato di genitore monoparentale; </w:t>
      </w:r>
    </w:p>
    <w:p w:rsidR="00C031CB" w:rsidRPr="001E570E" w:rsidRDefault="00C031CB" w:rsidP="00C031CB">
      <w:pPr>
        <w:spacing w:after="0" w:line="20" w:lineRule="atLeast"/>
        <w:jc w:val="both"/>
        <w:rPr>
          <w:rFonts w:cstheme="minorHAnsi"/>
        </w:rPr>
      </w:pPr>
      <w:r w:rsidRPr="001E570E">
        <w:rPr>
          <w:rFonts w:cstheme="minorHAnsi"/>
        </w:rPr>
        <w:t xml:space="preserve">b) la situazione di disagio psico-sociale o economico della famiglia del bambino/della bambina; </w:t>
      </w:r>
    </w:p>
    <w:p w:rsidR="00C031CB" w:rsidRPr="001E570E" w:rsidRDefault="00C031CB" w:rsidP="00C031CB">
      <w:pPr>
        <w:spacing w:after="0" w:line="20" w:lineRule="atLeast"/>
        <w:jc w:val="both"/>
        <w:rPr>
          <w:rFonts w:cstheme="minorHAnsi"/>
        </w:rPr>
      </w:pPr>
      <w:r w:rsidRPr="001E570E">
        <w:rPr>
          <w:rFonts w:cstheme="minorHAnsi"/>
        </w:rPr>
        <w:t xml:space="preserve"> c) lo stato di disoccupazione di uno o entrambi i genitori, attestato dalla relativa iscrizione nelle liste di disoccupazione;</w:t>
      </w:r>
    </w:p>
    <w:p w:rsidR="00C031CB" w:rsidRPr="001E570E" w:rsidRDefault="00C031CB" w:rsidP="00C031CB">
      <w:pPr>
        <w:spacing w:after="0" w:line="20" w:lineRule="atLeast"/>
        <w:jc w:val="both"/>
        <w:rPr>
          <w:rFonts w:cstheme="minorHAnsi"/>
        </w:rPr>
      </w:pPr>
      <w:r w:rsidRPr="001E570E">
        <w:rPr>
          <w:rFonts w:cstheme="minorHAnsi"/>
        </w:rPr>
        <w:t xml:space="preserve"> d) la frequenza di corsi di formazione da parte di uno o di entrambi i genitori; </w:t>
      </w:r>
    </w:p>
    <w:p w:rsidR="00C031CB" w:rsidRPr="001E570E" w:rsidRDefault="00C031CB" w:rsidP="00C031CB">
      <w:pPr>
        <w:spacing w:after="0" w:line="20" w:lineRule="atLeast"/>
        <w:jc w:val="both"/>
        <w:rPr>
          <w:rFonts w:cstheme="minorHAnsi"/>
        </w:rPr>
      </w:pPr>
      <w:r w:rsidRPr="001E570E">
        <w:rPr>
          <w:rFonts w:cstheme="minorHAnsi"/>
        </w:rPr>
        <w:t xml:space="preserve">e) la frequenza da parte di uno o di entrambi i genitori di un corso per l’apprendimento di una delle lingue principali della provincia; </w:t>
      </w:r>
    </w:p>
    <w:p w:rsidR="00C031CB" w:rsidRPr="001E570E" w:rsidRDefault="00C031CB" w:rsidP="00C031CB">
      <w:pPr>
        <w:spacing w:after="0" w:line="20" w:lineRule="atLeast"/>
        <w:jc w:val="both"/>
        <w:rPr>
          <w:rFonts w:cstheme="minorHAnsi"/>
        </w:rPr>
      </w:pPr>
      <w:r w:rsidRPr="001E570E">
        <w:rPr>
          <w:rFonts w:cstheme="minorHAnsi"/>
        </w:rPr>
        <w:t xml:space="preserve">f) lo stato di lavoratore/lavoratrice nel settore privato; </w:t>
      </w:r>
    </w:p>
    <w:p w:rsidR="00C031CB" w:rsidRPr="001E570E" w:rsidRDefault="00C031CB" w:rsidP="00C031CB">
      <w:pPr>
        <w:spacing w:after="0" w:line="20" w:lineRule="atLeast"/>
        <w:jc w:val="both"/>
        <w:rPr>
          <w:rFonts w:cstheme="minorHAnsi"/>
        </w:rPr>
      </w:pPr>
      <w:r w:rsidRPr="001E570E">
        <w:rPr>
          <w:rFonts w:cstheme="minorHAnsi"/>
        </w:rPr>
        <w:t xml:space="preserve">g) la presenza di minori di 10 anni, iscritti nello stesso stato di famiglia del bambino/della bambina da assistere; </w:t>
      </w:r>
    </w:p>
    <w:p w:rsidR="00C031CB" w:rsidRPr="001E570E" w:rsidRDefault="00C031CB" w:rsidP="00C031CB">
      <w:pPr>
        <w:spacing w:after="0" w:line="20" w:lineRule="atLeast"/>
        <w:jc w:val="both"/>
        <w:rPr>
          <w:rFonts w:cstheme="minorHAnsi"/>
        </w:rPr>
      </w:pPr>
      <w:r w:rsidRPr="001E570E">
        <w:rPr>
          <w:rFonts w:cstheme="minorHAnsi"/>
        </w:rPr>
        <w:t xml:space="preserve">h) la data di iscrizione al servizio; </w:t>
      </w:r>
    </w:p>
    <w:p w:rsidR="00C031CB" w:rsidRPr="001E570E" w:rsidRDefault="00C031CB" w:rsidP="00C031CB">
      <w:pPr>
        <w:spacing w:after="0" w:line="20" w:lineRule="atLeast"/>
        <w:jc w:val="both"/>
        <w:rPr>
          <w:rFonts w:cstheme="minorHAnsi"/>
        </w:rPr>
      </w:pPr>
      <w:r w:rsidRPr="001E570E">
        <w:rPr>
          <w:rFonts w:cstheme="minorHAnsi"/>
        </w:rPr>
        <w:t xml:space="preserve">i) la stabile dimora del bambino/della bambina nel comune. </w:t>
      </w:r>
    </w:p>
    <w:p w:rsidR="00C031CB" w:rsidRPr="001E570E" w:rsidRDefault="00C031CB" w:rsidP="00C031CB">
      <w:pPr>
        <w:spacing w:after="0" w:line="20" w:lineRule="atLeast"/>
        <w:jc w:val="both"/>
        <w:rPr>
          <w:rFonts w:cstheme="minorHAnsi"/>
        </w:rPr>
      </w:pPr>
      <w:r w:rsidRPr="001E570E">
        <w:rPr>
          <w:rFonts w:cstheme="minorHAnsi"/>
        </w:rPr>
        <w:t xml:space="preserve">Art. 5 </w:t>
      </w:r>
    </w:p>
    <w:p w:rsidR="00C031CB" w:rsidRPr="001E570E" w:rsidRDefault="00C031CB" w:rsidP="00C031CB">
      <w:pPr>
        <w:spacing w:after="0" w:line="20" w:lineRule="atLeast"/>
        <w:jc w:val="both"/>
        <w:rPr>
          <w:rFonts w:cstheme="minorHAnsi"/>
        </w:rPr>
      </w:pPr>
      <w:r w:rsidRPr="001E570E">
        <w:rPr>
          <w:rFonts w:cstheme="minorHAnsi"/>
        </w:rPr>
        <w:t xml:space="preserve">1. Di regola sono ammessi solo bambini e bambine che frequentano il servizio per almeno 12 ore settimanali. </w:t>
      </w:r>
    </w:p>
    <w:p w:rsidR="00C031CB" w:rsidRPr="001E570E" w:rsidRDefault="00C031CB" w:rsidP="00C031CB">
      <w:pPr>
        <w:spacing w:after="0" w:line="20" w:lineRule="atLeast"/>
        <w:jc w:val="both"/>
        <w:rPr>
          <w:rFonts w:cstheme="minorHAnsi"/>
        </w:rPr>
      </w:pPr>
      <w:r w:rsidRPr="001E570E">
        <w:rPr>
          <w:rFonts w:cstheme="minorHAnsi"/>
        </w:rPr>
        <w:t>2. Per i bambini e le bambine in età prescolare che hanno compiuto i quattro anni, o anche di età inferiore se già frequentanti la scuola dell’infanzia, che usufruiscono del servizio di assistenza domiciliare all’infanzia per il quale i genitori corrispondono l’intero costo orario, vengono fatturate le ore effettivamente utilizzate e non sussiste l’obbligo della frequenza minima di 12 ore settimanali.</w:t>
      </w:r>
    </w:p>
    <w:p w:rsidR="00C031CB" w:rsidRPr="001E570E" w:rsidRDefault="00C031CB" w:rsidP="00C031CB">
      <w:pPr>
        <w:spacing w:after="0" w:line="20" w:lineRule="atLeast"/>
        <w:jc w:val="both"/>
        <w:rPr>
          <w:rFonts w:cstheme="minorHAnsi"/>
        </w:rPr>
      </w:pPr>
      <w:r w:rsidRPr="001E570E">
        <w:rPr>
          <w:rFonts w:cstheme="minorHAnsi"/>
        </w:rPr>
        <w:t xml:space="preserve"> 3. Comune ed enti gestori garantiscono la continuità del servizio</w:t>
      </w:r>
    </w:p>
    <w:p w:rsidR="00C031CB" w:rsidRPr="001E570E" w:rsidRDefault="00C031CB" w:rsidP="00C031CB">
      <w:pPr>
        <w:spacing w:after="0" w:line="20" w:lineRule="atLeast"/>
        <w:jc w:val="both"/>
        <w:rPr>
          <w:rFonts w:cstheme="minorHAnsi"/>
        </w:rPr>
      </w:pPr>
      <w:r w:rsidRPr="001E570E">
        <w:rPr>
          <w:rFonts w:cstheme="minorHAnsi"/>
        </w:rPr>
        <w:t>4. Comune ed enti gestori garantiscono la trasparenza nell’istruttoria delle domande e nella procedura di ammissione</w:t>
      </w:r>
    </w:p>
    <w:p w:rsidR="00C031CB" w:rsidRPr="001E570E" w:rsidRDefault="00C031CB" w:rsidP="00C031CB">
      <w:pPr>
        <w:spacing w:after="0" w:line="20" w:lineRule="atLeast"/>
        <w:jc w:val="both"/>
        <w:rPr>
          <w:rFonts w:cstheme="minorHAnsi"/>
        </w:rPr>
      </w:pPr>
      <w:r w:rsidRPr="001E570E">
        <w:rPr>
          <w:rFonts w:cstheme="minorHAnsi"/>
        </w:rPr>
        <w:t xml:space="preserve">5. Al fine di garantire la continuità pedagogica, i bambini già frequentanti il servizio mantengono il posto con diritto di precedenza rispetto ad eventuali nuove ammissioni. </w:t>
      </w:r>
    </w:p>
    <w:p w:rsidR="00C031CB" w:rsidRPr="001E570E" w:rsidRDefault="00C031CB" w:rsidP="00C031CB">
      <w:pPr>
        <w:spacing w:after="0" w:line="20" w:lineRule="atLeast"/>
        <w:jc w:val="both"/>
        <w:rPr>
          <w:rFonts w:cstheme="minorHAnsi"/>
        </w:rPr>
      </w:pPr>
      <w:r w:rsidRPr="001E570E">
        <w:rPr>
          <w:rFonts w:cstheme="minorHAnsi"/>
        </w:rPr>
        <w:lastRenderedPageBreak/>
        <w:t xml:space="preserve">Art. </w:t>
      </w:r>
      <w:proofErr w:type="gramStart"/>
      <w:r w:rsidRPr="001E570E">
        <w:rPr>
          <w:rFonts w:cstheme="minorHAnsi"/>
        </w:rPr>
        <w:t>6  Beneficiari</w:t>
      </w:r>
      <w:proofErr w:type="gramEnd"/>
      <w:r w:rsidRPr="001E570E">
        <w:rPr>
          <w:rFonts w:cstheme="minorHAnsi"/>
        </w:rPr>
        <w:t xml:space="preserve"> </w:t>
      </w:r>
    </w:p>
    <w:p w:rsidR="00C031CB" w:rsidRPr="001E570E" w:rsidRDefault="00C031CB" w:rsidP="00C031CB">
      <w:pPr>
        <w:spacing w:after="0" w:line="20" w:lineRule="atLeast"/>
        <w:jc w:val="both"/>
        <w:rPr>
          <w:rFonts w:cstheme="minorHAnsi"/>
        </w:rPr>
      </w:pPr>
      <w:r w:rsidRPr="001E570E">
        <w:rPr>
          <w:rFonts w:cstheme="minorHAnsi"/>
        </w:rPr>
        <w:t xml:space="preserve">1. Possono beneficiare dei contributi provinciali: </w:t>
      </w:r>
    </w:p>
    <w:p w:rsidR="00C031CB" w:rsidRPr="001E570E" w:rsidRDefault="00C031CB" w:rsidP="00C031CB">
      <w:pPr>
        <w:spacing w:after="0" w:line="20" w:lineRule="atLeast"/>
        <w:jc w:val="both"/>
        <w:rPr>
          <w:rFonts w:cstheme="minorHAnsi"/>
        </w:rPr>
      </w:pPr>
      <w:r w:rsidRPr="001E570E">
        <w:rPr>
          <w:rFonts w:cstheme="minorHAnsi"/>
        </w:rPr>
        <w:t xml:space="preserve">a) i Comuni della provincia di Bolzano, in forma singola o associata, che gestiscono il servizio di microstruttura di cui all’articolo 15 della legge provinciale 17 maggio 2013, n. 8, e successive modifiche, e/o acquistano ore di assistenza nelle microstrutture aziendali di cui all’articolo 16 della medesima legge; </w:t>
      </w:r>
    </w:p>
    <w:p w:rsidR="00C031CB" w:rsidRPr="001E570E" w:rsidRDefault="00C031CB" w:rsidP="00C031CB">
      <w:pPr>
        <w:spacing w:after="0" w:line="20" w:lineRule="atLeast"/>
        <w:jc w:val="both"/>
        <w:rPr>
          <w:rFonts w:cstheme="minorHAnsi"/>
        </w:rPr>
      </w:pPr>
      <w:r w:rsidRPr="001E570E">
        <w:rPr>
          <w:rFonts w:cstheme="minorHAnsi"/>
        </w:rPr>
        <w:t xml:space="preserve">b) assistenza domiciliare all’infanzia di cui all’articolo 13 della legge provinciale 17 maggio 2013, n. 8, e successive modifiche, per conto dei Comuni. </w:t>
      </w:r>
    </w:p>
    <w:p w:rsidR="00C031CB" w:rsidRPr="001E570E" w:rsidRDefault="00C031CB" w:rsidP="00C031CB">
      <w:pPr>
        <w:spacing w:after="0" w:line="20" w:lineRule="atLeast"/>
        <w:jc w:val="both"/>
        <w:rPr>
          <w:rFonts w:cstheme="minorHAnsi"/>
        </w:rPr>
      </w:pPr>
      <w:r w:rsidRPr="001E570E">
        <w:rPr>
          <w:rFonts w:cstheme="minorHAnsi"/>
        </w:rPr>
        <w:t xml:space="preserve">2. Al fine di ottenere un contributo provinciale e un eventuale anticipo, devono essere rispettati i requisiti di base per l’avvio del servizio ai sensi dei vigenti standard qualitativi per l’attività pedagogica nei servizi di assistenza alla prima infanzia. </w:t>
      </w:r>
    </w:p>
    <w:p w:rsidR="00C031CB" w:rsidRPr="001E570E" w:rsidRDefault="00C031CB" w:rsidP="00C031CB">
      <w:pPr>
        <w:spacing w:after="0" w:line="20" w:lineRule="atLeast"/>
        <w:jc w:val="both"/>
        <w:rPr>
          <w:rFonts w:cstheme="minorHAnsi"/>
        </w:rPr>
      </w:pPr>
      <w:r w:rsidRPr="001E570E">
        <w:rPr>
          <w:rFonts w:cstheme="minorHAnsi"/>
        </w:rPr>
        <w:t xml:space="preserve">3. Il contributo provinciale di cui al comma 2 o l’eventuale saldo può essere liquidato solo a fronte dell’avvenuto accreditamento del servizio ai sensi dei vigenti standard qualitativi per l’attività pedagogica nei servizi di assistenza alla prima infanzia. </w:t>
      </w:r>
    </w:p>
    <w:p w:rsidR="00C031CB" w:rsidRPr="001E570E" w:rsidRDefault="00C031CB" w:rsidP="00C031CB">
      <w:pPr>
        <w:spacing w:after="0" w:line="20" w:lineRule="atLeast"/>
        <w:jc w:val="both"/>
        <w:rPr>
          <w:rFonts w:cstheme="minorHAnsi"/>
        </w:rPr>
      </w:pPr>
      <w:r w:rsidRPr="001E570E">
        <w:rPr>
          <w:rFonts w:cstheme="minorHAnsi"/>
        </w:rPr>
        <w:t xml:space="preserve">Art. 7 Finanziamento dei </w:t>
      </w:r>
    </w:p>
    <w:p w:rsidR="00C031CB" w:rsidRPr="001E570E" w:rsidRDefault="00C031CB" w:rsidP="00C031CB">
      <w:pPr>
        <w:spacing w:after="0" w:line="20" w:lineRule="atLeast"/>
        <w:jc w:val="both"/>
        <w:rPr>
          <w:rFonts w:cstheme="minorHAnsi"/>
        </w:rPr>
      </w:pPr>
      <w:r w:rsidRPr="001E570E">
        <w:rPr>
          <w:rFonts w:cstheme="minorHAnsi"/>
        </w:rPr>
        <w:t xml:space="preserve">1. I servizi di cui all’articolo 1, comma 1, vengono finanziati su base oraria da Provincia e Comuni con la compartecipazione tariffaria degli utenti. Il Comune competente per il finanziamento è quello di residenza del bambino/della bambina. Se il bambino/la bambina non ha la residenza in provincia di Bolzano, è competente il Comune di stabile dimora. </w:t>
      </w:r>
    </w:p>
    <w:p w:rsidR="00C031CB" w:rsidRPr="001E570E" w:rsidRDefault="00C031CB" w:rsidP="00C031CB">
      <w:pPr>
        <w:spacing w:after="0" w:line="20" w:lineRule="atLeast"/>
        <w:jc w:val="both"/>
        <w:rPr>
          <w:rFonts w:cstheme="minorHAnsi"/>
        </w:rPr>
      </w:pPr>
      <w:r w:rsidRPr="001E570E">
        <w:rPr>
          <w:rFonts w:cstheme="minorHAnsi"/>
        </w:rPr>
        <w:t xml:space="preserve">2. La differenza tra il costo orario convenzionale di cui all’articolo 8 e la tariffa oraria massima a carico dell’utente di cui all’articolo 9 viene coperta da Provincia e Comuni con quote fisse di pari entità. Se il costo orario effettivo è inferiore al costo orario convenzionale, la differenza viene calcolata sul costo orario effettivo. </w:t>
      </w:r>
    </w:p>
    <w:p w:rsidR="00C031CB" w:rsidRPr="001E570E" w:rsidRDefault="00C031CB" w:rsidP="00C031CB">
      <w:pPr>
        <w:spacing w:after="0" w:line="20" w:lineRule="atLeast"/>
        <w:jc w:val="both"/>
        <w:rPr>
          <w:rFonts w:cstheme="minorHAnsi"/>
        </w:rPr>
      </w:pPr>
      <w:r w:rsidRPr="001E570E">
        <w:rPr>
          <w:rFonts w:cstheme="minorHAnsi"/>
        </w:rPr>
        <w:t xml:space="preserve">3. Qualora la famiglia usufruisca di un’agevolazione tariffaria ai sensi del decreto del Presidente della Giunta provinciale 11 agosto 2000, n. 30, e successive modifiche, la Provincia integra il pagamento fino alla tariffa oraria massima. </w:t>
      </w:r>
    </w:p>
    <w:p w:rsidR="00C031CB" w:rsidRPr="001E570E" w:rsidRDefault="00C031CB" w:rsidP="00C031CB">
      <w:pPr>
        <w:spacing w:after="0" w:line="20" w:lineRule="atLeast"/>
        <w:jc w:val="both"/>
        <w:rPr>
          <w:rFonts w:cstheme="minorHAnsi"/>
        </w:rPr>
      </w:pPr>
      <w:r w:rsidRPr="001E570E">
        <w:rPr>
          <w:rFonts w:cstheme="minorHAnsi"/>
        </w:rPr>
        <w:t xml:space="preserve">4. I contratti e gli accordi tra Comuni ed enti gestori devono essere stipulati su base oraria e riportare il costo orario effettivo arrotondato al secondo decimale e il costo orario di aggiudicazione con e senza IVA. Art. 8   Costo orario dei servizi </w:t>
      </w:r>
    </w:p>
    <w:p w:rsidR="00C031CB" w:rsidRPr="001E570E" w:rsidRDefault="00C031CB" w:rsidP="00C031CB">
      <w:pPr>
        <w:spacing w:after="0" w:line="20" w:lineRule="atLeast"/>
        <w:jc w:val="both"/>
        <w:rPr>
          <w:rFonts w:cstheme="minorHAnsi"/>
        </w:rPr>
      </w:pPr>
      <w:r w:rsidRPr="001E570E">
        <w:rPr>
          <w:rFonts w:cstheme="minorHAnsi"/>
        </w:rPr>
        <w:t xml:space="preserve">1. I costi dei servizi sono espressi in costi orari: convenzionali e sono differenziati per tipologia di servizio. Il costo orario convenzionale ammesso a contributo provinciale, ammonta a: </w:t>
      </w:r>
    </w:p>
    <w:p w:rsidR="00C031CB" w:rsidRPr="001E570E" w:rsidRDefault="00C031CB" w:rsidP="00C031CB">
      <w:pPr>
        <w:spacing w:after="0" w:line="20" w:lineRule="atLeast"/>
        <w:jc w:val="both"/>
        <w:rPr>
          <w:rFonts w:cstheme="minorHAnsi"/>
        </w:rPr>
      </w:pPr>
      <w:r w:rsidRPr="001E570E">
        <w:rPr>
          <w:rFonts w:cstheme="minorHAnsi"/>
        </w:rPr>
        <w:t xml:space="preserve"> a) massimo euro 12,00, imposta sul valore aggiunto (IVA) esclusa, per le microstrutture con capacità superiore a 10 posti; </w:t>
      </w:r>
    </w:p>
    <w:p w:rsidR="00C031CB" w:rsidRPr="001E570E" w:rsidRDefault="00C031CB" w:rsidP="00C031CB">
      <w:pPr>
        <w:spacing w:after="0" w:line="20" w:lineRule="atLeast"/>
        <w:jc w:val="both"/>
        <w:rPr>
          <w:rFonts w:cstheme="minorHAnsi"/>
        </w:rPr>
      </w:pPr>
      <w:r w:rsidRPr="001E570E">
        <w:rPr>
          <w:rFonts w:cstheme="minorHAnsi"/>
        </w:rPr>
        <w:t xml:space="preserve">b) massimo euro 14,00, IVA esclusa, per le microstrutture fino a 10 posti e per le nuove microstrutture nell’anno di apertura e nel successivo anno solare; </w:t>
      </w:r>
    </w:p>
    <w:p w:rsidR="00C031CB" w:rsidRPr="001E570E" w:rsidRDefault="00C031CB" w:rsidP="00C031CB">
      <w:pPr>
        <w:spacing w:after="0" w:line="20" w:lineRule="atLeast"/>
        <w:jc w:val="both"/>
        <w:rPr>
          <w:rFonts w:cstheme="minorHAnsi"/>
        </w:rPr>
      </w:pPr>
      <w:r w:rsidRPr="001E570E">
        <w:rPr>
          <w:rFonts w:cstheme="minorHAnsi"/>
        </w:rPr>
        <w:t xml:space="preserve">c) massimo euro 10,20, eventuale IVA inclusa, per il servizio di assistenza domiciliare all’infanzia; </w:t>
      </w:r>
    </w:p>
    <w:p w:rsidR="00C031CB" w:rsidRPr="001E570E" w:rsidRDefault="00C031CB" w:rsidP="00C031CB">
      <w:pPr>
        <w:spacing w:after="0" w:line="20" w:lineRule="atLeast"/>
        <w:jc w:val="both"/>
        <w:rPr>
          <w:rFonts w:cstheme="minorHAnsi"/>
        </w:rPr>
      </w:pPr>
      <w:r w:rsidRPr="001E570E">
        <w:rPr>
          <w:rFonts w:cstheme="minorHAnsi"/>
        </w:rPr>
        <w:t xml:space="preserve">d) massimo euro 12,00, IVA esclusa, per le microstrutture aziendali; il prezzo applicato ai Comuni non può superare il prezzo più alto applicato alle aziende nella stessa microstruttura. </w:t>
      </w:r>
    </w:p>
    <w:p w:rsidR="00C031CB" w:rsidRPr="001E570E" w:rsidRDefault="00C031CB" w:rsidP="00C031CB">
      <w:pPr>
        <w:spacing w:after="0" w:line="20" w:lineRule="atLeast"/>
        <w:jc w:val="both"/>
        <w:rPr>
          <w:rFonts w:cstheme="minorHAnsi"/>
        </w:rPr>
      </w:pPr>
      <w:r w:rsidRPr="001E570E">
        <w:rPr>
          <w:rFonts w:cstheme="minorHAnsi"/>
        </w:rPr>
        <w:t xml:space="preserve">2. Il costo orario convenzionale include tutte le spese per la gestione del servizio. Le spese per investimenti, per manutenzione straordinaria e i costi amministrativi dei Comuni non concorrono a determinare il costo orario convenzionale. </w:t>
      </w:r>
    </w:p>
    <w:p w:rsidR="00C031CB" w:rsidRPr="001E570E" w:rsidRDefault="00C031CB" w:rsidP="00C031CB">
      <w:pPr>
        <w:spacing w:after="0" w:line="20" w:lineRule="atLeast"/>
        <w:jc w:val="both"/>
        <w:rPr>
          <w:rFonts w:cstheme="minorHAnsi"/>
        </w:rPr>
      </w:pPr>
      <w:r w:rsidRPr="001E570E">
        <w:rPr>
          <w:rFonts w:cstheme="minorHAnsi"/>
        </w:rPr>
        <w:t xml:space="preserve">3. Per le microstrutture il costo orario può contenere anche eventuali costi a carico del Comune. Tali costi possono essere imputati - in parte o per intero - agli enti gestori. Qualora il Comune non imputi tutti i suoi costi all’ente gestore, il contratto di gestione deve indicare il costo orario di aggiudicazione e anche il costo orario complessivo del servizio comprensivo dei costi rimasti a carico del Comune. Il costo orario complessivo non può in ogni caso superare di oltre un terzo il costo orario convenzionale. </w:t>
      </w:r>
    </w:p>
    <w:p w:rsidR="00C031CB" w:rsidRPr="001E570E" w:rsidRDefault="00C031CB" w:rsidP="00C031CB">
      <w:pPr>
        <w:spacing w:after="0" w:line="20" w:lineRule="atLeast"/>
        <w:jc w:val="both"/>
        <w:rPr>
          <w:rFonts w:cstheme="minorHAnsi"/>
        </w:rPr>
      </w:pPr>
      <w:r w:rsidRPr="001E570E">
        <w:rPr>
          <w:rFonts w:cstheme="minorHAnsi"/>
        </w:rPr>
        <w:t xml:space="preserve">4. I costi per la messa a disposizione di locali di proprietà comunale a un ente gestore possono concorrere a determinare il costo orario del servizio nella misura massima stabilita dall’Ufficio Estimo della Provincia per il canone di locazione convenzionale. </w:t>
      </w:r>
    </w:p>
    <w:p w:rsidR="00C031CB" w:rsidRPr="001E570E" w:rsidRDefault="00C031CB" w:rsidP="00C031CB">
      <w:pPr>
        <w:spacing w:after="0" w:line="20" w:lineRule="atLeast"/>
        <w:jc w:val="both"/>
        <w:rPr>
          <w:rFonts w:cstheme="minorHAnsi"/>
        </w:rPr>
      </w:pPr>
      <w:r w:rsidRPr="001E570E">
        <w:rPr>
          <w:rFonts w:cstheme="minorHAnsi"/>
        </w:rPr>
        <w:t xml:space="preserve">5. I costi per i pasti delle operatrici e degli operatori addetti all’assistenza dei bambini concorrono a determinare il costo orario convenzionale e pertanto non sono a carico del personale addetto all’assistenza. </w:t>
      </w:r>
    </w:p>
    <w:p w:rsidR="00C031CB" w:rsidRPr="001E570E" w:rsidRDefault="00C031CB" w:rsidP="00C031CB">
      <w:pPr>
        <w:spacing w:after="0" w:line="20" w:lineRule="atLeast"/>
        <w:jc w:val="both"/>
        <w:rPr>
          <w:rFonts w:cstheme="minorHAnsi"/>
        </w:rPr>
      </w:pPr>
      <w:r w:rsidRPr="001E570E">
        <w:rPr>
          <w:rFonts w:cstheme="minorHAnsi"/>
        </w:rPr>
        <w:t xml:space="preserve">6. Le microstrutture vengono accreditate per la loro capacità ricettiva massima. Il servizio viene affidato per la gestione della capacità ricettiva massima. Il costo orario convenzionale maggiorato per le microstrutture fino a 10 posti trova applicazione solamente nel caso in cui la capacità ricettiva massima sia di 10 posti. 7. </w:t>
      </w:r>
    </w:p>
    <w:p w:rsidR="00C031CB" w:rsidRPr="001E570E" w:rsidRDefault="00C031CB" w:rsidP="00C031CB">
      <w:pPr>
        <w:spacing w:after="0" w:line="20" w:lineRule="atLeast"/>
        <w:jc w:val="both"/>
        <w:rPr>
          <w:rFonts w:cstheme="minorHAnsi"/>
        </w:rPr>
      </w:pPr>
      <w:r w:rsidRPr="001E570E">
        <w:rPr>
          <w:rFonts w:cstheme="minorHAnsi"/>
        </w:rPr>
        <w:lastRenderedPageBreak/>
        <w:t xml:space="preserve">7. Il finanziamento dei costi aggiuntivi per il personale addetto all’assistenza di bambini con disabilità è disciplinato con appositi criteri. </w:t>
      </w:r>
    </w:p>
    <w:p w:rsidR="00C031CB" w:rsidRPr="001E570E" w:rsidRDefault="00C031CB" w:rsidP="00C031CB">
      <w:pPr>
        <w:spacing w:after="0" w:line="20" w:lineRule="atLeast"/>
        <w:jc w:val="both"/>
        <w:rPr>
          <w:rFonts w:cstheme="minorHAnsi"/>
        </w:rPr>
      </w:pPr>
      <w:r w:rsidRPr="001E570E">
        <w:rPr>
          <w:rFonts w:cstheme="minorHAnsi"/>
        </w:rPr>
        <w:t xml:space="preserve"> Art. 9 Tariffa a carico degli </w:t>
      </w:r>
    </w:p>
    <w:p w:rsidR="00C031CB" w:rsidRPr="001E570E" w:rsidRDefault="00C031CB" w:rsidP="00C031CB">
      <w:pPr>
        <w:spacing w:after="0" w:line="20" w:lineRule="atLeast"/>
        <w:jc w:val="both"/>
        <w:rPr>
          <w:rFonts w:cstheme="minorHAnsi"/>
        </w:rPr>
      </w:pPr>
      <w:r w:rsidRPr="001E570E">
        <w:rPr>
          <w:rFonts w:cstheme="minorHAnsi"/>
        </w:rPr>
        <w:t>1. La compartecipazione tariffaria degli utenti dei servizi viene calcolata ai sensi del decreto del Presidente della Giunta provinciale 11 agosto 2000, n. 30, e successive modifiche. La tariffa oraria a carico degli utenti è onnicomprensiva e include pasti, pannolini e prodotti igienici. Ai costi derivanti da esigenze o richieste particolari avanzate dai genitori devono provvedere le famiglie stesse</w:t>
      </w:r>
    </w:p>
    <w:p w:rsidR="00C031CB" w:rsidRPr="001E570E" w:rsidRDefault="00C031CB" w:rsidP="00C031CB">
      <w:pPr>
        <w:spacing w:after="0" w:line="20" w:lineRule="atLeast"/>
        <w:jc w:val="both"/>
        <w:rPr>
          <w:rFonts w:cstheme="minorHAnsi"/>
        </w:rPr>
      </w:pPr>
      <w:r w:rsidRPr="001E570E">
        <w:rPr>
          <w:rFonts w:cstheme="minorHAnsi"/>
        </w:rPr>
        <w:t xml:space="preserve">2. La compartecipazione tariffaria degli utenti, di cui al comma 1, prevede una tariffa oraria minima di euro 0,90 e una tariffa oraria massima di euro 3,65, IVA inclusa. </w:t>
      </w:r>
    </w:p>
    <w:p w:rsidR="00C031CB" w:rsidRPr="001E570E" w:rsidRDefault="00C031CB" w:rsidP="00C031CB">
      <w:pPr>
        <w:spacing w:after="0" w:line="20" w:lineRule="atLeast"/>
        <w:jc w:val="both"/>
        <w:rPr>
          <w:rFonts w:cstheme="minorHAnsi"/>
        </w:rPr>
      </w:pPr>
      <w:r w:rsidRPr="001E570E">
        <w:rPr>
          <w:rFonts w:cstheme="minorHAnsi"/>
        </w:rPr>
        <w:t xml:space="preserve">3. Le tariffe orarie minime e massime possono essere aggiornate dalla Giunta provinciale d’intesa con il Consiglio dei Comuni. </w:t>
      </w:r>
    </w:p>
    <w:p w:rsidR="00C031CB" w:rsidRPr="001E570E" w:rsidRDefault="00C031CB" w:rsidP="00C031CB">
      <w:pPr>
        <w:spacing w:after="0" w:line="20" w:lineRule="atLeast"/>
        <w:jc w:val="both"/>
        <w:rPr>
          <w:rFonts w:cstheme="minorHAnsi"/>
        </w:rPr>
      </w:pPr>
      <w:r w:rsidRPr="001E570E">
        <w:rPr>
          <w:rFonts w:cstheme="minorHAnsi"/>
        </w:rPr>
        <w:t>4. Il sistema tariffario di cui al comma 2 trova applicazione per una frequenza massima di 1.920 ore annue a bambino/bambina oppure per un numero di ore proporzionalmente ridotto a fronte di una minore durata del contratto di assistenza. Se le ore di assistenza superano invece il limite massimo stabilito dal sistema tariffario, il costo delle ore eccedenti è totalmente a carico degli utenti</w:t>
      </w:r>
    </w:p>
    <w:p w:rsidR="00C031CB" w:rsidRPr="001E570E" w:rsidRDefault="00C031CB" w:rsidP="00C031CB">
      <w:pPr>
        <w:spacing w:after="0" w:line="20" w:lineRule="atLeast"/>
        <w:jc w:val="both"/>
        <w:rPr>
          <w:rFonts w:cstheme="minorHAnsi"/>
        </w:rPr>
      </w:pPr>
      <w:r w:rsidRPr="001E570E">
        <w:rPr>
          <w:rFonts w:cstheme="minorHAnsi"/>
        </w:rPr>
        <w:t xml:space="preserve"> 5. Agli utenti vengono fatturate, in base al sistema tariffario, le ore previste dal contratto di assistenza, tenuto conto del limite massimo di cui al comma 4 e delle eventuali assenze per ferie o malattia di cui ai commi 6 e 7. </w:t>
      </w:r>
    </w:p>
    <w:p w:rsidR="00C031CB" w:rsidRPr="001E570E" w:rsidRDefault="00C031CB" w:rsidP="00C031CB">
      <w:pPr>
        <w:spacing w:after="0" w:line="20" w:lineRule="atLeast"/>
        <w:jc w:val="both"/>
        <w:rPr>
          <w:rFonts w:cstheme="minorHAnsi"/>
        </w:rPr>
      </w:pPr>
      <w:r w:rsidRPr="001E570E">
        <w:rPr>
          <w:rFonts w:cstheme="minorHAnsi"/>
        </w:rPr>
        <w:t xml:space="preserve">6. Se il bambino/la bambina frequenta il servizio per tutto l’anno, non viene fatturato un periodo di assenza per ferie di quattro settimane; in caso di frequenza inferiore all’anno, non viene fatturato un periodo ridotto in proporzione. Il periodo di ferie si aggiunge ai giorni di chiusura della struttura per altri motivi o di ferie del/della assistente domiciliare all’infanzia. È facoltà delle parti contrattuali aumentare il periodo di assenza per ferie, concordando contestualmente il contributo ai costi a carico degli utenti durante il prolungamento del periodo delle ferie. </w:t>
      </w:r>
      <w:proofErr w:type="gramStart"/>
      <w:r w:rsidRPr="001E570E">
        <w:rPr>
          <w:rFonts w:cstheme="minorHAnsi"/>
        </w:rPr>
        <w:t>il</w:t>
      </w:r>
      <w:proofErr w:type="gramEnd"/>
      <w:r w:rsidRPr="001E570E">
        <w:rPr>
          <w:rFonts w:cstheme="minorHAnsi"/>
        </w:rPr>
        <w:t xml:space="preserve"> contributo ai costi a carico degli utenti in caso di sforamento del periodo di ferie. Il contributo ai costi a carico degli utenti non può in nessun caso superare il costo orario pattuito contrattualmente per la microstruttura. </w:t>
      </w:r>
      <w:proofErr w:type="gramStart"/>
      <w:r w:rsidRPr="001E570E">
        <w:rPr>
          <w:rFonts w:cstheme="minorHAnsi"/>
        </w:rPr>
        <w:t>il</w:t>
      </w:r>
      <w:proofErr w:type="gramEnd"/>
      <w:r w:rsidRPr="001E570E">
        <w:rPr>
          <w:rFonts w:cstheme="minorHAnsi"/>
        </w:rPr>
        <w:t xml:space="preserve"> costo orario convenzionale per il servizio di assistenza domiciliare all’infanzia. Tutti i periodi di assenza per ferie non vengono cofinanziati dagli enti pubblici. </w:t>
      </w:r>
    </w:p>
    <w:p w:rsidR="00C031CB" w:rsidRPr="001E570E" w:rsidRDefault="00C031CB" w:rsidP="00C031CB">
      <w:pPr>
        <w:spacing w:after="0" w:line="20" w:lineRule="atLeast"/>
        <w:jc w:val="both"/>
        <w:rPr>
          <w:rFonts w:cstheme="minorHAnsi"/>
        </w:rPr>
      </w:pPr>
      <w:r w:rsidRPr="001E570E">
        <w:rPr>
          <w:rFonts w:cstheme="minorHAnsi"/>
        </w:rPr>
        <w:t xml:space="preserve">7. In caso di malattia del bambino/della bambina i giorni di assenza vengono fatturati agli utenti in base alla tariffa dovuta, a condizione che entro il primo giorno di assenza la famiglia informi l’ente gestore della malattia e della sua durata presunta, e che al momento del reingresso presenti il certificato medico, privo della diagnosi, che attesti la durata della malattia. In mancanza del certificato medico sarà addebitato alla famiglia l’intero costo orario del servizio per i giorni di assenza ingiustificata a partire dal quarto giorno. Vengono considerati in tal caso i giorni di frequenza previsti dal contratto, esclusi i fine settimana, le festività ed eventuali altri giorni in cui il servizio non viene erogato. Per assenze per malattia di durata superiore a quattro settimane, la famiglia ha la facoltà di rescindere dal contratto con diritto di precedenza per la riammissione in struttura dopo la guarigione del bambino/della bambina. </w:t>
      </w:r>
    </w:p>
    <w:p w:rsidR="00C031CB" w:rsidRPr="001E570E" w:rsidRDefault="00C031CB" w:rsidP="00C031CB">
      <w:pPr>
        <w:spacing w:after="0" w:line="20" w:lineRule="atLeast"/>
        <w:jc w:val="both"/>
        <w:rPr>
          <w:rFonts w:cstheme="minorHAnsi"/>
        </w:rPr>
      </w:pPr>
      <w:r w:rsidRPr="001E570E">
        <w:rPr>
          <w:rFonts w:cstheme="minorHAnsi"/>
        </w:rPr>
        <w:t xml:space="preserve">8. Se la famiglia rifiuta, senza fornire adeguate motivazioni, un posto-bambino rispondente alle proprie esigenze nel comune in cui il bambino/la bambina risiede o ha stabile dimora, e ricorre al servizio di assistenza di un altro Comune, la tariffa oraria a suo carico può essere aumentata di 1,00 euro, IVA inclusa. In questo caso si riduce di pari misura la quota di competenza del Comune in cui il bambino/la bambina risiede o ha stabile dimora. </w:t>
      </w:r>
    </w:p>
    <w:p w:rsidR="00C031CB" w:rsidRPr="001E570E" w:rsidRDefault="00C031CB" w:rsidP="00C031CB">
      <w:pPr>
        <w:spacing w:after="0" w:line="20" w:lineRule="atLeast"/>
        <w:jc w:val="both"/>
        <w:rPr>
          <w:rFonts w:cstheme="minorHAnsi"/>
        </w:rPr>
      </w:pPr>
      <w:r w:rsidRPr="001E570E">
        <w:rPr>
          <w:rFonts w:cstheme="minorHAnsi"/>
        </w:rPr>
        <w:t xml:space="preserve">9. È facoltà dell’ente gestore esonerare la famiglia dal pagamento della tariffa dovuta per andare incontro ad esigenze particolari della famiglia stessa (ad esempio malattia di familiari residenti fuori provincia, impossibilità di rispettare i termini di preavviso in caso di disdetta). Queste ore non vengono cofinanziate dall’ente pubblico. </w:t>
      </w:r>
    </w:p>
    <w:p w:rsidR="00C031CB" w:rsidRPr="001E570E" w:rsidRDefault="00C031CB" w:rsidP="00C031CB">
      <w:pPr>
        <w:spacing w:after="0" w:line="20" w:lineRule="atLeast"/>
        <w:jc w:val="both"/>
        <w:rPr>
          <w:rFonts w:cstheme="minorHAnsi"/>
        </w:rPr>
      </w:pPr>
      <w:r w:rsidRPr="001E570E">
        <w:rPr>
          <w:rFonts w:cstheme="minorHAnsi"/>
        </w:rPr>
        <w:t xml:space="preserve">Art. </w:t>
      </w:r>
      <w:proofErr w:type="gramStart"/>
      <w:r w:rsidRPr="001E570E">
        <w:rPr>
          <w:rFonts w:cstheme="minorHAnsi"/>
        </w:rPr>
        <w:t>10  Ammontare</w:t>
      </w:r>
      <w:proofErr w:type="gramEnd"/>
      <w:r w:rsidRPr="001E570E">
        <w:rPr>
          <w:rFonts w:cstheme="minorHAnsi"/>
        </w:rPr>
        <w:t xml:space="preserve"> del contributo provinciale </w:t>
      </w:r>
    </w:p>
    <w:p w:rsidR="00C031CB" w:rsidRPr="001E570E" w:rsidRDefault="00C031CB" w:rsidP="00C031CB">
      <w:pPr>
        <w:spacing w:after="0" w:line="20" w:lineRule="atLeast"/>
        <w:jc w:val="both"/>
        <w:rPr>
          <w:rFonts w:cstheme="minorHAnsi"/>
        </w:rPr>
      </w:pPr>
      <w:r w:rsidRPr="001E570E">
        <w:rPr>
          <w:rFonts w:cstheme="minorHAnsi"/>
        </w:rPr>
        <w:t xml:space="preserve">1. Il contributo erogato dalla Provincia ai Comuni e agli enti gestori dei servizi di assistenza domiciliare all’infanzia viene concesso su base oraria per le ore di assistenza fatturate agli utenti in base al sistema tariffario di cui all’articolo 9, comma 5. Il contributo provinciale non spetta invece per le ore da non fatturare agli utenti e per quelle totalmente a carico della famiglia. </w:t>
      </w:r>
    </w:p>
    <w:p w:rsidR="00C031CB" w:rsidRPr="001E570E" w:rsidRDefault="00C031CB" w:rsidP="00C031CB">
      <w:pPr>
        <w:spacing w:after="0" w:line="20" w:lineRule="atLeast"/>
        <w:jc w:val="both"/>
        <w:rPr>
          <w:rFonts w:cstheme="minorHAnsi"/>
        </w:rPr>
      </w:pPr>
      <w:r w:rsidRPr="001E570E">
        <w:rPr>
          <w:rFonts w:cstheme="minorHAnsi"/>
        </w:rPr>
        <w:t xml:space="preserve">2. Agli utenti con un contratto di assistenza inferiore alle 12 ore settimanali sono fatturate minimo di 12 ore settimanali alla tariffa dovuta in base al sistema tariffario, fatti salvi i giorni di assenza per ferie concordati. Vengono fatturate invece solo le ore di assistenza effettivamente usufruite se il bambino/la bambina non </w:t>
      </w:r>
      <w:r w:rsidRPr="001E570E">
        <w:rPr>
          <w:rFonts w:cstheme="minorHAnsi"/>
        </w:rPr>
        <w:lastRenderedPageBreak/>
        <w:t xml:space="preserve">frequenta, per cause non dipendenti dalla famiglia, le 12 ore minime settimanali (ad esempio per festività, chiusura della microstruttura, malattia o ferie dell’assistente domiciliare all’infanzia, inizio o fine servizio non coincidenti con il primo o l’ultimo giorno della settimana). Per i minori da assistere con disabilità certificata vengono fatturate solo le ore di assistenza effettivamente usufruite. </w:t>
      </w:r>
    </w:p>
    <w:p w:rsidR="00C031CB" w:rsidRPr="001E570E" w:rsidRDefault="00C031CB" w:rsidP="00C031CB">
      <w:pPr>
        <w:spacing w:after="0" w:line="20" w:lineRule="atLeast"/>
        <w:jc w:val="both"/>
        <w:rPr>
          <w:rFonts w:cstheme="minorHAnsi"/>
        </w:rPr>
      </w:pPr>
      <w:r w:rsidRPr="001E570E">
        <w:rPr>
          <w:rFonts w:cstheme="minorHAnsi"/>
        </w:rPr>
        <w:t xml:space="preserve">3. L’ammontare del contributo provinciale erogato ai Comuni per le microstrutture viene calcolato moltiplicando la quota oraria fissa a carico della Provincia per il numero di ore di servizio ammesse a finanziamento per l’anno di riferimento, con l’aggiunta della quota di compartecipazione tariffaria a carico della Provincia stimata sulla base delle domande di contributo. </w:t>
      </w:r>
    </w:p>
    <w:p w:rsidR="00C031CB" w:rsidRPr="001E570E" w:rsidRDefault="00C031CB" w:rsidP="00C031CB">
      <w:pPr>
        <w:spacing w:after="0" w:line="20" w:lineRule="atLeast"/>
        <w:jc w:val="both"/>
        <w:rPr>
          <w:rFonts w:cstheme="minorHAnsi"/>
        </w:rPr>
      </w:pPr>
      <w:r w:rsidRPr="001E570E">
        <w:rPr>
          <w:rFonts w:cstheme="minorHAnsi"/>
        </w:rPr>
        <w:t xml:space="preserve">4. L’ammontare del contributo provinciale agli enti gestori del servizio di assistenza domiciliare all’infanzia viene calcolato moltiplicando la quota oraria fissa a carico della Provincia e dei Comuni per il numero di ore di servizio ammesse a finanziamento per l’anno di riferimento, con l’aggiunta della quota di compartecipazione tariffaria a carico della Provincia stimata sulla base delle domande di contributo. La Provincia anticipa agli enti gestori la quota fissa a carico dei Comuni, che verrà recuperata dai trasferimenti correnti a titolo di finanza locale nel primo esercizio finanziario utile in seguito alle rendicontazioni degli enti gestori. </w:t>
      </w:r>
    </w:p>
    <w:p w:rsidR="00C031CB" w:rsidRPr="001E570E" w:rsidRDefault="00C031CB" w:rsidP="00C031CB">
      <w:pPr>
        <w:spacing w:after="0" w:line="20" w:lineRule="atLeast"/>
        <w:jc w:val="both"/>
        <w:rPr>
          <w:rFonts w:cstheme="minorHAnsi"/>
        </w:rPr>
      </w:pPr>
      <w:r w:rsidRPr="001E570E">
        <w:rPr>
          <w:rFonts w:cstheme="minorHAnsi"/>
        </w:rPr>
        <w:t xml:space="preserve">Art. 11 Termine di presentazione delle domande di contributo e di anticipo </w:t>
      </w:r>
    </w:p>
    <w:p w:rsidR="00C031CB" w:rsidRPr="001E570E" w:rsidRDefault="00C031CB" w:rsidP="00C031CB">
      <w:pPr>
        <w:spacing w:after="0" w:line="20" w:lineRule="atLeast"/>
        <w:jc w:val="both"/>
        <w:rPr>
          <w:rFonts w:cstheme="minorHAnsi"/>
        </w:rPr>
      </w:pPr>
      <w:r w:rsidRPr="001E570E">
        <w:rPr>
          <w:rFonts w:cstheme="minorHAnsi"/>
        </w:rPr>
        <w:t xml:space="preserve">1. Le domande di contributo e le domande per la concessione di un anticipo devono essere presentate all’Agenzia per la famiglia, utilizzando gli appositi moduli, entro il 15 dicembre dell’anno precedente a quello cui si riferisce il contributo e devono riferirsi all’anno solare. Per le domande relative all’anticipo il termine è da considerarsi perentorio. </w:t>
      </w:r>
    </w:p>
    <w:p w:rsidR="00C031CB" w:rsidRPr="001E570E" w:rsidRDefault="00C031CB" w:rsidP="00C031CB">
      <w:pPr>
        <w:spacing w:after="0" w:line="20" w:lineRule="atLeast"/>
        <w:jc w:val="both"/>
        <w:rPr>
          <w:rFonts w:cstheme="minorHAnsi"/>
        </w:rPr>
      </w:pPr>
      <w:r w:rsidRPr="001E570E">
        <w:rPr>
          <w:rFonts w:cstheme="minorHAnsi"/>
        </w:rPr>
        <w:t xml:space="preserve">2. La domanda di contributo deve contenere le ore di servizio previste, il relativo costo orario e le entrate stimate, derivanti dalla compartecipazione tariffaria a carico degli utenti dei servizi, e deve tenere conto della programmazione dei servizi di cui all’articolo 18, comma 1, della legge provinciale 17 maggio 2013, n. 8. </w:t>
      </w:r>
    </w:p>
    <w:p w:rsidR="00C031CB" w:rsidRPr="001E570E" w:rsidRDefault="00C031CB" w:rsidP="00C031CB">
      <w:pPr>
        <w:spacing w:after="0" w:line="20" w:lineRule="atLeast"/>
        <w:jc w:val="both"/>
        <w:rPr>
          <w:rFonts w:cstheme="minorHAnsi"/>
        </w:rPr>
      </w:pPr>
      <w:r w:rsidRPr="001E570E">
        <w:rPr>
          <w:rFonts w:cstheme="minorHAnsi"/>
        </w:rPr>
        <w:t xml:space="preserve">3. La domanda di contributo per il servizio di microstruttura viene presentata all’Agenzia per la famiglia unicamente dal Comune gestore della microstruttura, indipendentemente dai comuni di provenienza dei bambini assistiti. Il Comune gestore provvederà in seguito a regolare i rapporti economici con gli altri Comuni di provenienza dei bambini frequentanti il servizio di microstruttura, chiedendo il rimborso della compartecipazione concordata a loro carico. Nella domanda di contributo i Comuni gestori di microstrutture devono indicare anche le ore di servizio eventualmente acquistate in microstrutture aziendali. I Comuni che, non disponendo di una propria microstruttura, acquistano ore di assistenza in una microstruttura aziendale, presentano un’apposita domanda di contributo. </w:t>
      </w:r>
    </w:p>
    <w:p w:rsidR="00C031CB" w:rsidRPr="001E570E" w:rsidRDefault="00C031CB" w:rsidP="00C031CB">
      <w:pPr>
        <w:spacing w:after="0" w:line="20" w:lineRule="atLeast"/>
        <w:jc w:val="both"/>
        <w:rPr>
          <w:rFonts w:cstheme="minorHAnsi"/>
        </w:rPr>
      </w:pPr>
      <w:r w:rsidRPr="001E570E">
        <w:rPr>
          <w:rFonts w:cstheme="minorHAnsi"/>
        </w:rPr>
        <w:t>4. In presenza di residua disponibilità finanziaria, potranno essere accettate nuove domande o domande di contributo integrativo per ore aggiuntive di assistenza. Le nuove domande vanno presentate entro il termine perentorio del 30 settembre dell’anno di riferimento e verranno trattate in ordine cronologico di entrata. La domanda di contributo integrativo per ore aggiuntive deve essere presentata entro il 30 settembre dell’anno di riferimento e deve essere corredata da un report delle ore erogate e delle entrate fino alla fine del mese precedente a quello di presentazione. Eventuali domande correttive di contributo vengono accettate soltanto fino all’emanazione del decreto di concessione</w:t>
      </w:r>
    </w:p>
    <w:p w:rsidR="00C031CB" w:rsidRPr="001E570E" w:rsidRDefault="00C031CB" w:rsidP="00C031CB">
      <w:pPr>
        <w:spacing w:after="0" w:line="20" w:lineRule="atLeast"/>
        <w:jc w:val="both"/>
        <w:rPr>
          <w:rFonts w:cstheme="minorHAnsi"/>
        </w:rPr>
      </w:pPr>
      <w:r w:rsidRPr="001E570E">
        <w:rPr>
          <w:rFonts w:cstheme="minorHAnsi"/>
        </w:rPr>
        <w:t xml:space="preserve"> 5. In caso di domande irregolari o incomplete, il/la responsabile del procedimento assegna agli interessati, a pena di decadenza, un termine congruo dal ricevimento della richiesta per regolarizzare o integrare la domanda. </w:t>
      </w:r>
    </w:p>
    <w:p w:rsidR="00C031CB" w:rsidRPr="001E570E" w:rsidRDefault="00C031CB" w:rsidP="00C031CB">
      <w:pPr>
        <w:spacing w:after="0" w:line="20" w:lineRule="atLeast"/>
        <w:jc w:val="both"/>
        <w:rPr>
          <w:rFonts w:cstheme="minorHAnsi"/>
        </w:rPr>
      </w:pPr>
    </w:p>
    <w:p w:rsidR="00C031CB" w:rsidRPr="001E570E" w:rsidRDefault="00C031CB" w:rsidP="00C031CB">
      <w:pPr>
        <w:spacing w:after="0" w:line="20" w:lineRule="atLeast"/>
        <w:jc w:val="both"/>
        <w:rPr>
          <w:rFonts w:cstheme="minorHAnsi"/>
        </w:rPr>
      </w:pPr>
      <w:r w:rsidRPr="001E570E">
        <w:rPr>
          <w:rFonts w:cstheme="minorHAnsi"/>
        </w:rPr>
        <w:t xml:space="preserve">6. I termini per la conclusione del procedimento amministrativo decorrono dal termine di presentazione delle domande indicato al comma 1 o al comma 4. Per le domande di contributo di cui al comma 1 presentate dopo il 15 dicembre, il termine per la conclusione del procedimento amministrativo decorre dalla data di presentazione della domanda. Tali termini sono sospesi per l’acquisizione di informazioni o documenti mancanti. </w:t>
      </w:r>
    </w:p>
    <w:p w:rsidR="00C031CB" w:rsidRPr="001E570E" w:rsidRDefault="00C031CB" w:rsidP="00C031CB">
      <w:pPr>
        <w:spacing w:after="0" w:line="20" w:lineRule="atLeast"/>
        <w:jc w:val="both"/>
        <w:rPr>
          <w:rFonts w:cstheme="minorHAnsi"/>
        </w:rPr>
      </w:pPr>
      <w:r w:rsidRPr="001E570E">
        <w:rPr>
          <w:rFonts w:cstheme="minorHAnsi"/>
        </w:rPr>
        <w:t xml:space="preserve"> Art. </w:t>
      </w:r>
      <w:proofErr w:type="gramStart"/>
      <w:r w:rsidRPr="001E570E">
        <w:rPr>
          <w:rFonts w:cstheme="minorHAnsi"/>
        </w:rPr>
        <w:t>12  Anticipi</w:t>
      </w:r>
      <w:proofErr w:type="gramEnd"/>
      <w:r w:rsidRPr="001E570E">
        <w:rPr>
          <w:rFonts w:cstheme="minorHAnsi"/>
        </w:rPr>
        <w:t xml:space="preserve"> </w:t>
      </w:r>
    </w:p>
    <w:p w:rsidR="00C031CB" w:rsidRPr="001E570E" w:rsidRDefault="00C031CB" w:rsidP="00C031CB">
      <w:pPr>
        <w:spacing w:after="0" w:line="20" w:lineRule="atLeast"/>
        <w:jc w:val="both"/>
        <w:rPr>
          <w:rFonts w:cstheme="minorHAnsi"/>
        </w:rPr>
      </w:pPr>
      <w:r w:rsidRPr="001E570E">
        <w:rPr>
          <w:rFonts w:cstheme="minorHAnsi"/>
        </w:rPr>
        <w:t xml:space="preserve">1. Su richiesta dell’ente gestore può essere concesso un anticipo del 70 per cento del contributo concesso nell’anno precedente. Qualora il contributo richiesto per l’anno di riferimento sia inferiore al contributo concesso nell’anno precedente, l’anticipo del 70 per cento viene calcolato sul contributo richiesto. </w:t>
      </w:r>
    </w:p>
    <w:p w:rsidR="00C031CB" w:rsidRPr="001E570E" w:rsidRDefault="00C031CB" w:rsidP="00C031CB">
      <w:pPr>
        <w:spacing w:after="0" w:line="20" w:lineRule="atLeast"/>
        <w:jc w:val="both"/>
        <w:rPr>
          <w:rFonts w:cstheme="minorHAnsi"/>
        </w:rPr>
      </w:pPr>
      <w:r w:rsidRPr="001E570E">
        <w:rPr>
          <w:rFonts w:cstheme="minorHAnsi"/>
        </w:rPr>
        <w:lastRenderedPageBreak/>
        <w:t xml:space="preserve">2. In caso di enti richiedenti che presentino domanda di contributo per la prima volta o che non abbiano presentato la domanda di anticipo di cui al comma 1, contestualmente al contributo può essere concesso, su richiesta, un anticipo del 50 per cento del contributo concesso per l’anno di riferimento. </w:t>
      </w:r>
    </w:p>
    <w:p w:rsidR="00C031CB" w:rsidRPr="001E570E" w:rsidRDefault="00C031CB" w:rsidP="00C031CB">
      <w:pPr>
        <w:spacing w:after="0" w:line="20" w:lineRule="atLeast"/>
        <w:jc w:val="both"/>
        <w:rPr>
          <w:rFonts w:cstheme="minorHAnsi"/>
        </w:rPr>
      </w:pPr>
      <w:r w:rsidRPr="001E570E">
        <w:rPr>
          <w:rFonts w:cstheme="minorHAnsi"/>
        </w:rPr>
        <w:t xml:space="preserve">Art. 13 Rendicontazione e liquidazione </w:t>
      </w:r>
    </w:p>
    <w:p w:rsidR="00C031CB" w:rsidRPr="001E570E" w:rsidRDefault="00C031CB" w:rsidP="00C031CB">
      <w:pPr>
        <w:spacing w:after="0" w:line="20" w:lineRule="atLeast"/>
        <w:jc w:val="both"/>
        <w:rPr>
          <w:rFonts w:cstheme="minorHAnsi"/>
        </w:rPr>
      </w:pPr>
      <w:r w:rsidRPr="001E570E">
        <w:rPr>
          <w:rFonts w:cstheme="minorHAnsi"/>
        </w:rPr>
        <w:t xml:space="preserve">1. La rendicontazione e la domanda di liquidazione devono essere presentate entro il 31 dicembre dell’anno successivo a quello di concessione, o di imputazione della spesa se diverso, pena la revoca del beneficio. </w:t>
      </w:r>
    </w:p>
    <w:p w:rsidR="00C031CB" w:rsidRPr="001E570E" w:rsidRDefault="00C031CB" w:rsidP="00C031CB">
      <w:pPr>
        <w:spacing w:after="0" w:line="20" w:lineRule="atLeast"/>
        <w:jc w:val="both"/>
        <w:rPr>
          <w:rFonts w:cstheme="minorHAnsi"/>
        </w:rPr>
      </w:pPr>
      <w:r w:rsidRPr="001E570E">
        <w:rPr>
          <w:rFonts w:cstheme="minorHAnsi"/>
        </w:rPr>
        <w:t>2. Per gravi e motivate ragioni può essere concessa una proroga fino a un ulteriore anno; trascorso inutilmente tale termine, il contributo è automaticamente revocato. Se il beneficiario ha percepito un anticipo, deve restituirlo maggiorato degli interessi legali</w:t>
      </w:r>
    </w:p>
    <w:p w:rsidR="00C031CB" w:rsidRPr="001E570E" w:rsidRDefault="00C031CB" w:rsidP="00C031CB">
      <w:pPr>
        <w:spacing w:after="0" w:line="20" w:lineRule="atLeast"/>
        <w:jc w:val="both"/>
        <w:rPr>
          <w:rFonts w:cstheme="minorHAnsi"/>
        </w:rPr>
      </w:pPr>
      <w:r w:rsidRPr="001E570E">
        <w:rPr>
          <w:rFonts w:cstheme="minorHAnsi"/>
        </w:rPr>
        <w:t xml:space="preserve">3. Il rendiconto, consistente in una dichiarazione sostitutiva ai sensi dell’articolo 2, comma 2/ter, della legge provinciale 22 ottobre 1993, n. 17, e successive modifiche, da redigersi sull’apposito modulo predisposto dall’Agenzia per la famiglia, deve riportare: </w:t>
      </w:r>
    </w:p>
    <w:p w:rsidR="00C031CB" w:rsidRPr="001E570E" w:rsidRDefault="00C031CB" w:rsidP="00C031CB">
      <w:pPr>
        <w:spacing w:after="0" w:line="20" w:lineRule="atLeast"/>
        <w:jc w:val="both"/>
        <w:rPr>
          <w:rFonts w:cstheme="minorHAnsi"/>
        </w:rPr>
      </w:pPr>
      <w:r w:rsidRPr="001E570E">
        <w:rPr>
          <w:rFonts w:cstheme="minorHAnsi"/>
        </w:rPr>
        <w:t xml:space="preserve">a) le ore di servizio fatturate agli utenti in base al sistema tariffario nell’anno di riferimento; </w:t>
      </w:r>
    </w:p>
    <w:p w:rsidR="00C031CB" w:rsidRPr="001E570E" w:rsidRDefault="00C031CB" w:rsidP="00C031CB">
      <w:pPr>
        <w:spacing w:after="0" w:line="20" w:lineRule="atLeast"/>
        <w:jc w:val="both"/>
        <w:rPr>
          <w:rFonts w:cstheme="minorHAnsi"/>
        </w:rPr>
      </w:pPr>
      <w:r w:rsidRPr="001E570E">
        <w:rPr>
          <w:rFonts w:cstheme="minorHAnsi"/>
        </w:rPr>
        <w:t xml:space="preserve"> b) le entrate suddivise tra la quota dovuta in base al decreto del Presidente della Giunta provinciale 11 agosto 2000, n. 30, e successive modifiche, e l’eventuale quota ulteriore a carico delle famiglie che hanno usufruito del servizio al di fuori del proprio territorio comunale ai sensi dell’articolo 9, comma 8, dei presenti criteri.</w:t>
      </w:r>
    </w:p>
    <w:p w:rsidR="00C031CB" w:rsidRPr="001E570E" w:rsidRDefault="00C031CB" w:rsidP="00C031CB">
      <w:pPr>
        <w:spacing w:after="0" w:line="20" w:lineRule="atLeast"/>
        <w:jc w:val="both"/>
        <w:rPr>
          <w:rFonts w:cstheme="minorHAnsi"/>
        </w:rPr>
      </w:pPr>
      <w:r w:rsidRPr="001E570E">
        <w:rPr>
          <w:rFonts w:cstheme="minorHAnsi"/>
        </w:rPr>
        <w:t xml:space="preserve"> 4. Per le microstrutture il Comune deve rendicontare alla Provincia le ore di assistenza fatturate agli utenti in base al sistema tariffario, distinte per singola struttura e Comune di provenienza dei bambini e delle bambine, e dichiarare l’avvenuto pagamento all’ente gestore delle ore di assistenza rendicontate</w:t>
      </w:r>
    </w:p>
    <w:p w:rsidR="00C031CB" w:rsidRPr="001E570E" w:rsidRDefault="00C031CB" w:rsidP="00C031CB">
      <w:pPr>
        <w:spacing w:after="0" w:line="20" w:lineRule="atLeast"/>
        <w:jc w:val="both"/>
        <w:rPr>
          <w:rFonts w:cstheme="minorHAnsi"/>
        </w:rPr>
      </w:pPr>
      <w:r w:rsidRPr="001E570E">
        <w:rPr>
          <w:rFonts w:cstheme="minorHAnsi"/>
        </w:rPr>
        <w:t xml:space="preserve">5. Per il servizio di assistenza domiciliare all’infanzia l’ente gestore deve rendicontare alla Provincia le ore di assistenza fatturate agli utenti in base al sistema tariffario, distinte per Comune di competenza. Alla rendicontazione l’ente gestore deve allegare anche il report annuale delle ore erogate inviato ad ogni Comune. Nel corso dell’anno, l’ente gestore informa regolarmente i singoli Comuni in merito alle ore di assistenza erogate e fatturate in base al sistema tariffario agli utenti residenti o aventi stabile dimora nel rispettivo territorio. </w:t>
      </w:r>
    </w:p>
    <w:p w:rsidR="00C031CB" w:rsidRPr="001E570E" w:rsidRDefault="00C031CB" w:rsidP="00C031CB">
      <w:pPr>
        <w:spacing w:after="0" w:line="20" w:lineRule="atLeast"/>
        <w:jc w:val="both"/>
        <w:rPr>
          <w:rFonts w:cstheme="minorHAnsi"/>
        </w:rPr>
      </w:pPr>
      <w:r w:rsidRPr="001E570E">
        <w:rPr>
          <w:rFonts w:cstheme="minorHAnsi"/>
        </w:rPr>
        <w:t xml:space="preserve">6. Non devono essere rendicontati i costi e le entrate relativi alle ore di assistenza non cofinanziate dagli enti pubblici. Queste ore vengono comunque rilevate separatamente a fini amministrativi e statistici. </w:t>
      </w:r>
    </w:p>
    <w:p w:rsidR="00C031CB" w:rsidRPr="001E570E" w:rsidRDefault="00C031CB" w:rsidP="00C031CB">
      <w:pPr>
        <w:spacing w:after="0" w:line="20" w:lineRule="atLeast"/>
        <w:jc w:val="both"/>
        <w:rPr>
          <w:rFonts w:cstheme="minorHAnsi"/>
        </w:rPr>
      </w:pPr>
      <w:r w:rsidRPr="001E570E">
        <w:rPr>
          <w:rFonts w:cstheme="minorHAnsi"/>
        </w:rPr>
        <w:t xml:space="preserve">7. Il contributo spettante viene rideterminato, nei limiti dell’importo del contributo concesso, sulla base delle ore fatturate agli utenti in base al sistema tariffario nell’anno di riferimento e tenuto conto della effettiva compartecipazione tariffaria da parte degli utenti stessi. </w:t>
      </w:r>
    </w:p>
    <w:p w:rsidR="00C031CB" w:rsidRPr="001E570E" w:rsidRDefault="00C031CB" w:rsidP="00C031CB">
      <w:pPr>
        <w:spacing w:after="0" w:line="20" w:lineRule="atLeast"/>
        <w:jc w:val="both"/>
        <w:rPr>
          <w:rFonts w:cstheme="minorHAnsi"/>
        </w:rPr>
      </w:pPr>
      <w:r w:rsidRPr="001E570E">
        <w:rPr>
          <w:rFonts w:cstheme="minorHAnsi"/>
        </w:rPr>
        <w:t xml:space="preserve">8. Qualora in sede di rendicontazione l’ente non documenti una spesa a suo carico pari almeno all’anticipo già percepito, deve restituire l’importo eccedente maggiorato degli interessi legali. </w:t>
      </w:r>
    </w:p>
    <w:p w:rsidR="00C031CB" w:rsidRPr="001E570E" w:rsidRDefault="00C031CB" w:rsidP="00C031CB">
      <w:pPr>
        <w:spacing w:after="0" w:line="20" w:lineRule="atLeast"/>
        <w:jc w:val="both"/>
        <w:rPr>
          <w:rFonts w:cstheme="minorHAnsi"/>
        </w:rPr>
      </w:pPr>
      <w:r w:rsidRPr="001E570E">
        <w:rPr>
          <w:rFonts w:cstheme="minorHAnsi"/>
        </w:rPr>
        <w:t>9. I termini per la conclusione del procedimento amministrativo decorrono dalla data di presentazione del rendiconto e della domanda di liquidazione, e vengono sospesi per l’acquisizione delle informazioni o dei documenti necessari a regolarizzare la rendicontazione.</w:t>
      </w:r>
    </w:p>
    <w:p w:rsidR="00C031CB" w:rsidRPr="001E570E" w:rsidRDefault="00C031CB" w:rsidP="00C031CB">
      <w:pPr>
        <w:spacing w:after="0" w:line="20" w:lineRule="atLeast"/>
        <w:jc w:val="both"/>
        <w:rPr>
          <w:rFonts w:cstheme="minorHAnsi"/>
        </w:rPr>
      </w:pPr>
      <w:r w:rsidRPr="001E570E">
        <w:rPr>
          <w:rFonts w:cstheme="minorHAnsi"/>
        </w:rPr>
        <w:t xml:space="preserve">Art. </w:t>
      </w:r>
      <w:proofErr w:type="gramStart"/>
      <w:r w:rsidRPr="001E570E">
        <w:rPr>
          <w:rFonts w:cstheme="minorHAnsi"/>
        </w:rPr>
        <w:t>14  Controlli</w:t>
      </w:r>
      <w:proofErr w:type="gramEnd"/>
      <w:r w:rsidRPr="001E570E">
        <w:rPr>
          <w:rFonts w:cstheme="minorHAnsi"/>
        </w:rPr>
        <w:t xml:space="preserve"> </w:t>
      </w:r>
    </w:p>
    <w:p w:rsidR="00C031CB" w:rsidRPr="001E570E" w:rsidRDefault="00C031CB" w:rsidP="00C031CB">
      <w:pPr>
        <w:spacing w:after="0" w:line="20" w:lineRule="atLeast"/>
        <w:jc w:val="both"/>
        <w:rPr>
          <w:rFonts w:cstheme="minorHAnsi"/>
        </w:rPr>
      </w:pPr>
      <w:r w:rsidRPr="001E570E">
        <w:rPr>
          <w:rFonts w:cstheme="minorHAnsi"/>
        </w:rPr>
        <w:t>1. Ai sensi dell’articolo 2, comma 3, della legge provinciale 22 ottobre 1993, n. 17, e successive modifiche, l’Agenzia per la famiglia effettua controlli a campione su almeno il sei per cento delle dichiarazioni sostitutive relative ai contributi per i quali è stato liquidato il saldo. Può inoltre procedere alla verifica di congruità dei costi orari.</w:t>
      </w:r>
    </w:p>
    <w:p w:rsidR="00C031CB" w:rsidRPr="001E570E" w:rsidRDefault="00C031CB" w:rsidP="00C031CB">
      <w:pPr>
        <w:spacing w:after="0" w:line="20" w:lineRule="atLeast"/>
        <w:jc w:val="both"/>
        <w:rPr>
          <w:rFonts w:cstheme="minorHAnsi"/>
        </w:rPr>
      </w:pPr>
      <w:r w:rsidRPr="001E570E">
        <w:rPr>
          <w:rFonts w:cstheme="minorHAnsi"/>
        </w:rPr>
        <w:t xml:space="preserve"> 2. L’individuazione delle dichiarazioni sostitutive da sottoporre a controllo avviene mediante sorteggio effettuato da una apposita commissione. Il sorteggio è effettuato secondo il principio di casualità dalla lista dei contributi erogati nell’anno di riferimento. La commissione è nominata dal direttore/dalla direttrice di ripartizione competente ed è composta dal direttore/dalla direttrice di ripartizione competente, dalla direttrice/dal direttore dell’Agenzia per la famiglia e da un funzionario esperto/una funzionaria esperta.</w:t>
      </w:r>
    </w:p>
    <w:p w:rsidR="00C031CB" w:rsidRPr="001E570E" w:rsidRDefault="00C031CB" w:rsidP="00C031CB">
      <w:pPr>
        <w:spacing w:after="0" w:line="20" w:lineRule="atLeast"/>
        <w:jc w:val="both"/>
        <w:rPr>
          <w:rFonts w:cstheme="minorHAnsi"/>
        </w:rPr>
      </w:pPr>
      <w:r w:rsidRPr="001E570E">
        <w:rPr>
          <w:rFonts w:cstheme="minorHAnsi"/>
        </w:rPr>
        <w:t xml:space="preserve"> 3. Nei controlli viene esaminata la veridicità delle dichiarazioni sostitutive rilasciate in sede di rendicontazione dal/dalla rappresentante legale dell’ente beneficiario del contributo e viene verificata la regolarità della documentazione contabile in originale e la sua conformità in relazione alle ore di assistenza rendicontate. A tal fine gli enti gestori devono consentire all’Agenzia per la famiglia l’accesso alla loro documentazione contabile e provvedere a fornire le necessarie informazioni ai sensi delle norme vigenti in materia. 44. Sono inoltre sottoposti a controllo tutti i casi ritenuti dubbi dall’Agenzia per la famiglia. </w:t>
      </w:r>
    </w:p>
    <w:p w:rsidR="00C031CB" w:rsidRPr="001E570E" w:rsidRDefault="00C031CB" w:rsidP="00C031CB">
      <w:pPr>
        <w:spacing w:after="0" w:line="20" w:lineRule="atLeast"/>
        <w:jc w:val="both"/>
        <w:rPr>
          <w:rFonts w:cstheme="minorHAnsi"/>
        </w:rPr>
      </w:pPr>
      <w:r w:rsidRPr="001E570E">
        <w:rPr>
          <w:rFonts w:cstheme="minorHAnsi"/>
        </w:rPr>
        <w:t xml:space="preserve">5. Gli enti gestori devono mettere a disposizione dei Comuni soggetti a controllo la documentazione originale in loro possesso. </w:t>
      </w:r>
    </w:p>
    <w:p w:rsidR="00C031CB" w:rsidRPr="001E570E" w:rsidRDefault="00C031CB" w:rsidP="00C031CB">
      <w:pPr>
        <w:spacing w:after="0" w:line="20" w:lineRule="atLeast"/>
        <w:jc w:val="both"/>
        <w:rPr>
          <w:rFonts w:cstheme="minorHAnsi"/>
        </w:rPr>
      </w:pPr>
      <w:r w:rsidRPr="001E570E">
        <w:rPr>
          <w:rFonts w:cstheme="minorHAnsi"/>
        </w:rPr>
        <w:lastRenderedPageBreak/>
        <w:t>6. I controlli possono essere effettuati anche in collaborazione con funzionari di altre ripartizioni dell’Amministrazione provinciale, mediante sopralluogo presso la sede dell’ente oppure tramite richiesta di invio della documentazione originale di spesa.</w:t>
      </w:r>
    </w:p>
    <w:p w:rsidR="00C031CB" w:rsidRDefault="00C031CB" w:rsidP="00AB6D04">
      <w:pPr>
        <w:spacing w:after="0" w:line="20" w:lineRule="atLeast"/>
        <w:jc w:val="both"/>
      </w:pPr>
    </w:p>
    <w:p w:rsidR="00AB6D04" w:rsidRPr="006B0B81" w:rsidRDefault="00AB6D04" w:rsidP="00EB0A54">
      <w:pPr>
        <w:spacing w:after="0" w:line="20" w:lineRule="atLeast"/>
        <w:jc w:val="both"/>
        <w:rPr>
          <w:rFonts w:cstheme="minorHAnsi"/>
        </w:rPr>
      </w:pPr>
    </w:p>
    <w:p w:rsidR="00EB0A54" w:rsidRDefault="00EB0A54" w:rsidP="00DB75E8">
      <w:pPr>
        <w:autoSpaceDE w:val="0"/>
        <w:autoSpaceDN w:val="0"/>
        <w:adjustRightInd w:val="0"/>
        <w:spacing w:after="0" w:line="20" w:lineRule="atLeast"/>
        <w:jc w:val="both"/>
        <w:rPr>
          <w:rFonts w:cstheme="minorHAnsi"/>
          <w:color w:val="000000"/>
        </w:rPr>
      </w:pPr>
    </w:p>
    <w:p w:rsidR="00EB0A54" w:rsidRDefault="00EB0A54" w:rsidP="00DB75E8">
      <w:pPr>
        <w:autoSpaceDE w:val="0"/>
        <w:autoSpaceDN w:val="0"/>
        <w:adjustRightInd w:val="0"/>
        <w:spacing w:after="0" w:line="20" w:lineRule="atLeast"/>
        <w:jc w:val="both"/>
        <w:rPr>
          <w:rFonts w:cstheme="minorHAnsi"/>
          <w:color w:val="000000"/>
        </w:rPr>
      </w:pPr>
    </w:p>
    <w:p w:rsidR="00670259" w:rsidRDefault="00670259" w:rsidP="00DB75E8">
      <w:pPr>
        <w:autoSpaceDE w:val="0"/>
        <w:autoSpaceDN w:val="0"/>
        <w:adjustRightInd w:val="0"/>
        <w:spacing w:after="0" w:line="20" w:lineRule="atLeast"/>
        <w:jc w:val="both"/>
        <w:rPr>
          <w:rFonts w:cstheme="minorHAnsi"/>
          <w:color w:val="000000"/>
        </w:rPr>
      </w:pPr>
    </w:p>
    <w:sectPr w:rsidR="00670259">
      <w:headerReference w:type="default" r:id="rId12"/>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7870" w:rsidRDefault="000F7870" w:rsidP="00431157">
      <w:pPr>
        <w:spacing w:after="0" w:line="240" w:lineRule="auto"/>
      </w:pPr>
      <w:r>
        <w:separator/>
      </w:r>
    </w:p>
  </w:endnote>
  <w:endnote w:type="continuationSeparator" w:id="0">
    <w:p w:rsidR="000F7870" w:rsidRDefault="000F7870" w:rsidP="004311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ITC Avant Garde Std Bk">
    <w:altName w:val="ITC Avant Garde Std Bk"/>
    <w:panose1 w:val="00000000000000000000"/>
    <w:charset w:val="00"/>
    <w:family w:val="swiss"/>
    <w:notTrueType/>
    <w:pitch w:val="default"/>
    <w:sig w:usb0="00000003" w:usb1="00000000" w:usb2="00000000" w:usb3="00000000" w:csb0="00000001" w:csb1="00000000"/>
  </w:font>
  <w:font w:name="Broadway">
    <w:panose1 w:val="04040905080B02020502"/>
    <w:charset w:val="00"/>
    <w:family w:val="decorative"/>
    <w:pitch w:val="variable"/>
    <w:sig w:usb0="00000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TimesNewRomanPS-BoldMT">
    <w:panose1 w:val="00000000000000000000"/>
    <w:charset w:val="00"/>
    <w:family w:val="auto"/>
    <w:notTrueType/>
    <w:pitch w:val="default"/>
    <w:sig w:usb0="00000003" w:usb1="00000000" w:usb2="00000000" w:usb3="00000000" w:csb0="00000001" w:csb1="00000000"/>
  </w:font>
  <w:font w:name="TimesNewRomanPSMT">
    <w:panose1 w:val="00000000000000000000"/>
    <w:charset w:val="00"/>
    <w:family w:val="auto"/>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DecimaWE-Bold">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imesNewRomanPS-ItalicMT">
    <w:panose1 w:val="00000000000000000000"/>
    <w:charset w:val="00"/>
    <w:family w:val="roman"/>
    <w:notTrueType/>
    <w:pitch w:val="default"/>
    <w:sig w:usb0="00000003" w:usb1="00000000" w:usb2="00000000" w:usb3="00000000" w:csb0="00000001" w:csb1="00000000"/>
  </w:font>
  <w:font w:name="BookAntiqua">
    <w:panose1 w:val="00000000000000000000"/>
    <w:charset w:val="00"/>
    <w:family w:val="swiss"/>
    <w:notTrueType/>
    <w:pitch w:val="default"/>
    <w:sig w:usb0="00000003" w:usb1="00000000" w:usb2="00000000" w:usb3="00000000" w:csb0="00000001" w:csb1="00000000"/>
  </w:font>
  <w:font w:name="BookAntiqua,Bold">
    <w:panose1 w:val="00000000000000000000"/>
    <w:charset w:val="00"/>
    <w:family w:val="swiss"/>
    <w:notTrueType/>
    <w:pitch w:val="default"/>
    <w:sig w:usb0="00000003" w:usb1="00000000" w:usb2="00000000" w:usb3="00000000" w:csb0="00000001" w:csb1="00000000"/>
  </w:font>
  <w:font w:name="BookAntiqua,Italic">
    <w:panose1 w:val="00000000000000000000"/>
    <w:charset w:val="00"/>
    <w:family w:val="swiss"/>
    <w:notTrueType/>
    <w:pitch w:val="default"/>
    <w:sig w:usb0="00000003" w:usb1="00000000" w:usb2="00000000" w:usb3="00000000" w:csb0="00000001" w:csb1="00000000"/>
  </w:font>
  <w:font w:name="CIDFont+F2">
    <w:panose1 w:val="00000000000000000000"/>
    <w:charset w:val="00"/>
    <w:family w:val="auto"/>
    <w:notTrueType/>
    <w:pitch w:val="default"/>
    <w:sig w:usb0="00000003" w:usb1="00000000" w:usb2="00000000" w:usb3="00000000" w:csb0="00000001" w:csb1="00000000"/>
  </w:font>
  <w:font w:name="CIDFont+F1">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IDFont+F3">
    <w:altName w:val="Arial Unicode MS"/>
    <w:panose1 w:val="00000000000000000000"/>
    <w:charset w:val="88"/>
    <w:family w:val="auto"/>
    <w:notTrueType/>
    <w:pitch w:val="default"/>
    <w:sig w:usb0="00000000" w:usb1="08080000" w:usb2="00000010" w:usb3="00000000" w:csb0="00100001" w:csb1="00000000"/>
  </w:font>
  <w:font w:name="CIDFont+F5">
    <w:panose1 w:val="00000000000000000000"/>
    <w:charset w:val="00"/>
    <w:family w:val="auto"/>
    <w:notTrueType/>
    <w:pitch w:val="default"/>
    <w:sig w:usb0="00000003" w:usb1="00000000" w:usb2="00000000" w:usb3="00000000" w:csb0="00000001" w:csb1="00000000"/>
  </w:font>
  <w:font w:name="CIDFont+F7">
    <w:panose1 w:val="00000000000000000000"/>
    <w:charset w:val="00"/>
    <w:family w:val="auto"/>
    <w:notTrueType/>
    <w:pitch w:val="default"/>
    <w:sig w:usb0="00000003" w:usb1="00000000" w:usb2="00000000" w:usb3="00000000" w:csb0="00000001" w:csb1="00000000"/>
  </w:font>
  <w:font w:name="CIDFont+F8">
    <w:altName w:val="Arial Unicode MS"/>
    <w:panose1 w:val="00000000000000000000"/>
    <w:charset w:val="88"/>
    <w:family w:val="auto"/>
    <w:notTrueType/>
    <w:pitch w:val="default"/>
    <w:sig w:usb0="00000000" w:usb1="08080000" w:usb2="00000010" w:usb3="00000000" w:csb0="00100000" w:csb1="00000000"/>
  </w:font>
  <w:font w:name="Cambria Math">
    <w:panose1 w:val="02040503050406030204"/>
    <w:charset w:val="00"/>
    <w:family w:val="roman"/>
    <w:pitch w:val="variable"/>
    <w:sig w:usb0="E00006FF" w:usb1="420024FF" w:usb2="02000000" w:usb3="00000000" w:csb0="0000019F" w:csb1="00000000"/>
  </w:font>
  <w:font w:name="ArialUnicodeMS">
    <w:altName w:val="Arial Unicode MS"/>
    <w:panose1 w:val="00000000000000000000"/>
    <w:charset w:val="81"/>
    <w:family w:val="auto"/>
    <w:notTrueType/>
    <w:pitch w:val="default"/>
    <w:sig w:usb0="00000000" w:usb1="09060000" w:usb2="00000010" w:usb3="00000000" w:csb0="00080000" w:csb1="00000000"/>
  </w:font>
  <w:font w:name="MLGHL P+ Tahoma">
    <w:altName w:val="MLGHL P+ Tahoma"/>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7870" w:rsidRDefault="000F7870" w:rsidP="00431157">
      <w:pPr>
        <w:spacing w:after="0" w:line="240" w:lineRule="auto"/>
      </w:pPr>
      <w:r>
        <w:separator/>
      </w:r>
    </w:p>
  </w:footnote>
  <w:footnote w:type="continuationSeparator" w:id="0">
    <w:p w:rsidR="000F7870" w:rsidRDefault="000F7870" w:rsidP="0043115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07432564"/>
      <w:docPartObj>
        <w:docPartGallery w:val="Page Numbers (Top of Page)"/>
        <w:docPartUnique/>
      </w:docPartObj>
    </w:sdtPr>
    <w:sdtContent>
      <w:p w:rsidR="008B746C" w:rsidRDefault="008B746C">
        <w:pPr>
          <w:pStyle w:val="Intestazione"/>
          <w:jc w:val="right"/>
        </w:pPr>
        <w:r>
          <w:fldChar w:fldCharType="begin"/>
        </w:r>
        <w:r>
          <w:instrText>PAGE   \* MERGEFORMAT</w:instrText>
        </w:r>
        <w:r>
          <w:fldChar w:fldCharType="separate"/>
        </w:r>
        <w:r w:rsidR="009D0C7A">
          <w:rPr>
            <w:noProof/>
          </w:rPr>
          <w:t>27</w:t>
        </w:r>
        <w:r>
          <w:fldChar w:fldCharType="end"/>
        </w:r>
      </w:p>
    </w:sdtContent>
  </w:sdt>
  <w:p w:rsidR="008B746C" w:rsidRDefault="008B746C">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C8165CF"/>
    <w:multiLevelType w:val="hybridMultilevel"/>
    <w:tmpl w:val="F38C35C1"/>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EEDCEAAE"/>
    <w:multiLevelType w:val="hybridMultilevel"/>
    <w:tmpl w:val="A5B64055"/>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F7DEFFBE"/>
    <w:multiLevelType w:val="hybridMultilevel"/>
    <w:tmpl w:val="3FB3695D"/>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52C08F4"/>
    <w:multiLevelType w:val="multilevel"/>
    <w:tmpl w:val="67E40F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BD81CAA"/>
    <w:multiLevelType w:val="multilevel"/>
    <w:tmpl w:val="A7145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122396"/>
    <w:multiLevelType w:val="multilevel"/>
    <w:tmpl w:val="C9FE9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7B5131"/>
    <w:multiLevelType w:val="hybridMultilevel"/>
    <w:tmpl w:val="F6769448"/>
    <w:lvl w:ilvl="0" w:tplc="657017D0">
      <w:start w:val="2"/>
      <w:numFmt w:val="bullet"/>
      <w:lvlText w:val="-"/>
      <w:lvlJc w:val="left"/>
      <w:pPr>
        <w:ind w:left="720" w:hanging="360"/>
      </w:pPr>
      <w:rPr>
        <w:rFonts w:ascii="Calibri" w:eastAsiaTheme="minorEastAsia"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1F41312D"/>
    <w:multiLevelType w:val="hybridMultilevel"/>
    <w:tmpl w:val="655002CA"/>
    <w:lvl w:ilvl="0" w:tplc="C85ADB16">
      <w:start w:val="3"/>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235A5DB2"/>
    <w:multiLevelType w:val="multilevel"/>
    <w:tmpl w:val="9E6C08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C125E38"/>
    <w:multiLevelType w:val="multilevel"/>
    <w:tmpl w:val="B5A2AF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56B16ED"/>
    <w:multiLevelType w:val="multilevel"/>
    <w:tmpl w:val="6D70E4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64822BE"/>
    <w:multiLevelType w:val="multilevel"/>
    <w:tmpl w:val="25D4888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0CD4367"/>
    <w:multiLevelType w:val="hybridMultilevel"/>
    <w:tmpl w:val="7E143838"/>
    <w:lvl w:ilvl="0" w:tplc="71EE588C">
      <w:start w:val="4"/>
      <w:numFmt w:val="bullet"/>
      <w:lvlText w:val="-"/>
      <w:lvlJc w:val="left"/>
      <w:pPr>
        <w:ind w:left="720" w:hanging="360"/>
      </w:pPr>
      <w:rPr>
        <w:rFonts w:ascii="Calibri" w:eastAsiaTheme="minorEastAsia"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40DD30F1"/>
    <w:multiLevelType w:val="multilevel"/>
    <w:tmpl w:val="94A05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32E0D8A"/>
    <w:multiLevelType w:val="multilevel"/>
    <w:tmpl w:val="279E56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60E52AC"/>
    <w:multiLevelType w:val="multilevel"/>
    <w:tmpl w:val="8DDEEE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FE839BB"/>
    <w:multiLevelType w:val="multilevel"/>
    <w:tmpl w:val="01D494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AE24D6C"/>
    <w:multiLevelType w:val="multilevel"/>
    <w:tmpl w:val="C33C71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3AE457C"/>
    <w:multiLevelType w:val="multilevel"/>
    <w:tmpl w:val="CD34C2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B806384"/>
    <w:multiLevelType w:val="multilevel"/>
    <w:tmpl w:val="3216DC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BB676F3"/>
    <w:multiLevelType w:val="multilevel"/>
    <w:tmpl w:val="18282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5D06EF3"/>
    <w:multiLevelType w:val="multilevel"/>
    <w:tmpl w:val="951CD9C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7C4710E"/>
    <w:multiLevelType w:val="hybridMultilevel"/>
    <w:tmpl w:val="8FCCFF3C"/>
    <w:lvl w:ilvl="0" w:tplc="000AF84E">
      <w:start w:val="1"/>
      <w:numFmt w:val="decimal"/>
      <w:lvlText w:val="%1."/>
      <w:lvlJc w:val="left"/>
      <w:pPr>
        <w:ind w:left="720" w:hanging="360"/>
      </w:pPr>
      <w:rPr>
        <w:rFonts w:hint="default"/>
        <w:sz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15:restartNumberingAfterBreak="0">
    <w:nsid w:val="7AF853A1"/>
    <w:multiLevelType w:val="multilevel"/>
    <w:tmpl w:val="1A06D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B497B42"/>
    <w:multiLevelType w:val="hybridMultilevel"/>
    <w:tmpl w:val="B744331A"/>
    <w:lvl w:ilvl="0" w:tplc="CB94AAA2">
      <w:start w:val="1"/>
      <w:numFmt w:val="decimal"/>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5" w15:restartNumberingAfterBreak="0">
    <w:nsid w:val="7C4A7299"/>
    <w:multiLevelType w:val="multilevel"/>
    <w:tmpl w:val="3562523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D696FC9"/>
    <w:multiLevelType w:val="hybridMultilevel"/>
    <w:tmpl w:val="6982228C"/>
    <w:lvl w:ilvl="0" w:tplc="27C04376">
      <w:numFmt w:val="bullet"/>
      <w:lvlText w:val="-"/>
      <w:lvlJc w:val="left"/>
      <w:pPr>
        <w:ind w:left="720" w:hanging="360"/>
      </w:pPr>
      <w:rPr>
        <w:rFonts w:ascii="Algerian" w:eastAsiaTheme="minorHAnsi" w:hAnsi="Algerian" w:cs="Times New Roman"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num w:numId="1">
    <w:abstractNumId w:val="26"/>
  </w:num>
  <w:num w:numId="2">
    <w:abstractNumId w:val="21"/>
  </w:num>
  <w:num w:numId="3">
    <w:abstractNumId w:val="7"/>
  </w:num>
  <w:num w:numId="4">
    <w:abstractNumId w:val="12"/>
  </w:num>
  <w:num w:numId="5">
    <w:abstractNumId w:val="6"/>
  </w:num>
  <w:num w:numId="6">
    <w:abstractNumId w:val="24"/>
  </w:num>
  <w:num w:numId="7">
    <w:abstractNumId w:val="0"/>
  </w:num>
  <w:num w:numId="8">
    <w:abstractNumId w:val="1"/>
  </w:num>
  <w:num w:numId="9">
    <w:abstractNumId w:val="2"/>
  </w:num>
  <w:num w:numId="10">
    <w:abstractNumId w:val="22"/>
  </w:num>
  <w:num w:numId="11">
    <w:abstractNumId w:val="23"/>
    <w:lvlOverride w:ilvl="0">
      <w:lvl w:ilvl="0">
        <w:numFmt w:val="bullet"/>
        <w:lvlText w:val=""/>
        <w:lvlJc w:val="left"/>
        <w:pPr>
          <w:tabs>
            <w:tab w:val="num" w:pos="720"/>
          </w:tabs>
          <w:ind w:left="720" w:hanging="360"/>
        </w:pPr>
        <w:rPr>
          <w:rFonts w:ascii="Wingdings" w:hAnsi="Wingdings" w:hint="default"/>
          <w:sz w:val="20"/>
        </w:rPr>
      </w:lvl>
    </w:lvlOverride>
  </w:num>
  <w:num w:numId="12">
    <w:abstractNumId w:val="8"/>
  </w:num>
  <w:num w:numId="13">
    <w:abstractNumId w:val="19"/>
  </w:num>
  <w:num w:numId="14">
    <w:abstractNumId w:val="16"/>
  </w:num>
  <w:num w:numId="15">
    <w:abstractNumId w:val="15"/>
  </w:num>
  <w:num w:numId="16">
    <w:abstractNumId w:val="17"/>
  </w:num>
  <w:num w:numId="17">
    <w:abstractNumId w:val="18"/>
  </w:num>
  <w:num w:numId="18">
    <w:abstractNumId w:val="9"/>
    <w:lvlOverride w:ilvl="0">
      <w:startOverride w:val="1"/>
    </w:lvlOverride>
  </w:num>
  <w:num w:numId="19">
    <w:abstractNumId w:val="3"/>
    <w:lvlOverride w:ilvl="0">
      <w:startOverride w:val="2"/>
    </w:lvlOverride>
  </w:num>
  <w:num w:numId="20">
    <w:abstractNumId w:val="14"/>
  </w:num>
  <w:num w:numId="21">
    <w:abstractNumId w:val="20"/>
    <w:lvlOverride w:ilvl="0">
      <w:lvl w:ilvl="0">
        <w:numFmt w:val="bullet"/>
        <w:lvlText w:val=""/>
        <w:lvlJc w:val="left"/>
        <w:pPr>
          <w:tabs>
            <w:tab w:val="num" w:pos="720"/>
          </w:tabs>
          <w:ind w:left="720" w:hanging="360"/>
        </w:pPr>
        <w:rPr>
          <w:rFonts w:ascii="Wingdings" w:hAnsi="Wingdings" w:hint="default"/>
          <w:sz w:val="20"/>
        </w:rPr>
      </w:lvl>
    </w:lvlOverride>
  </w:num>
  <w:num w:numId="22">
    <w:abstractNumId w:val="10"/>
    <w:lvlOverride w:ilvl="0">
      <w:startOverride w:val="1"/>
    </w:lvlOverride>
  </w:num>
  <w:num w:numId="23">
    <w:abstractNumId w:val="13"/>
    <w:lvlOverride w:ilvl="0">
      <w:lvl w:ilvl="0">
        <w:numFmt w:val="bullet"/>
        <w:lvlText w:val=""/>
        <w:lvlJc w:val="left"/>
        <w:pPr>
          <w:tabs>
            <w:tab w:val="num" w:pos="720"/>
          </w:tabs>
          <w:ind w:left="720" w:hanging="360"/>
        </w:pPr>
        <w:rPr>
          <w:rFonts w:ascii="Wingdings" w:hAnsi="Wingdings" w:hint="default"/>
          <w:sz w:val="20"/>
        </w:rPr>
      </w:lvl>
    </w:lvlOverride>
  </w:num>
  <w:num w:numId="24">
    <w:abstractNumId w:val="4"/>
    <w:lvlOverride w:ilvl="0">
      <w:lvl w:ilvl="0">
        <w:numFmt w:val="bullet"/>
        <w:lvlText w:val=""/>
        <w:lvlJc w:val="left"/>
        <w:pPr>
          <w:tabs>
            <w:tab w:val="num" w:pos="720"/>
          </w:tabs>
          <w:ind w:left="720" w:hanging="360"/>
        </w:pPr>
        <w:rPr>
          <w:rFonts w:ascii="Wingdings" w:hAnsi="Wingdings" w:hint="default"/>
          <w:sz w:val="20"/>
        </w:rPr>
      </w:lvl>
    </w:lvlOverride>
  </w:num>
  <w:num w:numId="25">
    <w:abstractNumId w:val="5"/>
    <w:lvlOverride w:ilvl="0">
      <w:lvl w:ilvl="0">
        <w:numFmt w:val="bullet"/>
        <w:lvlText w:val=""/>
        <w:lvlJc w:val="left"/>
        <w:pPr>
          <w:tabs>
            <w:tab w:val="num" w:pos="720"/>
          </w:tabs>
          <w:ind w:left="720" w:hanging="360"/>
        </w:pPr>
        <w:rPr>
          <w:rFonts w:ascii="Wingdings" w:hAnsi="Wingdings" w:hint="default"/>
          <w:sz w:val="20"/>
        </w:rPr>
      </w:lvl>
    </w:lvlOverride>
  </w:num>
  <w:num w:numId="26">
    <w:abstractNumId w:val="11"/>
  </w:num>
  <w:num w:numId="27">
    <w:abstractNumId w:val="11"/>
    <w:lvlOverride w:ilvl="1">
      <w:lvl w:ilvl="1">
        <w:numFmt w:val="bullet"/>
        <w:lvlText w:val=""/>
        <w:lvlJc w:val="left"/>
        <w:pPr>
          <w:tabs>
            <w:tab w:val="num" w:pos="1440"/>
          </w:tabs>
          <w:ind w:left="1440" w:hanging="360"/>
        </w:pPr>
        <w:rPr>
          <w:rFonts w:ascii="Wingdings" w:hAnsi="Wingdings" w:hint="default"/>
          <w:sz w:val="20"/>
        </w:rPr>
      </w:lvl>
    </w:lvlOverride>
  </w:num>
  <w:num w:numId="28">
    <w:abstractNumId w:val="25"/>
  </w:num>
  <w:num w:numId="29">
    <w:abstractNumId w:val="25"/>
    <w:lvlOverride w:ilvl="1">
      <w:lvl w:ilvl="1">
        <w:numFmt w:val="bullet"/>
        <w:lvlText w:val=""/>
        <w:lvlJc w:val="left"/>
        <w:pPr>
          <w:tabs>
            <w:tab w:val="num" w:pos="1440"/>
          </w:tabs>
          <w:ind w:left="1440" w:hanging="360"/>
        </w:pPr>
        <w:rPr>
          <w:rFonts w:ascii="Wingdings" w:hAnsi="Wingdings" w:hint="default"/>
          <w:sz w:val="20"/>
        </w:rPr>
      </w:lvl>
    </w:lvlOverride>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6F8B"/>
    <w:rsid w:val="000214F9"/>
    <w:rsid w:val="00034D7C"/>
    <w:rsid w:val="00044E7C"/>
    <w:rsid w:val="00053CA9"/>
    <w:rsid w:val="00061686"/>
    <w:rsid w:val="000657D3"/>
    <w:rsid w:val="0006692C"/>
    <w:rsid w:val="000954B2"/>
    <w:rsid w:val="000A54D9"/>
    <w:rsid w:val="000B6E79"/>
    <w:rsid w:val="000D05F1"/>
    <w:rsid w:val="000D33FA"/>
    <w:rsid w:val="000D48EC"/>
    <w:rsid w:val="000D60D5"/>
    <w:rsid w:val="000E0F29"/>
    <w:rsid w:val="000E6D4F"/>
    <w:rsid w:val="000F4939"/>
    <w:rsid w:val="000F59B9"/>
    <w:rsid w:val="000F6547"/>
    <w:rsid w:val="000F7870"/>
    <w:rsid w:val="00101F1C"/>
    <w:rsid w:val="00124E92"/>
    <w:rsid w:val="001262AA"/>
    <w:rsid w:val="00126F9E"/>
    <w:rsid w:val="00146881"/>
    <w:rsid w:val="00147402"/>
    <w:rsid w:val="00153857"/>
    <w:rsid w:val="00162D5C"/>
    <w:rsid w:val="00165FFA"/>
    <w:rsid w:val="001721FE"/>
    <w:rsid w:val="00186CFB"/>
    <w:rsid w:val="001900F5"/>
    <w:rsid w:val="00190919"/>
    <w:rsid w:val="0019373F"/>
    <w:rsid w:val="001C6FC1"/>
    <w:rsid w:val="001D3A04"/>
    <w:rsid w:val="001F6D5F"/>
    <w:rsid w:val="00204050"/>
    <w:rsid w:val="00206F8B"/>
    <w:rsid w:val="00207105"/>
    <w:rsid w:val="0021192C"/>
    <w:rsid w:val="00235B84"/>
    <w:rsid w:val="00237BF6"/>
    <w:rsid w:val="00246077"/>
    <w:rsid w:val="0025509D"/>
    <w:rsid w:val="00270226"/>
    <w:rsid w:val="00281830"/>
    <w:rsid w:val="00283494"/>
    <w:rsid w:val="00297481"/>
    <w:rsid w:val="002A02A9"/>
    <w:rsid w:val="002A75D3"/>
    <w:rsid w:val="002B2313"/>
    <w:rsid w:val="002C1A83"/>
    <w:rsid w:val="002C33CD"/>
    <w:rsid w:val="002C494C"/>
    <w:rsid w:val="002C4F2C"/>
    <w:rsid w:val="002D3826"/>
    <w:rsid w:val="002E3F2E"/>
    <w:rsid w:val="002E75F9"/>
    <w:rsid w:val="002F2B62"/>
    <w:rsid w:val="003006C5"/>
    <w:rsid w:val="0031291A"/>
    <w:rsid w:val="00315F03"/>
    <w:rsid w:val="00336924"/>
    <w:rsid w:val="00345B6F"/>
    <w:rsid w:val="003648B2"/>
    <w:rsid w:val="00376C0B"/>
    <w:rsid w:val="00391863"/>
    <w:rsid w:val="00393FF8"/>
    <w:rsid w:val="003B4334"/>
    <w:rsid w:val="003C0209"/>
    <w:rsid w:val="003C3C6B"/>
    <w:rsid w:val="003C5DE3"/>
    <w:rsid w:val="003E4CC1"/>
    <w:rsid w:val="003E508C"/>
    <w:rsid w:val="003F613F"/>
    <w:rsid w:val="003F65DC"/>
    <w:rsid w:val="00400FB9"/>
    <w:rsid w:val="00420350"/>
    <w:rsid w:val="004262EF"/>
    <w:rsid w:val="00431157"/>
    <w:rsid w:val="0044448E"/>
    <w:rsid w:val="00451387"/>
    <w:rsid w:val="00457A53"/>
    <w:rsid w:val="00462B00"/>
    <w:rsid w:val="00465946"/>
    <w:rsid w:val="00465C9E"/>
    <w:rsid w:val="00466533"/>
    <w:rsid w:val="00466B5C"/>
    <w:rsid w:val="00467092"/>
    <w:rsid w:val="00470750"/>
    <w:rsid w:val="00473F93"/>
    <w:rsid w:val="0047728A"/>
    <w:rsid w:val="0047749A"/>
    <w:rsid w:val="00477DB9"/>
    <w:rsid w:val="004923F6"/>
    <w:rsid w:val="004A63E8"/>
    <w:rsid w:val="004C0097"/>
    <w:rsid w:val="004C61BF"/>
    <w:rsid w:val="004C6D76"/>
    <w:rsid w:val="004E572C"/>
    <w:rsid w:val="004F2972"/>
    <w:rsid w:val="00511BE7"/>
    <w:rsid w:val="005163FB"/>
    <w:rsid w:val="00520846"/>
    <w:rsid w:val="005248E2"/>
    <w:rsid w:val="0054396D"/>
    <w:rsid w:val="0055374E"/>
    <w:rsid w:val="00591C08"/>
    <w:rsid w:val="0059319B"/>
    <w:rsid w:val="00594A0C"/>
    <w:rsid w:val="00594F13"/>
    <w:rsid w:val="005965AA"/>
    <w:rsid w:val="005A1266"/>
    <w:rsid w:val="005B6C14"/>
    <w:rsid w:val="005D2496"/>
    <w:rsid w:val="005E2973"/>
    <w:rsid w:val="005E3EEE"/>
    <w:rsid w:val="00623A12"/>
    <w:rsid w:val="00625922"/>
    <w:rsid w:val="00626D17"/>
    <w:rsid w:val="006306B5"/>
    <w:rsid w:val="00631D07"/>
    <w:rsid w:val="0063370C"/>
    <w:rsid w:val="00645A91"/>
    <w:rsid w:val="0064649E"/>
    <w:rsid w:val="006543BA"/>
    <w:rsid w:val="00654EB4"/>
    <w:rsid w:val="00660E3D"/>
    <w:rsid w:val="00670259"/>
    <w:rsid w:val="006830C1"/>
    <w:rsid w:val="00691F98"/>
    <w:rsid w:val="00694535"/>
    <w:rsid w:val="0069529F"/>
    <w:rsid w:val="006979B2"/>
    <w:rsid w:val="006A1534"/>
    <w:rsid w:val="006B48BD"/>
    <w:rsid w:val="006D04AE"/>
    <w:rsid w:val="006D2FD0"/>
    <w:rsid w:val="006D5F56"/>
    <w:rsid w:val="006F1F52"/>
    <w:rsid w:val="00730A21"/>
    <w:rsid w:val="00732DB9"/>
    <w:rsid w:val="007343F0"/>
    <w:rsid w:val="00734BC6"/>
    <w:rsid w:val="00736817"/>
    <w:rsid w:val="007604B0"/>
    <w:rsid w:val="00761309"/>
    <w:rsid w:val="00772A13"/>
    <w:rsid w:val="0077666E"/>
    <w:rsid w:val="007A4E91"/>
    <w:rsid w:val="007A5543"/>
    <w:rsid w:val="007B30AC"/>
    <w:rsid w:val="007D3003"/>
    <w:rsid w:val="007D66F5"/>
    <w:rsid w:val="007E24FC"/>
    <w:rsid w:val="007E4689"/>
    <w:rsid w:val="007E49C3"/>
    <w:rsid w:val="00803F1B"/>
    <w:rsid w:val="00812786"/>
    <w:rsid w:val="008276FE"/>
    <w:rsid w:val="00833821"/>
    <w:rsid w:val="00834D47"/>
    <w:rsid w:val="00842858"/>
    <w:rsid w:val="008471B4"/>
    <w:rsid w:val="008606F1"/>
    <w:rsid w:val="00861D44"/>
    <w:rsid w:val="00865F43"/>
    <w:rsid w:val="0086707B"/>
    <w:rsid w:val="008674D1"/>
    <w:rsid w:val="00867DCF"/>
    <w:rsid w:val="008B4F6D"/>
    <w:rsid w:val="008B746C"/>
    <w:rsid w:val="008D6D10"/>
    <w:rsid w:val="009156DF"/>
    <w:rsid w:val="00925B9D"/>
    <w:rsid w:val="00940387"/>
    <w:rsid w:val="00941603"/>
    <w:rsid w:val="0095783B"/>
    <w:rsid w:val="00960D16"/>
    <w:rsid w:val="0096114A"/>
    <w:rsid w:val="00963386"/>
    <w:rsid w:val="00967AAF"/>
    <w:rsid w:val="00972234"/>
    <w:rsid w:val="00982D61"/>
    <w:rsid w:val="009A6502"/>
    <w:rsid w:val="009A73A1"/>
    <w:rsid w:val="009B19F1"/>
    <w:rsid w:val="009B2A29"/>
    <w:rsid w:val="009B341A"/>
    <w:rsid w:val="009B6094"/>
    <w:rsid w:val="009D0C7A"/>
    <w:rsid w:val="009D32AA"/>
    <w:rsid w:val="009E05CB"/>
    <w:rsid w:val="009E065E"/>
    <w:rsid w:val="009F4EC5"/>
    <w:rsid w:val="00A35B13"/>
    <w:rsid w:val="00A7589D"/>
    <w:rsid w:val="00A767CD"/>
    <w:rsid w:val="00A846C9"/>
    <w:rsid w:val="00AA53B8"/>
    <w:rsid w:val="00AB2ABC"/>
    <w:rsid w:val="00AB63AE"/>
    <w:rsid w:val="00AB6D04"/>
    <w:rsid w:val="00AB772F"/>
    <w:rsid w:val="00AC71B0"/>
    <w:rsid w:val="00AE1A63"/>
    <w:rsid w:val="00AF3CA2"/>
    <w:rsid w:val="00B01036"/>
    <w:rsid w:val="00B03545"/>
    <w:rsid w:val="00B1066E"/>
    <w:rsid w:val="00B11841"/>
    <w:rsid w:val="00B16E5F"/>
    <w:rsid w:val="00B22860"/>
    <w:rsid w:val="00B33967"/>
    <w:rsid w:val="00B37F67"/>
    <w:rsid w:val="00B40799"/>
    <w:rsid w:val="00B5684C"/>
    <w:rsid w:val="00B60C6E"/>
    <w:rsid w:val="00B6593A"/>
    <w:rsid w:val="00B66976"/>
    <w:rsid w:val="00B737B2"/>
    <w:rsid w:val="00B81D31"/>
    <w:rsid w:val="00B86B59"/>
    <w:rsid w:val="00B953F8"/>
    <w:rsid w:val="00BC079D"/>
    <w:rsid w:val="00BC1888"/>
    <w:rsid w:val="00BC4DC2"/>
    <w:rsid w:val="00BD6350"/>
    <w:rsid w:val="00BD79A8"/>
    <w:rsid w:val="00BE67F2"/>
    <w:rsid w:val="00C012A3"/>
    <w:rsid w:val="00C031CB"/>
    <w:rsid w:val="00C05315"/>
    <w:rsid w:val="00C07B50"/>
    <w:rsid w:val="00C147B0"/>
    <w:rsid w:val="00C21335"/>
    <w:rsid w:val="00C23109"/>
    <w:rsid w:val="00C25995"/>
    <w:rsid w:val="00C55DD5"/>
    <w:rsid w:val="00C66142"/>
    <w:rsid w:val="00C7458B"/>
    <w:rsid w:val="00C91003"/>
    <w:rsid w:val="00C95517"/>
    <w:rsid w:val="00C97905"/>
    <w:rsid w:val="00CB0B15"/>
    <w:rsid w:val="00CC548D"/>
    <w:rsid w:val="00CD6496"/>
    <w:rsid w:val="00CF41A9"/>
    <w:rsid w:val="00D04FCC"/>
    <w:rsid w:val="00D14FB5"/>
    <w:rsid w:val="00D272D7"/>
    <w:rsid w:val="00D31F4B"/>
    <w:rsid w:val="00D37CE7"/>
    <w:rsid w:val="00D41A56"/>
    <w:rsid w:val="00D52790"/>
    <w:rsid w:val="00D533D7"/>
    <w:rsid w:val="00D672FE"/>
    <w:rsid w:val="00D77AA8"/>
    <w:rsid w:val="00D84EC7"/>
    <w:rsid w:val="00DB2177"/>
    <w:rsid w:val="00DB75E8"/>
    <w:rsid w:val="00DB7C63"/>
    <w:rsid w:val="00DD4A14"/>
    <w:rsid w:val="00DF44B5"/>
    <w:rsid w:val="00DF5E06"/>
    <w:rsid w:val="00E10A0C"/>
    <w:rsid w:val="00E27F3D"/>
    <w:rsid w:val="00E40239"/>
    <w:rsid w:val="00E40421"/>
    <w:rsid w:val="00E460E7"/>
    <w:rsid w:val="00E47006"/>
    <w:rsid w:val="00E54C60"/>
    <w:rsid w:val="00E574B2"/>
    <w:rsid w:val="00E70487"/>
    <w:rsid w:val="00E93539"/>
    <w:rsid w:val="00E93EE9"/>
    <w:rsid w:val="00EA324F"/>
    <w:rsid w:val="00EA7782"/>
    <w:rsid w:val="00EB0A54"/>
    <w:rsid w:val="00EB2C87"/>
    <w:rsid w:val="00EC02FB"/>
    <w:rsid w:val="00ED20A9"/>
    <w:rsid w:val="00ED5C0E"/>
    <w:rsid w:val="00EE1F99"/>
    <w:rsid w:val="00EE4846"/>
    <w:rsid w:val="00EE6659"/>
    <w:rsid w:val="00F06554"/>
    <w:rsid w:val="00F103AF"/>
    <w:rsid w:val="00F23649"/>
    <w:rsid w:val="00F26843"/>
    <w:rsid w:val="00F43D53"/>
    <w:rsid w:val="00F57AB1"/>
    <w:rsid w:val="00F6374A"/>
    <w:rsid w:val="00F765E6"/>
    <w:rsid w:val="00F92BCA"/>
    <w:rsid w:val="00F9673B"/>
    <w:rsid w:val="00FB2B78"/>
    <w:rsid w:val="00FB6EA6"/>
    <w:rsid w:val="00FC4DD5"/>
    <w:rsid w:val="00FD1C5E"/>
    <w:rsid w:val="00FE05BD"/>
    <w:rsid w:val="00FE5696"/>
    <w:rsid w:val="00FE6DA0"/>
    <w:rsid w:val="00FF7D81"/>
    <w:rsid w:val="00FF7E9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A0F2443-B6BE-41E8-B206-ADF9AAADE6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C7458B"/>
  </w:style>
  <w:style w:type="paragraph" w:styleId="Titolo3">
    <w:name w:val="heading 3"/>
    <w:basedOn w:val="Normale"/>
    <w:link w:val="Titolo3Carattere"/>
    <w:uiPriority w:val="9"/>
    <w:qFormat/>
    <w:rsid w:val="00D77AA8"/>
    <w:pPr>
      <w:spacing w:after="75" w:line="240" w:lineRule="auto"/>
      <w:outlineLvl w:val="2"/>
    </w:pPr>
    <w:rPr>
      <w:rFonts w:ascii="Times New Roman" w:eastAsia="Times New Roman" w:hAnsi="Times New Roman" w:cs="Times New Roman"/>
      <w:b/>
      <w:bCs/>
      <w:color w:val="000000"/>
      <w:sz w:val="27"/>
      <w:szCs w:val="27"/>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C7458B"/>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Paragrafoelenco">
    <w:name w:val="List Paragraph"/>
    <w:basedOn w:val="Normale"/>
    <w:uiPriority w:val="34"/>
    <w:qFormat/>
    <w:rsid w:val="00C7458B"/>
    <w:pPr>
      <w:ind w:left="720"/>
      <w:contextualSpacing/>
    </w:pPr>
  </w:style>
  <w:style w:type="character" w:styleId="Collegamentoipertestuale">
    <w:name w:val="Hyperlink"/>
    <w:basedOn w:val="Carpredefinitoparagrafo"/>
    <w:uiPriority w:val="99"/>
    <w:unhideWhenUsed/>
    <w:rsid w:val="00C7458B"/>
    <w:rPr>
      <w:color w:val="0563C1" w:themeColor="hyperlink"/>
      <w:u w:val="single"/>
    </w:rPr>
  </w:style>
  <w:style w:type="character" w:customStyle="1" w:styleId="Titolo3Carattere">
    <w:name w:val="Titolo 3 Carattere"/>
    <w:basedOn w:val="Carpredefinitoparagrafo"/>
    <w:link w:val="Titolo3"/>
    <w:uiPriority w:val="9"/>
    <w:rsid w:val="00D77AA8"/>
    <w:rPr>
      <w:rFonts w:ascii="Times New Roman" w:eastAsia="Times New Roman" w:hAnsi="Times New Roman" w:cs="Times New Roman"/>
      <w:b/>
      <w:bCs/>
      <w:color w:val="000000"/>
      <w:sz w:val="27"/>
      <w:szCs w:val="27"/>
      <w:lang w:eastAsia="it-IT"/>
    </w:rPr>
  </w:style>
  <w:style w:type="paragraph" w:customStyle="1" w:styleId="metadata">
    <w:name w:val="metadata"/>
    <w:basedOn w:val="Normale"/>
    <w:rsid w:val="00D77AA8"/>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Default">
    <w:name w:val="Default"/>
    <w:rsid w:val="00D77AA8"/>
    <w:pPr>
      <w:autoSpaceDE w:val="0"/>
      <w:autoSpaceDN w:val="0"/>
      <w:adjustRightInd w:val="0"/>
      <w:spacing w:after="0" w:line="240" w:lineRule="auto"/>
    </w:pPr>
    <w:rPr>
      <w:rFonts w:ascii="ITC Avant Garde Std Bk" w:eastAsiaTheme="minorEastAsia" w:hAnsi="ITC Avant Garde Std Bk" w:cs="ITC Avant Garde Std Bk"/>
      <w:color w:val="000000"/>
      <w:sz w:val="24"/>
      <w:szCs w:val="24"/>
      <w:lang w:eastAsia="it-IT"/>
    </w:rPr>
  </w:style>
  <w:style w:type="paragraph" w:customStyle="1" w:styleId="Pa11">
    <w:name w:val="Pa11"/>
    <w:basedOn w:val="Default"/>
    <w:next w:val="Default"/>
    <w:uiPriority w:val="99"/>
    <w:rsid w:val="00D77AA8"/>
    <w:pPr>
      <w:spacing w:line="241" w:lineRule="atLeast"/>
    </w:pPr>
    <w:rPr>
      <w:rFonts w:cstheme="minorBidi"/>
      <w:color w:val="auto"/>
    </w:rPr>
  </w:style>
  <w:style w:type="character" w:customStyle="1" w:styleId="A8">
    <w:name w:val="A8"/>
    <w:uiPriority w:val="99"/>
    <w:rsid w:val="00D77AA8"/>
    <w:rPr>
      <w:rFonts w:cs="ITC Avant Garde Std Bk"/>
      <w:color w:val="000000"/>
      <w:sz w:val="16"/>
      <w:szCs w:val="16"/>
    </w:rPr>
  </w:style>
  <w:style w:type="paragraph" w:customStyle="1" w:styleId="Pa14">
    <w:name w:val="Pa14"/>
    <w:basedOn w:val="Default"/>
    <w:next w:val="Default"/>
    <w:uiPriority w:val="99"/>
    <w:rsid w:val="00D77AA8"/>
    <w:pPr>
      <w:spacing w:line="154" w:lineRule="atLeast"/>
    </w:pPr>
    <w:rPr>
      <w:rFonts w:cstheme="minorBidi"/>
      <w:color w:val="auto"/>
    </w:rPr>
  </w:style>
  <w:style w:type="paragraph" w:customStyle="1" w:styleId="Pa16">
    <w:name w:val="Pa16"/>
    <w:basedOn w:val="Default"/>
    <w:next w:val="Default"/>
    <w:uiPriority w:val="99"/>
    <w:rsid w:val="00D77AA8"/>
    <w:pPr>
      <w:spacing w:line="154" w:lineRule="atLeast"/>
    </w:pPr>
    <w:rPr>
      <w:rFonts w:cstheme="minorBidi"/>
      <w:color w:val="auto"/>
    </w:rPr>
  </w:style>
  <w:style w:type="paragraph" w:customStyle="1" w:styleId="Pa20">
    <w:name w:val="Pa20"/>
    <w:basedOn w:val="Default"/>
    <w:next w:val="Default"/>
    <w:uiPriority w:val="99"/>
    <w:rsid w:val="00D77AA8"/>
    <w:pPr>
      <w:spacing w:line="154" w:lineRule="atLeast"/>
    </w:pPr>
    <w:rPr>
      <w:rFonts w:cstheme="minorBidi"/>
      <w:color w:val="auto"/>
    </w:rPr>
  </w:style>
  <w:style w:type="paragraph" w:customStyle="1" w:styleId="Pa21">
    <w:name w:val="Pa21"/>
    <w:basedOn w:val="Default"/>
    <w:next w:val="Default"/>
    <w:uiPriority w:val="99"/>
    <w:rsid w:val="00D77AA8"/>
    <w:pPr>
      <w:spacing w:line="241" w:lineRule="atLeast"/>
    </w:pPr>
    <w:rPr>
      <w:rFonts w:cstheme="minorBidi"/>
      <w:color w:val="auto"/>
    </w:rPr>
  </w:style>
  <w:style w:type="character" w:customStyle="1" w:styleId="A6">
    <w:name w:val="A6"/>
    <w:uiPriority w:val="99"/>
    <w:rsid w:val="00D77AA8"/>
    <w:rPr>
      <w:rFonts w:cs="ITC Avant Garde Std Bk"/>
      <w:color w:val="000000"/>
      <w:sz w:val="15"/>
      <w:szCs w:val="15"/>
    </w:rPr>
  </w:style>
  <w:style w:type="character" w:customStyle="1" w:styleId="A11">
    <w:name w:val="A11"/>
    <w:uiPriority w:val="99"/>
    <w:rsid w:val="00D77AA8"/>
    <w:rPr>
      <w:rFonts w:cs="ITC Avant Garde Std Bk"/>
      <w:color w:val="000000"/>
      <w:sz w:val="16"/>
      <w:szCs w:val="16"/>
    </w:rPr>
  </w:style>
  <w:style w:type="paragraph" w:customStyle="1" w:styleId="Pa10">
    <w:name w:val="Pa10"/>
    <w:basedOn w:val="Default"/>
    <w:next w:val="Default"/>
    <w:uiPriority w:val="99"/>
    <w:rsid w:val="00D77AA8"/>
    <w:pPr>
      <w:spacing w:line="241" w:lineRule="atLeast"/>
    </w:pPr>
    <w:rPr>
      <w:rFonts w:cstheme="minorBidi"/>
      <w:color w:val="auto"/>
    </w:rPr>
  </w:style>
  <w:style w:type="paragraph" w:customStyle="1" w:styleId="Pa9">
    <w:name w:val="Pa9"/>
    <w:basedOn w:val="Default"/>
    <w:next w:val="Default"/>
    <w:uiPriority w:val="99"/>
    <w:rsid w:val="00D77AA8"/>
    <w:pPr>
      <w:spacing w:line="241" w:lineRule="atLeast"/>
    </w:pPr>
    <w:rPr>
      <w:rFonts w:cstheme="minorBidi"/>
      <w:color w:val="auto"/>
    </w:rPr>
  </w:style>
  <w:style w:type="paragraph" w:customStyle="1" w:styleId="Pa18">
    <w:name w:val="Pa18"/>
    <w:basedOn w:val="Default"/>
    <w:next w:val="Default"/>
    <w:uiPriority w:val="99"/>
    <w:rsid w:val="00D77AA8"/>
    <w:pPr>
      <w:spacing w:line="154" w:lineRule="atLeast"/>
    </w:pPr>
    <w:rPr>
      <w:rFonts w:cstheme="minorBidi"/>
      <w:color w:val="auto"/>
    </w:rPr>
  </w:style>
  <w:style w:type="character" w:customStyle="1" w:styleId="A10">
    <w:name w:val="A10"/>
    <w:uiPriority w:val="99"/>
    <w:rsid w:val="00D77AA8"/>
    <w:rPr>
      <w:rFonts w:cs="ITC Avant Garde Std Bk"/>
      <w:color w:val="000000"/>
      <w:sz w:val="15"/>
      <w:szCs w:val="15"/>
      <w:u w:val="single"/>
    </w:rPr>
  </w:style>
  <w:style w:type="paragraph" w:customStyle="1" w:styleId="Pa15">
    <w:name w:val="Pa15"/>
    <w:basedOn w:val="Default"/>
    <w:next w:val="Default"/>
    <w:uiPriority w:val="99"/>
    <w:rsid w:val="00D77AA8"/>
    <w:pPr>
      <w:spacing w:line="154" w:lineRule="atLeast"/>
    </w:pPr>
    <w:rPr>
      <w:rFonts w:cstheme="minorBidi"/>
      <w:color w:val="auto"/>
    </w:rPr>
  </w:style>
  <w:style w:type="character" w:customStyle="1" w:styleId="A12">
    <w:name w:val="A12"/>
    <w:uiPriority w:val="99"/>
    <w:rsid w:val="00D77AA8"/>
    <w:rPr>
      <w:rFonts w:cs="ITC Avant Garde Std Bk"/>
      <w:color w:val="000000"/>
      <w:sz w:val="15"/>
      <w:szCs w:val="15"/>
      <w:u w:val="single"/>
    </w:rPr>
  </w:style>
  <w:style w:type="character" w:styleId="Enfasigrassetto">
    <w:name w:val="Strong"/>
    <w:basedOn w:val="Carpredefinitoparagrafo"/>
    <w:uiPriority w:val="22"/>
    <w:qFormat/>
    <w:rsid w:val="00D77AA8"/>
    <w:rPr>
      <w:b/>
      <w:bCs/>
    </w:rPr>
  </w:style>
  <w:style w:type="paragraph" w:customStyle="1" w:styleId="cust-dettaglio-firma1">
    <w:name w:val="cust-dettaglio-firma1"/>
    <w:basedOn w:val="Normale"/>
    <w:rsid w:val="00D77AA8"/>
    <w:pPr>
      <w:spacing w:before="100" w:beforeAutospacing="1" w:after="225" w:line="360" w:lineRule="auto"/>
      <w:jc w:val="right"/>
    </w:pPr>
    <w:rPr>
      <w:rFonts w:ascii="Times New Roman" w:eastAsia="Times New Roman" w:hAnsi="Times New Roman" w:cs="Times New Roman"/>
      <w:sz w:val="20"/>
      <w:szCs w:val="20"/>
      <w:lang w:eastAsia="it-IT"/>
    </w:rPr>
  </w:style>
  <w:style w:type="paragraph" w:customStyle="1" w:styleId="Pa22">
    <w:name w:val="Pa22"/>
    <w:basedOn w:val="Default"/>
    <w:next w:val="Default"/>
    <w:uiPriority w:val="99"/>
    <w:rsid w:val="00D77AA8"/>
    <w:pPr>
      <w:spacing w:line="154" w:lineRule="atLeast"/>
    </w:pPr>
    <w:rPr>
      <w:rFonts w:cstheme="minorBidi"/>
      <w:color w:val="auto"/>
    </w:rPr>
  </w:style>
  <w:style w:type="paragraph" w:customStyle="1" w:styleId="Pa33">
    <w:name w:val="Pa33"/>
    <w:basedOn w:val="Default"/>
    <w:next w:val="Default"/>
    <w:uiPriority w:val="99"/>
    <w:rsid w:val="00D77AA8"/>
    <w:pPr>
      <w:spacing w:line="154" w:lineRule="atLeast"/>
    </w:pPr>
    <w:rPr>
      <w:rFonts w:cstheme="minorBidi"/>
      <w:color w:val="auto"/>
    </w:rPr>
  </w:style>
  <w:style w:type="paragraph" w:customStyle="1" w:styleId="Pa27">
    <w:name w:val="Pa27"/>
    <w:basedOn w:val="Default"/>
    <w:next w:val="Default"/>
    <w:uiPriority w:val="99"/>
    <w:rsid w:val="00D77AA8"/>
    <w:pPr>
      <w:spacing w:line="154" w:lineRule="atLeast"/>
    </w:pPr>
    <w:rPr>
      <w:rFonts w:cstheme="minorBidi"/>
      <w:color w:val="auto"/>
    </w:rPr>
  </w:style>
  <w:style w:type="paragraph" w:customStyle="1" w:styleId="Pa0">
    <w:name w:val="Pa0"/>
    <w:basedOn w:val="Default"/>
    <w:next w:val="Default"/>
    <w:uiPriority w:val="99"/>
    <w:rsid w:val="00D77AA8"/>
    <w:pPr>
      <w:spacing w:line="241" w:lineRule="atLeast"/>
    </w:pPr>
    <w:rPr>
      <w:rFonts w:ascii="Times New Roman" w:hAnsi="Times New Roman" w:cs="Times New Roman"/>
      <w:color w:val="auto"/>
    </w:rPr>
  </w:style>
  <w:style w:type="character" w:customStyle="1" w:styleId="A0">
    <w:name w:val="A0"/>
    <w:uiPriority w:val="99"/>
    <w:rsid w:val="00D77AA8"/>
    <w:rPr>
      <w:b/>
      <w:bCs/>
      <w:color w:val="000000"/>
      <w:sz w:val="20"/>
      <w:szCs w:val="20"/>
    </w:rPr>
  </w:style>
  <w:style w:type="paragraph" w:customStyle="1" w:styleId="Pa3">
    <w:name w:val="Pa3"/>
    <w:basedOn w:val="Default"/>
    <w:next w:val="Default"/>
    <w:uiPriority w:val="99"/>
    <w:rsid w:val="00D77AA8"/>
    <w:pPr>
      <w:spacing w:line="241" w:lineRule="atLeast"/>
    </w:pPr>
    <w:rPr>
      <w:rFonts w:ascii="Times New Roman" w:hAnsi="Times New Roman" w:cs="Times New Roman"/>
      <w:color w:val="auto"/>
    </w:rPr>
  </w:style>
  <w:style w:type="paragraph" w:customStyle="1" w:styleId="Pa7">
    <w:name w:val="Pa7"/>
    <w:basedOn w:val="Default"/>
    <w:next w:val="Default"/>
    <w:uiPriority w:val="99"/>
    <w:rsid w:val="00D77AA8"/>
    <w:pPr>
      <w:spacing w:line="201" w:lineRule="atLeast"/>
    </w:pPr>
    <w:rPr>
      <w:rFonts w:ascii="Times New Roman" w:hAnsi="Times New Roman" w:cs="Times New Roman"/>
      <w:color w:val="auto"/>
    </w:rPr>
  </w:style>
  <w:style w:type="paragraph" w:customStyle="1" w:styleId="Pa6">
    <w:name w:val="Pa6"/>
    <w:basedOn w:val="Default"/>
    <w:next w:val="Default"/>
    <w:uiPriority w:val="99"/>
    <w:rsid w:val="00D77AA8"/>
    <w:pPr>
      <w:spacing w:line="201" w:lineRule="atLeast"/>
    </w:pPr>
    <w:rPr>
      <w:rFonts w:ascii="Times New Roman" w:hAnsi="Times New Roman" w:cs="Times New Roman"/>
      <w:color w:val="auto"/>
    </w:rPr>
  </w:style>
  <w:style w:type="paragraph" w:customStyle="1" w:styleId="Pa05">
    <w:name w:val="Pa0_5"/>
    <w:basedOn w:val="Default"/>
    <w:next w:val="Default"/>
    <w:uiPriority w:val="99"/>
    <w:rsid w:val="00D77AA8"/>
    <w:pPr>
      <w:spacing w:line="221" w:lineRule="atLeast"/>
    </w:pPr>
    <w:rPr>
      <w:rFonts w:ascii="Calibri" w:hAnsi="Calibri" w:cstheme="minorBidi"/>
      <w:color w:val="auto"/>
    </w:rPr>
  </w:style>
  <w:style w:type="character" w:customStyle="1" w:styleId="A15">
    <w:name w:val="A1_5"/>
    <w:uiPriority w:val="99"/>
    <w:rsid w:val="00D77AA8"/>
    <w:rPr>
      <w:rFonts w:cs="Calibri"/>
      <w:color w:val="000000"/>
    </w:rPr>
  </w:style>
  <w:style w:type="paragraph" w:customStyle="1" w:styleId="Pa25">
    <w:name w:val="Pa2_5"/>
    <w:basedOn w:val="Default"/>
    <w:next w:val="Default"/>
    <w:uiPriority w:val="99"/>
    <w:rsid w:val="00D77AA8"/>
    <w:pPr>
      <w:spacing w:line="221" w:lineRule="atLeast"/>
    </w:pPr>
    <w:rPr>
      <w:rFonts w:ascii="Calibri" w:hAnsi="Calibri" w:cstheme="minorBidi"/>
      <w:color w:val="auto"/>
    </w:rPr>
  </w:style>
  <w:style w:type="paragraph" w:customStyle="1" w:styleId="Pa35">
    <w:name w:val="Pa3_5"/>
    <w:basedOn w:val="Default"/>
    <w:next w:val="Default"/>
    <w:uiPriority w:val="99"/>
    <w:rsid w:val="00D77AA8"/>
    <w:pPr>
      <w:spacing w:line="221" w:lineRule="atLeast"/>
    </w:pPr>
    <w:rPr>
      <w:rFonts w:ascii="Calibri" w:hAnsi="Calibri" w:cstheme="minorBidi"/>
      <w:color w:val="auto"/>
    </w:rPr>
  </w:style>
  <w:style w:type="paragraph" w:customStyle="1" w:styleId="Pa45">
    <w:name w:val="Pa4_5"/>
    <w:basedOn w:val="Default"/>
    <w:next w:val="Default"/>
    <w:uiPriority w:val="99"/>
    <w:rsid w:val="00D77AA8"/>
    <w:pPr>
      <w:spacing w:line="221" w:lineRule="atLeast"/>
    </w:pPr>
    <w:rPr>
      <w:rFonts w:ascii="Calibri" w:hAnsi="Calibri" w:cstheme="minorBidi"/>
      <w:color w:val="auto"/>
    </w:rPr>
  </w:style>
  <w:style w:type="paragraph" w:customStyle="1" w:styleId="Pa55">
    <w:name w:val="Pa5_5"/>
    <w:basedOn w:val="Default"/>
    <w:next w:val="Default"/>
    <w:uiPriority w:val="99"/>
    <w:rsid w:val="00D77AA8"/>
    <w:pPr>
      <w:spacing w:line="221" w:lineRule="atLeast"/>
    </w:pPr>
    <w:rPr>
      <w:rFonts w:ascii="Calibri" w:hAnsi="Calibri" w:cstheme="minorBidi"/>
      <w:color w:val="auto"/>
    </w:rPr>
  </w:style>
  <w:style w:type="paragraph" w:customStyle="1" w:styleId="CM6">
    <w:name w:val="CM6"/>
    <w:basedOn w:val="Default"/>
    <w:next w:val="Default"/>
    <w:uiPriority w:val="99"/>
    <w:rsid w:val="00D77AA8"/>
    <w:pPr>
      <w:spacing w:line="283" w:lineRule="atLeast"/>
    </w:pPr>
    <w:rPr>
      <w:rFonts w:ascii="Calibri" w:hAnsi="Calibri" w:cstheme="minorBidi"/>
      <w:color w:val="auto"/>
    </w:rPr>
  </w:style>
  <w:style w:type="paragraph" w:customStyle="1" w:styleId="CM7">
    <w:name w:val="CM7"/>
    <w:basedOn w:val="Default"/>
    <w:next w:val="Default"/>
    <w:uiPriority w:val="99"/>
    <w:rsid w:val="00D77AA8"/>
    <w:pPr>
      <w:spacing w:line="283" w:lineRule="atLeast"/>
    </w:pPr>
    <w:rPr>
      <w:rFonts w:ascii="Calibri" w:hAnsi="Calibri" w:cstheme="minorBidi"/>
      <w:color w:val="auto"/>
    </w:rPr>
  </w:style>
  <w:style w:type="paragraph" w:customStyle="1" w:styleId="CM86">
    <w:name w:val="CM86"/>
    <w:basedOn w:val="Default"/>
    <w:next w:val="Default"/>
    <w:uiPriority w:val="99"/>
    <w:rsid w:val="00D77AA8"/>
    <w:rPr>
      <w:rFonts w:ascii="Calibri" w:hAnsi="Calibri" w:cstheme="minorBidi"/>
      <w:color w:val="auto"/>
    </w:rPr>
  </w:style>
  <w:style w:type="paragraph" w:customStyle="1" w:styleId="CM92">
    <w:name w:val="CM92"/>
    <w:basedOn w:val="Default"/>
    <w:next w:val="Default"/>
    <w:uiPriority w:val="99"/>
    <w:rsid w:val="00D77AA8"/>
    <w:rPr>
      <w:rFonts w:ascii="Calibri" w:hAnsi="Calibri" w:cstheme="minorBidi"/>
      <w:color w:val="auto"/>
    </w:rPr>
  </w:style>
  <w:style w:type="paragraph" w:customStyle="1" w:styleId="CM24">
    <w:name w:val="CM24"/>
    <w:basedOn w:val="Default"/>
    <w:next w:val="Default"/>
    <w:uiPriority w:val="99"/>
    <w:rsid w:val="00D77AA8"/>
    <w:pPr>
      <w:spacing w:line="283" w:lineRule="atLeast"/>
    </w:pPr>
    <w:rPr>
      <w:rFonts w:ascii="Calibri" w:hAnsi="Calibri" w:cstheme="minorBidi"/>
      <w:color w:val="auto"/>
    </w:rPr>
  </w:style>
  <w:style w:type="paragraph" w:customStyle="1" w:styleId="CM25">
    <w:name w:val="CM25"/>
    <w:basedOn w:val="Default"/>
    <w:next w:val="Default"/>
    <w:uiPriority w:val="99"/>
    <w:rsid w:val="00D77AA8"/>
    <w:pPr>
      <w:spacing w:line="283" w:lineRule="atLeast"/>
    </w:pPr>
    <w:rPr>
      <w:rFonts w:ascii="Calibri" w:hAnsi="Calibri" w:cstheme="minorBidi"/>
      <w:color w:val="auto"/>
    </w:rPr>
  </w:style>
  <w:style w:type="paragraph" w:customStyle="1" w:styleId="CM93">
    <w:name w:val="CM93"/>
    <w:basedOn w:val="Default"/>
    <w:next w:val="Default"/>
    <w:uiPriority w:val="99"/>
    <w:rsid w:val="00D77AA8"/>
    <w:rPr>
      <w:rFonts w:ascii="Calibri" w:hAnsi="Calibri" w:cstheme="minorBidi"/>
      <w:color w:val="auto"/>
    </w:rPr>
  </w:style>
  <w:style w:type="paragraph" w:customStyle="1" w:styleId="CM9">
    <w:name w:val="CM9"/>
    <w:basedOn w:val="Default"/>
    <w:next w:val="Default"/>
    <w:uiPriority w:val="99"/>
    <w:rsid w:val="00D77AA8"/>
    <w:pPr>
      <w:spacing w:line="286" w:lineRule="atLeast"/>
    </w:pPr>
    <w:rPr>
      <w:rFonts w:ascii="Calibri" w:hAnsi="Calibri" w:cstheme="minorBidi"/>
      <w:color w:val="auto"/>
    </w:rPr>
  </w:style>
  <w:style w:type="paragraph" w:customStyle="1" w:styleId="CM26">
    <w:name w:val="CM26"/>
    <w:basedOn w:val="Default"/>
    <w:next w:val="Default"/>
    <w:uiPriority w:val="99"/>
    <w:rsid w:val="00D77AA8"/>
    <w:pPr>
      <w:spacing w:line="288" w:lineRule="atLeast"/>
    </w:pPr>
    <w:rPr>
      <w:rFonts w:ascii="Calibri" w:hAnsi="Calibri" w:cstheme="minorBidi"/>
      <w:color w:val="auto"/>
    </w:rPr>
  </w:style>
  <w:style w:type="paragraph" w:customStyle="1" w:styleId="CM27">
    <w:name w:val="CM27"/>
    <w:basedOn w:val="Default"/>
    <w:next w:val="Default"/>
    <w:uiPriority w:val="99"/>
    <w:rsid w:val="00D77AA8"/>
    <w:pPr>
      <w:spacing w:line="286" w:lineRule="atLeast"/>
    </w:pPr>
    <w:rPr>
      <w:rFonts w:ascii="Calibri" w:hAnsi="Calibri" w:cstheme="minorBidi"/>
      <w:color w:val="auto"/>
    </w:rPr>
  </w:style>
  <w:style w:type="paragraph" w:customStyle="1" w:styleId="CM91">
    <w:name w:val="CM91"/>
    <w:basedOn w:val="Default"/>
    <w:next w:val="Default"/>
    <w:uiPriority w:val="99"/>
    <w:rsid w:val="00D77AA8"/>
    <w:rPr>
      <w:rFonts w:ascii="Calibri" w:hAnsi="Calibri" w:cstheme="minorBidi"/>
      <w:color w:val="auto"/>
    </w:rPr>
  </w:style>
  <w:style w:type="paragraph" w:customStyle="1" w:styleId="CM96">
    <w:name w:val="CM96"/>
    <w:basedOn w:val="Default"/>
    <w:next w:val="Default"/>
    <w:uiPriority w:val="99"/>
    <w:rsid w:val="00D77AA8"/>
    <w:rPr>
      <w:rFonts w:ascii="Calibri" w:hAnsi="Calibri" w:cstheme="minorBidi"/>
      <w:color w:val="auto"/>
    </w:rPr>
  </w:style>
  <w:style w:type="paragraph" w:styleId="Intestazione">
    <w:name w:val="header"/>
    <w:basedOn w:val="Normale"/>
    <w:link w:val="IntestazioneCarattere"/>
    <w:uiPriority w:val="99"/>
    <w:unhideWhenUsed/>
    <w:rsid w:val="0043115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431157"/>
  </w:style>
  <w:style w:type="paragraph" w:styleId="Pidipagina">
    <w:name w:val="footer"/>
    <w:basedOn w:val="Normale"/>
    <w:link w:val="PidipaginaCarattere"/>
    <w:uiPriority w:val="99"/>
    <w:unhideWhenUsed/>
    <w:rsid w:val="0043115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431157"/>
  </w:style>
  <w:style w:type="paragraph" w:customStyle="1" w:styleId="cust-dettaglio-tipo-atto">
    <w:name w:val="cust-dettaglio-tipo-atto"/>
    <w:basedOn w:val="Normale"/>
    <w:rsid w:val="00EB0A54"/>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cust-dettaglio-tipo-atto-num-data">
    <w:name w:val="cust-dettaglio-tipo-atto-num-data"/>
    <w:basedOn w:val="Carpredefinitoparagrafo"/>
    <w:rsid w:val="00EB0A54"/>
  </w:style>
  <w:style w:type="paragraph" w:customStyle="1" w:styleId="cust-dettaglio-azione">
    <w:name w:val="cust-dettaglio-azione"/>
    <w:basedOn w:val="Normale"/>
    <w:rsid w:val="00EB0A54"/>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CM3">
    <w:name w:val="CM3"/>
    <w:basedOn w:val="Default"/>
    <w:next w:val="Default"/>
    <w:uiPriority w:val="99"/>
    <w:rsid w:val="002F2B62"/>
    <w:pPr>
      <w:spacing w:line="288" w:lineRule="atLeast"/>
    </w:pPr>
    <w:rPr>
      <w:rFonts w:ascii="Calibri" w:eastAsiaTheme="minorHAnsi" w:hAnsi="Calibri" w:cstheme="minorBidi"/>
      <w:color w:val="auto"/>
      <w:lang w:eastAsia="en-US"/>
    </w:rPr>
  </w:style>
  <w:style w:type="paragraph" w:customStyle="1" w:styleId="CM72">
    <w:name w:val="CM72"/>
    <w:basedOn w:val="Default"/>
    <w:next w:val="Default"/>
    <w:uiPriority w:val="99"/>
    <w:rsid w:val="002F2B62"/>
    <w:rPr>
      <w:rFonts w:ascii="Calibri" w:eastAsiaTheme="minorHAnsi" w:hAnsi="Calibri" w:cstheme="minorBidi"/>
      <w:color w:val="auto"/>
      <w:lang w:eastAsia="en-US"/>
    </w:rPr>
  </w:style>
  <w:style w:type="paragraph" w:customStyle="1" w:styleId="CM77">
    <w:name w:val="CM77"/>
    <w:basedOn w:val="Default"/>
    <w:next w:val="Default"/>
    <w:uiPriority w:val="99"/>
    <w:rsid w:val="002F2B62"/>
    <w:rPr>
      <w:rFonts w:ascii="Calibri" w:eastAsiaTheme="minorHAnsi" w:hAnsi="Calibri" w:cstheme="minorBidi"/>
      <w:color w:val="auto"/>
      <w:lang w:eastAsia="en-US"/>
    </w:rPr>
  </w:style>
  <w:style w:type="paragraph" w:customStyle="1" w:styleId="CM10">
    <w:name w:val="CM10"/>
    <w:basedOn w:val="Default"/>
    <w:next w:val="Default"/>
    <w:uiPriority w:val="99"/>
    <w:rsid w:val="002F2B62"/>
    <w:pPr>
      <w:spacing w:line="283" w:lineRule="atLeast"/>
    </w:pPr>
    <w:rPr>
      <w:rFonts w:ascii="Calibri" w:eastAsiaTheme="minorHAnsi" w:hAnsi="Calibri" w:cstheme="minorBidi"/>
      <w:color w:val="auto"/>
      <w:lang w:eastAsia="en-US"/>
    </w:rPr>
  </w:style>
  <w:style w:type="paragraph" w:customStyle="1" w:styleId="CM13">
    <w:name w:val="CM13"/>
    <w:basedOn w:val="Default"/>
    <w:next w:val="Default"/>
    <w:uiPriority w:val="99"/>
    <w:rsid w:val="002F2B62"/>
    <w:pPr>
      <w:spacing w:line="283" w:lineRule="atLeast"/>
    </w:pPr>
    <w:rPr>
      <w:rFonts w:ascii="Calibri" w:eastAsiaTheme="minorHAnsi" w:hAnsi="Calibri" w:cstheme="minorBidi"/>
      <w:color w:val="auto"/>
      <w:lang w:eastAsia="en-US"/>
    </w:rPr>
  </w:style>
  <w:style w:type="paragraph" w:customStyle="1" w:styleId="CM78">
    <w:name w:val="CM78"/>
    <w:basedOn w:val="Default"/>
    <w:next w:val="Default"/>
    <w:uiPriority w:val="99"/>
    <w:rsid w:val="002F2B62"/>
    <w:rPr>
      <w:rFonts w:ascii="Calibri" w:eastAsiaTheme="minorHAnsi" w:hAnsi="Calibri" w:cstheme="minorBidi"/>
      <w:color w:val="auto"/>
      <w:lang w:eastAsia="en-US"/>
    </w:rPr>
  </w:style>
  <w:style w:type="paragraph" w:customStyle="1" w:styleId="CM75">
    <w:name w:val="CM75"/>
    <w:basedOn w:val="Default"/>
    <w:next w:val="Default"/>
    <w:uiPriority w:val="99"/>
    <w:rsid w:val="002F2B62"/>
    <w:rPr>
      <w:rFonts w:ascii="Calibri" w:eastAsiaTheme="minorHAnsi" w:hAnsi="Calibri" w:cstheme="minorBidi"/>
      <w:color w:val="auto"/>
      <w:lang w:eastAsia="en-US"/>
    </w:rPr>
  </w:style>
  <w:style w:type="paragraph" w:customStyle="1" w:styleId="CM37">
    <w:name w:val="CM37"/>
    <w:basedOn w:val="Default"/>
    <w:next w:val="Default"/>
    <w:uiPriority w:val="99"/>
    <w:rsid w:val="002F2B62"/>
    <w:pPr>
      <w:spacing w:line="478" w:lineRule="atLeast"/>
    </w:pPr>
    <w:rPr>
      <w:rFonts w:ascii="Calibri" w:eastAsiaTheme="minorHAnsi" w:hAnsi="Calibri" w:cstheme="minorBidi"/>
      <w:color w:val="auto"/>
      <w:lang w:eastAsia="en-US"/>
    </w:rPr>
  </w:style>
  <w:style w:type="paragraph" w:customStyle="1" w:styleId="CM5">
    <w:name w:val="CM5"/>
    <w:basedOn w:val="Default"/>
    <w:next w:val="Default"/>
    <w:uiPriority w:val="99"/>
    <w:rsid w:val="002F2B62"/>
    <w:pPr>
      <w:spacing w:line="283" w:lineRule="atLeast"/>
    </w:pPr>
    <w:rPr>
      <w:rFonts w:ascii="Calibri" w:eastAsiaTheme="minorHAnsi" w:hAnsi="Calibri" w:cstheme="minorBidi"/>
      <w:color w:val="auto"/>
      <w:lang w:eastAsia="en-US"/>
    </w:rPr>
  </w:style>
  <w:style w:type="paragraph" w:customStyle="1" w:styleId="CM2">
    <w:name w:val="CM2"/>
    <w:basedOn w:val="Default"/>
    <w:next w:val="Default"/>
    <w:uiPriority w:val="99"/>
    <w:rsid w:val="002F2B62"/>
    <w:rPr>
      <w:rFonts w:ascii="Calibri" w:eastAsiaTheme="minorHAnsi" w:hAnsi="Calibri" w:cstheme="minorBidi"/>
      <w:color w:val="auto"/>
      <w:lang w:eastAsia="en-US"/>
    </w:rPr>
  </w:style>
  <w:style w:type="paragraph" w:customStyle="1" w:styleId="CM42">
    <w:name w:val="CM42"/>
    <w:basedOn w:val="Default"/>
    <w:next w:val="Default"/>
    <w:uiPriority w:val="99"/>
    <w:rsid w:val="002F2B62"/>
    <w:pPr>
      <w:spacing w:line="283" w:lineRule="atLeast"/>
    </w:pPr>
    <w:rPr>
      <w:rFonts w:ascii="Calibri" w:eastAsiaTheme="minorHAnsi" w:hAnsi="Calibri" w:cstheme="minorBidi"/>
      <w:color w:val="auto"/>
      <w:lang w:eastAsia="en-US"/>
    </w:rPr>
  </w:style>
  <w:style w:type="character" w:styleId="Enfasicorsivo">
    <w:name w:val="Emphasis"/>
    <w:basedOn w:val="Carpredefinitoparagrafo"/>
    <w:uiPriority w:val="20"/>
    <w:qFormat/>
    <w:rsid w:val="002B2313"/>
    <w:rPr>
      <w:i/>
      <w:iCs/>
    </w:rPr>
  </w:style>
  <w:style w:type="paragraph" w:customStyle="1" w:styleId="cust-dettaglio-materia">
    <w:name w:val="cust-dettaglio-materia"/>
    <w:basedOn w:val="Normale"/>
    <w:rsid w:val="00EE6659"/>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cust-dettaglio-prefisso-annessi">
    <w:name w:val="cust-dettaglio-prefisso-annessi"/>
    <w:basedOn w:val="Normale"/>
    <w:rsid w:val="00EE6659"/>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cust-dettaglio-titolo-atto">
    <w:name w:val="cust-dettaglio-titolo-atto"/>
    <w:basedOn w:val="Normale"/>
    <w:rsid w:val="006830C1"/>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emolo.i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ISTISSS.IT"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ontributosolidarieta@regione.lombardia.it" TargetMode="External"/><Relationship Id="rId5" Type="http://schemas.openxmlformats.org/officeDocument/2006/relationships/footnotes" Target="footnotes.xml"/><Relationship Id="rId10" Type="http://schemas.openxmlformats.org/officeDocument/2006/relationships/hyperlink" Target="mailto:inclusionesociale@regione.lazio.legalmail.it" TargetMode="External"/><Relationship Id="rId4" Type="http://schemas.openxmlformats.org/officeDocument/2006/relationships/webSettings" Target="webSettings.xml"/><Relationship Id="rId9" Type="http://schemas.openxmlformats.org/officeDocument/2006/relationships/hyperlink" Target="http://www.jemolo.it" TargetMode="External"/><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1728</TotalTime>
  <Pages>343</Pages>
  <Words>223930</Words>
  <Characters>1276402</Characters>
  <Application>Microsoft Office Word</Application>
  <DocSecurity>0</DocSecurity>
  <Lines>10636</Lines>
  <Paragraphs>2994</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1497338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164</cp:revision>
  <dcterms:created xsi:type="dcterms:W3CDTF">2019-08-21T09:34:00Z</dcterms:created>
  <dcterms:modified xsi:type="dcterms:W3CDTF">2019-09-02T12:48:00Z</dcterms:modified>
</cp:coreProperties>
</file>