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015" w:rsidRPr="005F235D" w:rsidRDefault="00DA5015" w:rsidP="00DA5015">
      <w:pPr>
        <w:jc w:val="center"/>
        <w:rPr>
          <w:b/>
          <w:sz w:val="28"/>
          <w:szCs w:val="28"/>
        </w:rPr>
      </w:pPr>
      <w:r w:rsidRPr="005F235D">
        <w:rPr>
          <w:b/>
          <w:sz w:val="28"/>
          <w:szCs w:val="28"/>
        </w:rPr>
        <w:t xml:space="preserve"> OSSERVAZIONI SU</w:t>
      </w:r>
      <w:r>
        <w:rPr>
          <w:b/>
          <w:sz w:val="28"/>
          <w:szCs w:val="28"/>
        </w:rPr>
        <w:t>LLA PROPOSTA DEL CO</w:t>
      </w:r>
      <w:r w:rsidR="00BA3AC5">
        <w:rPr>
          <w:b/>
          <w:sz w:val="28"/>
          <w:szCs w:val="28"/>
        </w:rPr>
        <w:t>R</w:t>
      </w:r>
      <w:bookmarkStart w:id="0" w:name="_GoBack"/>
      <w:bookmarkEnd w:id="0"/>
      <w:r>
        <w:rPr>
          <w:b/>
          <w:sz w:val="28"/>
          <w:szCs w:val="28"/>
        </w:rPr>
        <w:t>SO DI LAUREA PER GLI ASSISTENTI SOCIALI PREVISTA IN CINQUE ANNI</w:t>
      </w:r>
    </w:p>
    <w:p w:rsidR="00DA5015" w:rsidRDefault="00DA5015" w:rsidP="00DA5015">
      <w:pPr>
        <w:pStyle w:val="Default"/>
        <w:jc w:val="both"/>
      </w:pPr>
    </w:p>
    <w:p w:rsidR="00DA5015" w:rsidRDefault="00DA5015" w:rsidP="00DA5015">
      <w:pPr>
        <w:jc w:val="both"/>
        <w:rPr>
          <w:sz w:val="27"/>
          <w:szCs w:val="27"/>
        </w:rPr>
      </w:pPr>
      <w:proofErr w:type="gramStart"/>
      <w:r>
        <w:rPr>
          <w:sz w:val="27"/>
          <w:szCs w:val="27"/>
        </w:rPr>
        <w:t>di</w:t>
      </w:r>
      <w:proofErr w:type="gramEnd"/>
      <w:r>
        <w:rPr>
          <w:sz w:val="27"/>
          <w:szCs w:val="27"/>
        </w:rPr>
        <w:t xml:space="preserve"> Luigi Colombini</w:t>
      </w:r>
    </w:p>
    <w:p w:rsidR="00DA5015" w:rsidRDefault="00DA5015" w:rsidP="00DA5015">
      <w:pPr>
        <w:jc w:val="both"/>
        <w:rPr>
          <w:b/>
          <w:sz w:val="20"/>
          <w:szCs w:val="20"/>
        </w:rPr>
      </w:pPr>
      <w:r w:rsidRPr="008121BC">
        <w:rPr>
          <w:b/>
          <w:sz w:val="20"/>
          <w:szCs w:val="20"/>
        </w:rPr>
        <w:t xml:space="preserve">Già Docente di legislazione ed organizzazione dei servizi sociali – Università statale UNITRE – Roma – Corsi di </w:t>
      </w:r>
      <w:proofErr w:type="gramStart"/>
      <w:r w:rsidRPr="008121BC">
        <w:rPr>
          <w:b/>
          <w:sz w:val="20"/>
          <w:szCs w:val="20"/>
        </w:rPr>
        <w:t>laurea  in</w:t>
      </w:r>
      <w:proofErr w:type="gramEnd"/>
      <w:r w:rsidRPr="008121BC">
        <w:rPr>
          <w:b/>
          <w:sz w:val="20"/>
          <w:szCs w:val="20"/>
        </w:rPr>
        <w:t xml:space="preserve"> DISSAIFE e MASSIFE</w:t>
      </w:r>
    </w:p>
    <w:p w:rsidR="00DA5015" w:rsidRPr="008121BC" w:rsidRDefault="00DA5015" w:rsidP="00DA5015">
      <w:pPr>
        <w:jc w:val="both"/>
        <w:rPr>
          <w:b/>
          <w:sz w:val="20"/>
          <w:szCs w:val="20"/>
        </w:rPr>
      </w:pPr>
      <w:r>
        <w:rPr>
          <w:b/>
          <w:sz w:val="20"/>
          <w:szCs w:val="20"/>
        </w:rPr>
        <w:t>Collaboratore SUNAS Redattore di OSSERVATORIO LEGISLATIVO SOCIO-SANITARIO SUNAS</w:t>
      </w:r>
    </w:p>
    <w:p w:rsidR="00DA5015" w:rsidRDefault="00DA5015" w:rsidP="00DA5015">
      <w:pPr>
        <w:jc w:val="both"/>
        <w:rPr>
          <w:sz w:val="27"/>
          <w:szCs w:val="27"/>
        </w:rPr>
      </w:pPr>
    </w:p>
    <w:p w:rsidR="00DA5015" w:rsidRDefault="00DA5015" w:rsidP="00DA5015">
      <w:pPr>
        <w:jc w:val="both"/>
        <w:rPr>
          <w:sz w:val="27"/>
          <w:szCs w:val="27"/>
        </w:rPr>
      </w:pPr>
    </w:p>
    <w:p w:rsidR="00DA5015" w:rsidRDefault="00DA5015" w:rsidP="00DA5015">
      <w:pPr>
        <w:jc w:val="both"/>
        <w:rPr>
          <w:sz w:val="27"/>
          <w:szCs w:val="27"/>
        </w:rPr>
      </w:pPr>
      <w:r>
        <w:rPr>
          <w:sz w:val="27"/>
          <w:szCs w:val="27"/>
        </w:rPr>
        <w:t>PREMESSA</w:t>
      </w:r>
    </w:p>
    <w:p w:rsidR="00DA5015" w:rsidRDefault="00DA5015" w:rsidP="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jc w:val="both"/>
      </w:pPr>
      <w:r>
        <w:t xml:space="preserve">Si è avuto sentore, </w:t>
      </w:r>
      <w:proofErr w:type="gramStart"/>
      <w:r>
        <w:t>senza  precise</w:t>
      </w:r>
      <w:proofErr w:type="gramEnd"/>
      <w:r>
        <w:t xml:space="preserve"> comunicazioni ufficiali agli iscritti all’Ordine degli Assistenti Sociali, di una paventata riforma del ciclo universitario per gli assistenti sociali che dovrebbero affrontare un corso di laurea di durata quinquennale per ottenere il titolo di assistente sociale, e non già tre anni più due per  la laurea magistrale.</w:t>
      </w:r>
    </w:p>
    <w:p w:rsidR="00DA5015" w:rsidRPr="0039162E" w:rsidRDefault="00DA5015" w:rsidP="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jc w:val="both"/>
        <w:rPr>
          <w:color w:val="000000"/>
        </w:rPr>
      </w:pPr>
      <w:r>
        <w:t xml:space="preserve">Al riguardo faccio presente che solo  </w:t>
      </w:r>
      <w:r w:rsidRPr="0039162E">
        <w:t xml:space="preserve"> alcune Regioni (Campania, Puglia) hanno definito il profilo professionale dell’assistente sociale in relazione alla definizione del Repertorio delle professioni, pur in una situazione di notevole difformità non essendo stato ancora onorato l’art. 12 della legge n, 328/2000 - </w:t>
      </w:r>
      <w:r w:rsidRPr="0039162E">
        <w:rPr>
          <w:color w:val="000000"/>
        </w:rPr>
        <w:t xml:space="preserve">(Figure professionali sociali) – </w:t>
      </w:r>
    </w:p>
    <w:p w:rsidR="00DA5015" w:rsidRDefault="00DA5015" w:rsidP="00DA5015">
      <w:pPr>
        <w:pStyle w:val="PreformattatoHTML"/>
        <w:spacing w:line="20" w:lineRule="atLeast"/>
        <w:jc w:val="both"/>
        <w:rPr>
          <w:rFonts w:ascii="Times New Roman" w:hAnsi="Times New Roman" w:cs="Times New Roman"/>
          <w:sz w:val="24"/>
          <w:szCs w:val="24"/>
        </w:rPr>
      </w:pPr>
      <w:proofErr w:type="gramStart"/>
      <w:r w:rsidRPr="0039162E">
        <w:rPr>
          <w:rFonts w:ascii="Times New Roman" w:hAnsi="Times New Roman" w:cs="Times New Roman"/>
          <w:color w:val="000000"/>
          <w:sz w:val="24"/>
          <w:szCs w:val="24"/>
        </w:rPr>
        <w:t>Inoltre</w:t>
      </w:r>
      <w:r>
        <w:rPr>
          <w:rFonts w:ascii="Times New Roman" w:hAnsi="Times New Roman" w:cs="Times New Roman"/>
          <w:color w:val="000000"/>
          <w:sz w:val="24"/>
          <w:szCs w:val="24"/>
        </w:rPr>
        <w:t xml:space="preserve">, </w:t>
      </w:r>
      <w:r w:rsidRPr="0039162E">
        <w:rPr>
          <w:rFonts w:ascii="Times New Roman" w:hAnsi="Times New Roman" w:cs="Times New Roman"/>
          <w:color w:val="000000"/>
          <w:sz w:val="24"/>
          <w:szCs w:val="24"/>
        </w:rPr>
        <w:t xml:space="preserve"> nel</w:t>
      </w:r>
      <w:proofErr w:type="gramEnd"/>
      <w:r w:rsidRPr="0039162E">
        <w:rPr>
          <w:rFonts w:ascii="Times New Roman" w:hAnsi="Times New Roman" w:cs="Times New Roman"/>
          <w:color w:val="000000"/>
          <w:sz w:val="24"/>
          <w:szCs w:val="24"/>
        </w:rPr>
        <w:t xml:space="preserve"> contesto delle proprie leggi regionali relative  al sistema regionale degli interventi e dei servizi sociali, solo </w:t>
      </w:r>
      <w:smartTag w:uri="urn:schemas-microsoft-com:office:smarttags" w:element="PersonName">
        <w:smartTagPr>
          <w:attr w:name="ProductID" w:val="la Regione Piemonte"/>
        </w:smartTagPr>
        <w:r w:rsidRPr="0039162E">
          <w:rPr>
            <w:rFonts w:ascii="Times New Roman" w:hAnsi="Times New Roman" w:cs="Times New Roman"/>
            <w:color w:val="000000"/>
            <w:sz w:val="24"/>
            <w:szCs w:val="24"/>
          </w:rPr>
          <w:t>la Regione Piemonte</w:t>
        </w:r>
      </w:smartTag>
      <w:r w:rsidRPr="0039162E">
        <w:rPr>
          <w:rFonts w:ascii="Times New Roman" w:hAnsi="Times New Roman" w:cs="Times New Roman"/>
          <w:color w:val="000000"/>
          <w:sz w:val="24"/>
          <w:szCs w:val="24"/>
        </w:rPr>
        <w:t xml:space="preserve">  ha definito le professioni sociali, fra cui l’assistente sociale, e il D</w:t>
      </w:r>
      <w:r w:rsidRPr="0039162E">
        <w:rPr>
          <w:rFonts w:ascii="Times New Roman" w:hAnsi="Times New Roman" w:cs="Times New Roman"/>
          <w:sz w:val="24"/>
          <w:szCs w:val="24"/>
        </w:rPr>
        <w:t>irettore dei servizi sociali, a cui accede l’assistente sociale in possesso del diploma di laurea o dell'iscrizione alla sezione A dell'albo professionale dell'ordine degli assistenti sociali.</w:t>
      </w:r>
    </w:p>
    <w:p w:rsidR="00DA5015" w:rsidRDefault="00DA5015" w:rsidP="00DA5015">
      <w:pPr>
        <w:pStyle w:val="PreformattatoHTML"/>
        <w:spacing w:line="20" w:lineRule="atLeast"/>
        <w:jc w:val="both"/>
        <w:rPr>
          <w:rFonts w:ascii="Times New Roman" w:hAnsi="Times New Roman" w:cs="Times New Roman"/>
          <w:sz w:val="24"/>
          <w:szCs w:val="24"/>
        </w:rPr>
      </w:pPr>
      <w:r>
        <w:rPr>
          <w:rFonts w:ascii="Times New Roman" w:hAnsi="Times New Roman" w:cs="Times New Roman"/>
          <w:sz w:val="24"/>
          <w:szCs w:val="24"/>
        </w:rPr>
        <w:t xml:space="preserve">A fronte di una situazione di sostanziale indeterminazione complessiva, si ritiene comunque opportuno richiamare le peculiarità professionali dell’assistente sociale che sono suffragate da </w:t>
      </w:r>
      <w:proofErr w:type="gramStart"/>
      <w:r>
        <w:rPr>
          <w:rFonts w:ascii="Times New Roman" w:hAnsi="Times New Roman" w:cs="Times New Roman"/>
          <w:sz w:val="24"/>
          <w:szCs w:val="24"/>
        </w:rPr>
        <w:t>specifiche</w:t>
      </w:r>
      <w:proofErr w:type="gramEnd"/>
      <w:r>
        <w:rPr>
          <w:rFonts w:ascii="Times New Roman" w:hAnsi="Times New Roman" w:cs="Times New Roman"/>
          <w:sz w:val="24"/>
          <w:szCs w:val="24"/>
        </w:rPr>
        <w:t xml:space="preserve"> e vigenti disposizioni di legge.</w:t>
      </w:r>
    </w:p>
    <w:p w:rsidR="00DA5015" w:rsidRPr="002F45ED" w:rsidRDefault="00DA5015" w:rsidP="00DA5015">
      <w:pPr>
        <w:pStyle w:val="PreformattatoHTML"/>
        <w:spacing w:line="20" w:lineRule="atLeast"/>
        <w:jc w:val="both"/>
        <w:rPr>
          <w:rFonts w:ascii="Times New Roman" w:hAnsi="Times New Roman" w:cs="Times New Roman"/>
          <w:sz w:val="24"/>
          <w:szCs w:val="24"/>
          <w:u w:val="single"/>
        </w:rPr>
      </w:pPr>
      <w:proofErr w:type="gramStart"/>
      <w:r w:rsidRPr="002F45ED">
        <w:rPr>
          <w:rFonts w:ascii="Times New Roman" w:hAnsi="Times New Roman" w:cs="Times New Roman"/>
          <w:sz w:val="24"/>
          <w:szCs w:val="24"/>
          <w:u w:val="single"/>
        </w:rPr>
        <w:t>I  livelli</w:t>
      </w:r>
      <w:proofErr w:type="gramEnd"/>
      <w:r w:rsidRPr="002F45ED">
        <w:rPr>
          <w:rFonts w:ascii="Times New Roman" w:hAnsi="Times New Roman" w:cs="Times New Roman"/>
          <w:sz w:val="24"/>
          <w:szCs w:val="24"/>
          <w:u w:val="single"/>
        </w:rPr>
        <w:t xml:space="preserve"> essenziali assistenziali</w:t>
      </w:r>
      <w:r>
        <w:rPr>
          <w:rFonts w:ascii="Times New Roman" w:hAnsi="Times New Roman" w:cs="Times New Roman"/>
          <w:sz w:val="24"/>
          <w:szCs w:val="24"/>
          <w:u w:val="single"/>
        </w:rPr>
        <w:t xml:space="preserve"> e l’assistente sociale</w:t>
      </w:r>
    </w:p>
    <w:p w:rsidR="00DA5015" w:rsidRDefault="00DA5015" w:rsidP="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jc w:val="both"/>
      </w:pPr>
      <w:r w:rsidRPr="0039162E">
        <w:t>L’art. 22 della legge n. 328/00 individua quale primo livello</w:t>
      </w:r>
      <w:r>
        <w:t xml:space="preserve">: </w:t>
      </w:r>
    </w:p>
    <w:p w:rsidR="00DA5015" w:rsidRDefault="00DA5015" w:rsidP="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jc w:val="both"/>
        <w:rPr>
          <w:color w:val="000000"/>
        </w:rPr>
      </w:pPr>
      <w:r w:rsidRPr="0039162E">
        <w:t xml:space="preserve"> </w:t>
      </w:r>
      <w:r w:rsidRPr="0039162E">
        <w:rPr>
          <w:color w:val="000000"/>
        </w:rPr>
        <w:t xml:space="preserve">a)   servizio   </w:t>
      </w:r>
      <w:proofErr w:type="gramStart"/>
      <w:r w:rsidRPr="0039162E">
        <w:rPr>
          <w:color w:val="000000"/>
        </w:rPr>
        <w:t>sociale  professionale</w:t>
      </w:r>
      <w:proofErr w:type="gramEnd"/>
      <w:r w:rsidRPr="0039162E">
        <w:rPr>
          <w:color w:val="000000"/>
        </w:rPr>
        <w:t xml:space="preserve">  </w:t>
      </w:r>
      <w:r w:rsidRPr="00DA5015">
        <w:rPr>
          <w:color w:val="000000"/>
          <w:u w:val="single"/>
        </w:rPr>
        <w:t>e</w:t>
      </w:r>
      <w:r w:rsidRPr="0039162E">
        <w:rPr>
          <w:color w:val="000000"/>
        </w:rPr>
        <w:t xml:space="preserve">  segretariato  sociale  per informazione e consulenza al singolo e ai nuclei familiari</w:t>
      </w:r>
      <w:r>
        <w:rPr>
          <w:color w:val="000000"/>
        </w:rPr>
        <w:t>.</w:t>
      </w:r>
    </w:p>
    <w:p w:rsidR="00DA5015" w:rsidRDefault="00DA5015" w:rsidP="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jc w:val="both"/>
        <w:rPr>
          <w:color w:val="000000"/>
        </w:rPr>
      </w:pPr>
      <w:r>
        <w:rPr>
          <w:color w:val="000000"/>
        </w:rPr>
        <w:t>E’ evidente l’assoluta endiadi professionale ed esclusiva, propria dell’assistente sociale, a svolgere sia l’attività di segretariato sociale che il servizio sociale professionale.</w:t>
      </w:r>
    </w:p>
    <w:p w:rsidR="00DA5015" w:rsidRPr="002F45ED" w:rsidRDefault="00DA5015" w:rsidP="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jc w:val="both"/>
        <w:rPr>
          <w:color w:val="000000"/>
        </w:rPr>
      </w:pPr>
      <w:r>
        <w:rPr>
          <w:color w:val="000000"/>
        </w:rPr>
        <w:t xml:space="preserve">Tale endiadi è confermata dal DPR 3 maggio 2001 recante “Piano nazionale degli interventi e dei servizi sociali 2001-2003, che costituisce a tutt’oggi, dopo tredici anni, l’unico riferimento </w:t>
      </w:r>
      <w:r w:rsidRPr="002F45ED">
        <w:rPr>
          <w:color w:val="000000"/>
        </w:rPr>
        <w:t>normativo adeguato ed efficace per individuare sia la funzione del Segretariato sociale.</w:t>
      </w:r>
    </w:p>
    <w:p w:rsidR="00DA5015" w:rsidRDefault="00DA5015" w:rsidP="00DA5015">
      <w:pPr>
        <w:pStyle w:val="CM1"/>
        <w:jc w:val="both"/>
        <w:rPr>
          <w:rFonts w:ascii="Times New Roman" w:hAnsi="Times New Roman"/>
          <w:color w:val="000000"/>
        </w:rPr>
      </w:pPr>
      <w:r w:rsidRPr="002F45ED">
        <w:rPr>
          <w:rFonts w:ascii="Times New Roman" w:hAnsi="Times New Roman"/>
        </w:rPr>
        <w:t xml:space="preserve">La funzione di </w:t>
      </w:r>
      <w:r w:rsidRPr="008121BC">
        <w:rPr>
          <w:rFonts w:ascii="Times New Roman" w:hAnsi="Times New Roman"/>
          <w:bCs/>
        </w:rPr>
        <w:t>segretariato sociale</w:t>
      </w:r>
      <w:r w:rsidRPr="002F45ED">
        <w:rPr>
          <w:rFonts w:ascii="Times New Roman" w:hAnsi="Times New Roman"/>
          <w:b/>
          <w:bCs/>
        </w:rPr>
        <w:t xml:space="preserve"> </w:t>
      </w:r>
      <w:r w:rsidRPr="002F45ED">
        <w:rPr>
          <w:rFonts w:ascii="Times New Roman" w:hAnsi="Times New Roman"/>
        </w:rPr>
        <w:t xml:space="preserve">(art. 22, comma 4 </w:t>
      </w:r>
      <w:proofErr w:type="spellStart"/>
      <w:r w:rsidRPr="002F45ED">
        <w:rPr>
          <w:rFonts w:ascii="Times New Roman" w:hAnsi="Times New Roman"/>
        </w:rPr>
        <w:t>lett</w:t>
      </w:r>
      <w:proofErr w:type="spellEnd"/>
      <w:r w:rsidRPr="002F45ED">
        <w:rPr>
          <w:rFonts w:ascii="Times New Roman" w:hAnsi="Times New Roman"/>
        </w:rPr>
        <w:t xml:space="preserve">. a) risponde all’esigenza primaria dei cittadini </w:t>
      </w:r>
      <w:proofErr w:type="gramStart"/>
      <w:r w:rsidRPr="002F45ED">
        <w:rPr>
          <w:rFonts w:ascii="Times New Roman" w:hAnsi="Times New Roman"/>
        </w:rPr>
        <w:t>di:-</w:t>
      </w:r>
      <w:proofErr w:type="gramEnd"/>
      <w:r w:rsidRPr="002F45ED">
        <w:rPr>
          <w:rFonts w:ascii="Times New Roman" w:hAnsi="Times New Roman"/>
        </w:rPr>
        <w:t xml:space="preserve">avere informazioni complete in merito ai diritti, alle prestazioni, alle modalità di accesso ai servizi, -conoscere le risorse sociali disponibili nel territorio in cui vivono, utili per </w:t>
      </w:r>
      <w:r w:rsidRPr="002F45ED">
        <w:rPr>
          <w:rFonts w:ascii="Times New Roman" w:hAnsi="Times New Roman"/>
          <w:color w:val="000000"/>
        </w:rPr>
        <w:t xml:space="preserve">affrontare esigenze personali e familiari nelle diverse fasi della vita. In particolare l’attività di segretariato sociale è finalizzata a garantire: unitarietà di accesso, capacità di ascolto, funzione di orientamento, funzione di filtro, funzioni di osservatorio e monitoraggio dei bisogni e delle risorse, funzione di trasparenza e fiducia nei rapporti tra cittadino e servizi, soprattutto nella gestione dei tempi di attesa nell’accesso ai servizi. </w:t>
      </w:r>
    </w:p>
    <w:p w:rsidR="00DA5015" w:rsidRPr="002F45ED" w:rsidRDefault="00DA5015" w:rsidP="00DA5015">
      <w:pPr>
        <w:pStyle w:val="CM1"/>
        <w:jc w:val="both"/>
        <w:rPr>
          <w:rFonts w:ascii="Times New Roman" w:hAnsi="Times New Roman"/>
          <w:color w:val="000000"/>
        </w:rPr>
      </w:pPr>
      <w:r w:rsidRPr="002F45ED">
        <w:rPr>
          <w:rFonts w:ascii="Times New Roman" w:hAnsi="Times New Roman"/>
          <w:color w:val="000000"/>
        </w:rPr>
        <w:t xml:space="preserve">Sul piano organizzativo occorre quindi istituire in ogni ambito territoriale, definito ai sensi degli </w:t>
      </w:r>
    </w:p>
    <w:p w:rsidR="00DA5015" w:rsidRDefault="00DA5015" w:rsidP="00DA5015">
      <w:pPr>
        <w:pStyle w:val="CM23"/>
        <w:spacing w:line="256" w:lineRule="atLeast"/>
        <w:jc w:val="both"/>
        <w:rPr>
          <w:rFonts w:ascii="Times New Roman" w:hAnsi="Times New Roman"/>
          <w:color w:val="000000"/>
        </w:rPr>
      </w:pPr>
      <w:proofErr w:type="gramStart"/>
      <w:r w:rsidRPr="002F45ED">
        <w:rPr>
          <w:rFonts w:ascii="Times New Roman" w:hAnsi="Times New Roman"/>
          <w:color w:val="000000"/>
        </w:rPr>
        <w:t>articoli</w:t>
      </w:r>
      <w:proofErr w:type="gramEnd"/>
      <w:r w:rsidRPr="002F45ED">
        <w:rPr>
          <w:rFonts w:ascii="Times New Roman" w:hAnsi="Times New Roman"/>
          <w:color w:val="000000"/>
        </w:rPr>
        <w:t xml:space="preserve"> 6 e 8, comma 3 lettera a) della legge n. 328/00, una “</w:t>
      </w:r>
      <w:r w:rsidRPr="008121BC">
        <w:rPr>
          <w:rFonts w:ascii="Times New Roman" w:hAnsi="Times New Roman"/>
          <w:bCs/>
          <w:color w:val="000000"/>
        </w:rPr>
        <w:t>porta unitaria di accesso</w:t>
      </w:r>
      <w:r w:rsidRPr="002F45ED">
        <w:rPr>
          <w:rFonts w:ascii="Times New Roman" w:hAnsi="Times New Roman"/>
          <w:b/>
          <w:bCs/>
          <w:color w:val="000000"/>
        </w:rPr>
        <w:t xml:space="preserve">” </w:t>
      </w:r>
      <w:r w:rsidRPr="002F45ED">
        <w:rPr>
          <w:rFonts w:ascii="Times New Roman" w:hAnsi="Times New Roman"/>
          <w:color w:val="000000"/>
        </w:rPr>
        <w:t>al sistema dei servizi</w:t>
      </w:r>
      <w:r>
        <w:rPr>
          <w:rFonts w:ascii="Times New Roman" w:hAnsi="Times New Roman"/>
          <w:color w:val="000000"/>
        </w:rPr>
        <w:t xml:space="preserve">; tale orientamento è stato confermato dal Decreto del 2007 che ha provveduto a ripartire il Fondo per le non autosufficienze ed ha disposto l’istituzione del PUA.  </w:t>
      </w:r>
    </w:p>
    <w:p w:rsidR="00DA5015" w:rsidRDefault="00DA5015" w:rsidP="00DA5015">
      <w:pPr>
        <w:pStyle w:val="CM23"/>
        <w:spacing w:line="256" w:lineRule="atLeast"/>
        <w:jc w:val="both"/>
        <w:rPr>
          <w:rFonts w:ascii="Times New Roman" w:hAnsi="Times New Roman"/>
          <w:color w:val="000000"/>
        </w:rPr>
      </w:pPr>
      <w:r>
        <w:rPr>
          <w:rFonts w:ascii="Times New Roman" w:hAnsi="Times New Roman"/>
          <w:color w:val="000000"/>
        </w:rPr>
        <w:t>Pertanto i</w:t>
      </w:r>
      <w:r w:rsidRPr="002F45ED">
        <w:rPr>
          <w:rFonts w:ascii="Times New Roman" w:hAnsi="Times New Roman"/>
          <w:color w:val="000000"/>
        </w:rPr>
        <w:t xml:space="preserve">l cittadino rivolgendosi al segretariato sociale, oltre ad avere informazione e orientamento nel sistema di offerta pubblica, solidaristica e di auto-aiuto presente nel welfare locale, potrà avere </w:t>
      </w:r>
      <w:r>
        <w:rPr>
          <w:rFonts w:ascii="Times New Roman" w:hAnsi="Times New Roman"/>
          <w:color w:val="000000"/>
        </w:rPr>
        <w:t xml:space="preserve">completa informazione sul sistema di rete, e sulle </w:t>
      </w:r>
      <w:r w:rsidRPr="002F45ED">
        <w:rPr>
          <w:rFonts w:ascii="Times New Roman" w:hAnsi="Times New Roman"/>
          <w:color w:val="000000"/>
        </w:rPr>
        <w:t xml:space="preserve">informazioni anche sui soggetti privati che erogano servizi a pagamento, sulle tariffe praticate e sulle caratteristiche dei servizi erogati. </w:t>
      </w:r>
    </w:p>
    <w:p w:rsidR="00DA5015" w:rsidRDefault="00DA5015" w:rsidP="00DA5015">
      <w:pPr>
        <w:pStyle w:val="Default"/>
        <w:jc w:val="both"/>
      </w:pPr>
      <w:r>
        <w:lastRenderedPageBreak/>
        <w:t xml:space="preserve">Tale funzione deve essere pienamente riconosciuta ed attribuita all’assistente sociale, individuato quale professionista qualificato a </w:t>
      </w:r>
      <w:proofErr w:type="gramStart"/>
      <w:r>
        <w:t>svolgerla;  tale</w:t>
      </w:r>
      <w:proofErr w:type="gramEnd"/>
      <w:r>
        <w:t xml:space="preserve"> funzione costituisce quindi il primo livello di interventi proprio  ed esclusivo dell’assistente sociale, ed è a tale riguardo necessaria l’iscrizione alla sezione B) dell’Ordine degli assistenti sociali. .</w:t>
      </w:r>
    </w:p>
    <w:p w:rsidR="00B90F1A" w:rsidRDefault="00DA5015" w:rsidP="00DA5015">
      <w:pPr>
        <w:pStyle w:val="Default"/>
        <w:jc w:val="both"/>
      </w:pPr>
      <w:r>
        <w:t xml:space="preserve">Definito il suddetto livello professionale, si sottolinea che con appropriatezza accorta e documentata </w:t>
      </w:r>
      <w:smartTag w:uri="urn:schemas-microsoft-com:office:smarttags" w:element="PersonName">
        <w:smartTagPr>
          <w:attr w:name="ProductID" w:val="la Regione Abruzzo"/>
        </w:smartTagPr>
        <w:smartTag w:uri="urn:schemas-microsoft-com:office:smarttags" w:element="PersonName">
          <w:smartTagPr>
            <w:attr w:name="ProductID" w:val="la Regione"/>
          </w:smartTagPr>
          <w:r>
            <w:t>la Regione</w:t>
          </w:r>
        </w:smartTag>
        <w:r>
          <w:t xml:space="preserve"> Abruzzo</w:t>
        </w:r>
      </w:smartTag>
      <w:r>
        <w:t xml:space="preserve">, nel delineare con apposito atto deliberativo il Segretariato Sociale, ne ha affidato il compito esclusivo all’assistente sociale. </w:t>
      </w:r>
    </w:p>
    <w:p w:rsidR="00B90F1A" w:rsidRDefault="00DA5015" w:rsidP="00B90F1A">
      <w:pPr>
        <w:tabs>
          <w:tab w:val="left" w:pos="0"/>
          <w:tab w:val="right" w:pos="8407"/>
        </w:tabs>
        <w:ind w:firstLine="510"/>
        <w:jc w:val="both"/>
      </w:pPr>
      <w:proofErr w:type="gramStart"/>
      <w:r>
        <w:t>.</w:t>
      </w:r>
      <w:r w:rsidR="00B90F1A">
        <w:t>Il</w:t>
      </w:r>
      <w:proofErr w:type="gramEnd"/>
      <w:r w:rsidR="00B90F1A">
        <w:t xml:space="preserve">  DPGP  della </w:t>
      </w:r>
      <w:proofErr w:type="spellStart"/>
      <w:r w:rsidR="00B90F1A">
        <w:t>Ptovincia</w:t>
      </w:r>
      <w:proofErr w:type="spellEnd"/>
      <w:r w:rsidR="00B90F1A">
        <w:t xml:space="preserve"> di Bolzano, del 5 marzo  sull’individuazione dei profili professionali e sulla attribuzione agli stessi delle qualifiche funzionali.</w:t>
      </w:r>
    </w:p>
    <w:p w:rsidR="00B90F1A" w:rsidRDefault="00B90F1A" w:rsidP="00B90F1A">
      <w:pPr>
        <w:tabs>
          <w:tab w:val="left" w:pos="0"/>
          <w:tab w:val="right" w:pos="8407"/>
        </w:tabs>
        <w:jc w:val="both"/>
      </w:pPr>
      <w:r>
        <w:t xml:space="preserve">Tale documento costituisce la ratifica di un percorso professionale proprio dell’assistente sociale che in effetti ha anticipato la successiva normativa statale. </w:t>
      </w:r>
    </w:p>
    <w:p w:rsidR="00B90F1A" w:rsidRDefault="00B90F1A" w:rsidP="00B90F1A">
      <w:pPr>
        <w:tabs>
          <w:tab w:val="left" w:pos="0"/>
          <w:tab w:val="right" w:pos="8407"/>
        </w:tabs>
        <w:ind w:firstLine="510"/>
        <w:jc w:val="both"/>
      </w:pPr>
      <w:r>
        <w:t xml:space="preserve">Infatti </w:t>
      </w:r>
      <w:proofErr w:type="gramStart"/>
      <w:r>
        <w:t>in  tale</w:t>
      </w:r>
      <w:proofErr w:type="gramEnd"/>
      <w:r>
        <w:t xml:space="preserve"> contesto è specificato che l’ assistente sociale fornisce consigli ed informazioni ed assiste anche giovani ed adulti che si trovano in situazioni di disagio;</w:t>
      </w:r>
    </w:p>
    <w:p w:rsidR="00B90F1A" w:rsidRDefault="00B90F1A" w:rsidP="00B90F1A">
      <w:pPr>
        <w:tabs>
          <w:tab w:val="left" w:pos="0"/>
          <w:tab w:val="num" w:pos="360"/>
          <w:tab w:val="right" w:pos="8407"/>
        </w:tabs>
        <w:ind w:left="360" w:hanging="360"/>
        <w:jc w:val="both"/>
      </w:pPr>
      <w:proofErr w:type="gramStart"/>
      <w:r>
        <w:t>collabora</w:t>
      </w:r>
      <w:proofErr w:type="gramEnd"/>
      <w:r>
        <w:t xml:space="preserve"> strettamente con gli organi giudiziari;</w:t>
      </w:r>
    </w:p>
    <w:p w:rsidR="00B90F1A" w:rsidRDefault="00B90F1A" w:rsidP="00B90F1A">
      <w:pPr>
        <w:tabs>
          <w:tab w:val="left" w:pos="0"/>
          <w:tab w:val="num" w:pos="360"/>
          <w:tab w:val="right" w:pos="8407"/>
        </w:tabs>
        <w:ind w:left="360" w:hanging="360"/>
        <w:jc w:val="both"/>
      </w:pPr>
      <w:proofErr w:type="gramStart"/>
      <w:r>
        <w:t>i</w:t>
      </w:r>
      <w:proofErr w:type="gramEnd"/>
      <w:r>
        <w:t xml:space="preserve"> compiti sono articolati in tre livelli:</w:t>
      </w:r>
    </w:p>
    <w:p w:rsidR="00B90F1A" w:rsidRDefault="00B90F1A" w:rsidP="00B90F1A">
      <w:pPr>
        <w:tabs>
          <w:tab w:val="left" w:pos="0"/>
          <w:tab w:val="num" w:pos="360"/>
          <w:tab w:val="right" w:pos="8407"/>
        </w:tabs>
        <w:ind w:left="360" w:hanging="360"/>
        <w:jc w:val="both"/>
      </w:pPr>
      <w:proofErr w:type="gramStart"/>
      <w:r>
        <w:t>segreteria</w:t>
      </w:r>
      <w:proofErr w:type="gramEnd"/>
      <w:r>
        <w:t xml:space="preserve"> sociale (tiene colloqui e fornisce informazioni e consigli ai richiedenti, in tutti i settori di loro interesse, e/o indirizza agli uffici competenti; cura i contatti con altre istituzioni sociali, collabora alla redazione di domande ed evade la corrispondenza corrente);</w:t>
      </w:r>
    </w:p>
    <w:p w:rsidR="00B90F1A" w:rsidRDefault="00B90F1A" w:rsidP="00B90F1A">
      <w:pPr>
        <w:tabs>
          <w:tab w:val="left" w:pos="0"/>
          <w:tab w:val="num" w:pos="360"/>
          <w:tab w:val="right" w:pos="8407"/>
        </w:tabs>
        <w:ind w:left="360" w:hanging="360"/>
        <w:jc w:val="both"/>
      </w:pPr>
      <w:r>
        <w:t xml:space="preserve"> </w:t>
      </w:r>
      <w:proofErr w:type="gramStart"/>
      <w:r>
        <w:t>consulenza</w:t>
      </w:r>
      <w:proofErr w:type="gramEnd"/>
      <w:r>
        <w:t xml:space="preserve"> di carattere psicologico-sociale (chiarisce con gli interessati la situazione di disagio e fa visite domiciliari; offre aiuti concreti nell'ambito della legislazione sociale sulla base della collaborazione con altre istituzioni; redige relazioni e perizie; tiene colloqui di consulenza);</w:t>
      </w:r>
    </w:p>
    <w:p w:rsidR="00B90F1A" w:rsidRDefault="00B90F1A" w:rsidP="00B90F1A">
      <w:pPr>
        <w:tabs>
          <w:tab w:val="left" w:pos="0"/>
          <w:tab w:val="num" w:pos="360"/>
          <w:tab w:val="right" w:pos="8407"/>
        </w:tabs>
        <w:ind w:left="360" w:hanging="360"/>
        <w:jc w:val="both"/>
      </w:pPr>
      <w:r>
        <w:t xml:space="preserve"> </w:t>
      </w:r>
      <w:proofErr w:type="gramStart"/>
      <w:r>
        <w:t>affidamento</w:t>
      </w:r>
      <w:proofErr w:type="gramEnd"/>
      <w:r>
        <w:t xml:space="preserve"> (in caso di bambini o giovani, cerca famiglie o convitti per l'affidamento, chiarisce </w:t>
      </w:r>
    </w:p>
    <w:p w:rsidR="00B90F1A" w:rsidRDefault="00B90F1A" w:rsidP="00B90F1A">
      <w:pPr>
        <w:tabs>
          <w:tab w:val="left" w:pos="0"/>
          <w:tab w:val="num" w:pos="360"/>
          <w:tab w:val="right" w:pos="8407"/>
        </w:tabs>
        <w:ind w:left="360" w:hanging="360"/>
        <w:jc w:val="both"/>
      </w:pPr>
      <w:proofErr w:type="gramStart"/>
      <w:r>
        <w:t>con</w:t>
      </w:r>
      <w:proofErr w:type="gramEnd"/>
      <w:r>
        <w:t xml:space="preserve"> gli interessati le questioni finanziarie ed educative e denuncia l'affidamento al tribunale del minori; provvede a far approvare i contributi provinciali).</w:t>
      </w:r>
    </w:p>
    <w:p w:rsidR="00B90F1A" w:rsidRDefault="00B90F1A" w:rsidP="00B90F1A">
      <w:pPr>
        <w:tabs>
          <w:tab w:val="left" w:pos="0"/>
          <w:tab w:val="right" w:pos="8407"/>
        </w:tabs>
        <w:jc w:val="both"/>
      </w:pPr>
      <w:r>
        <w:t>Lo svolgimento del compiti è connesso con responsabilità notevole; ampia autonomia, impegno mentale elevato, impegno fisico notevole, rischi notevoli per la sicurezza personale.</w:t>
      </w:r>
    </w:p>
    <w:p w:rsidR="00B90F1A" w:rsidRDefault="00B90F1A" w:rsidP="00B90F1A">
      <w:pPr>
        <w:pStyle w:val="Default"/>
        <w:jc w:val="both"/>
      </w:pPr>
      <w:r>
        <w:t xml:space="preserve">Nel primo Piano Nazionale degli Interventi e dei </w:t>
      </w:r>
      <w:proofErr w:type="gramStart"/>
      <w:r>
        <w:t>Servizi  sociali</w:t>
      </w:r>
      <w:proofErr w:type="gramEnd"/>
      <w:r>
        <w:t xml:space="preserve"> sono altresì individuate </w:t>
      </w:r>
      <w:r w:rsidRPr="002F45ED">
        <w:t xml:space="preserve"> funzioni del </w:t>
      </w:r>
      <w:r w:rsidRPr="002F45ED">
        <w:rPr>
          <w:b/>
          <w:bCs/>
        </w:rPr>
        <w:t xml:space="preserve">servizio sociale professionale </w:t>
      </w:r>
      <w:r w:rsidRPr="002F45ED">
        <w:t>sono finalizzate alla lettura e decodificazione della domanda, alla presa in carico della persona, della famiglia e/o del gruppo sociale, all'attivazione ed integrazione dei servizi e delle risorse in rete, all'accompagnamento e all'aiuto nel processo di promozione ed emancipazione, in riferimento al dettato dell'articolo 22 della legge 328/2000.</w:t>
      </w:r>
    </w:p>
    <w:p w:rsidR="00DA5015" w:rsidRDefault="00DA5015" w:rsidP="00DA5015">
      <w:pPr>
        <w:pStyle w:val="Default"/>
        <w:jc w:val="both"/>
      </w:pPr>
      <w:r>
        <w:t>Il nuovo Piano Sociale Nazionale 2018-202</w:t>
      </w:r>
      <w:r w:rsidR="00B90F1A">
        <w:t>0</w:t>
      </w:r>
      <w:r>
        <w:t xml:space="preserve">, che fa seguito al primo del 2001, conferma quale livello essenziale il segretariato sociale </w:t>
      </w:r>
      <w:r w:rsidRPr="00DA5015">
        <w:rPr>
          <w:u w:val="single"/>
        </w:rPr>
        <w:t>e</w:t>
      </w:r>
      <w:r>
        <w:t xml:space="preserve"> il servizio sociale professionale indicando con chiarezza che è solo l’assistente sociale, in un rapporto di 1/5000 abitanti a poter svolgere tale </w:t>
      </w:r>
      <w:proofErr w:type="gramStart"/>
      <w:r>
        <w:t>funzione.</w:t>
      </w:r>
      <w:r w:rsidR="00B90F1A">
        <w:t>,</w:t>
      </w:r>
      <w:proofErr w:type="gramEnd"/>
      <w:r w:rsidR="00B90F1A">
        <w:t xml:space="preserve"> prevedendo il </w:t>
      </w:r>
    </w:p>
    <w:p w:rsidR="00DA5015" w:rsidRPr="00B90F1A" w:rsidRDefault="00DA5015" w:rsidP="00DA5015">
      <w:pPr>
        <w:autoSpaceDE w:val="0"/>
        <w:autoSpaceDN w:val="0"/>
        <w:adjustRightInd w:val="0"/>
        <w:spacing w:line="20" w:lineRule="atLeast"/>
        <w:jc w:val="both"/>
        <w:rPr>
          <w:b/>
          <w:u w:val="single"/>
        </w:rPr>
      </w:pPr>
      <w:r w:rsidRPr="00B90F1A">
        <w:rPr>
          <w:b/>
        </w:rPr>
        <w:t xml:space="preserve"> </w:t>
      </w:r>
      <w:proofErr w:type="gramStart"/>
      <w:r w:rsidRPr="00B90F1A">
        <w:rPr>
          <w:b/>
          <w:u w:val="single"/>
        </w:rPr>
        <w:t>rafforzamento</w:t>
      </w:r>
      <w:proofErr w:type="gramEnd"/>
      <w:r w:rsidRPr="00B90F1A">
        <w:rPr>
          <w:b/>
          <w:u w:val="single"/>
        </w:rPr>
        <w:t xml:space="preserve"> del servizio sociale professionale e del segretariato sociale</w:t>
      </w:r>
    </w:p>
    <w:p w:rsidR="00DA5015" w:rsidRDefault="00DA5015" w:rsidP="00DA5015">
      <w:pPr>
        <w:pStyle w:val="Default"/>
        <w:jc w:val="both"/>
      </w:pPr>
      <w:r>
        <w:t>Avuto riguardo a quanto già prospettato nella normativa nazionale, si ritiene opportuno che</w:t>
      </w:r>
      <w:r w:rsidR="00B90F1A">
        <w:t xml:space="preserve"> nella eventuale proposta di </w:t>
      </w:r>
      <w:proofErr w:type="gramStart"/>
      <w:r w:rsidR="00B90F1A">
        <w:t>legge  che</w:t>
      </w:r>
      <w:proofErr w:type="gramEnd"/>
      <w:r w:rsidR="00B90F1A">
        <w:t xml:space="preserve"> riguardano il corso di laurea degli assistenti   sociali s</w:t>
      </w:r>
      <w:r>
        <w:t>iano definiti con assoluta compiutezza:</w:t>
      </w:r>
    </w:p>
    <w:p w:rsidR="00DA5015" w:rsidRDefault="00DA5015" w:rsidP="00DA5015">
      <w:pPr>
        <w:pStyle w:val="Default"/>
        <w:numPr>
          <w:ilvl w:val="0"/>
          <w:numId w:val="1"/>
        </w:numPr>
        <w:jc w:val="both"/>
      </w:pPr>
      <w:proofErr w:type="gramStart"/>
      <w:r>
        <w:t>il</w:t>
      </w:r>
      <w:proofErr w:type="gramEnd"/>
      <w:r>
        <w:t xml:space="preserve"> segretariato sociale, quale primo livello professionale dell’assistente sociale;</w:t>
      </w:r>
    </w:p>
    <w:p w:rsidR="00DA5015" w:rsidRDefault="00DA5015" w:rsidP="00DA5015">
      <w:pPr>
        <w:pStyle w:val="Default"/>
        <w:numPr>
          <w:ilvl w:val="0"/>
          <w:numId w:val="1"/>
        </w:numPr>
        <w:jc w:val="both"/>
      </w:pPr>
      <w:proofErr w:type="gramStart"/>
      <w:r>
        <w:t>il</w:t>
      </w:r>
      <w:proofErr w:type="gramEnd"/>
      <w:r>
        <w:t xml:space="preserve"> servizio sociale professionale  quale secondo livello professionale dell’assistente sociale.</w:t>
      </w:r>
    </w:p>
    <w:p w:rsidR="00B90F1A" w:rsidRDefault="00DA5015" w:rsidP="00DA5015">
      <w:pPr>
        <w:tabs>
          <w:tab w:val="left" w:pos="0"/>
          <w:tab w:val="right" w:pos="8375"/>
        </w:tabs>
        <w:ind w:firstLine="514"/>
        <w:jc w:val="both"/>
      </w:pPr>
      <w:r>
        <w:t xml:space="preserve">Tale orientamento si connette a quanto a suo tempo fu disposto con la definizione dei Profili professionali </w:t>
      </w:r>
    </w:p>
    <w:p w:rsidR="00DA5015" w:rsidRDefault="00DA5015" w:rsidP="00DA5015">
      <w:pPr>
        <w:tabs>
          <w:tab w:val="left" w:pos="0"/>
          <w:tab w:val="right" w:pos="8375"/>
        </w:tabs>
        <w:ind w:firstLine="514"/>
        <w:jc w:val="both"/>
      </w:pPr>
      <w:r>
        <w:t xml:space="preserve">Con la legge n.312/8 sono stati definiti i profili professionali del personale nella Pubblica Amministrazione, </w:t>
      </w:r>
      <w:proofErr w:type="gramStart"/>
      <w:r>
        <w:t>concretizzati  con</w:t>
      </w:r>
      <w:proofErr w:type="gramEnd"/>
      <w:r>
        <w:t xml:space="preserve">  l'emanazione del DPR n.1219 del 29 dicembre 1985 (pubblicato sulla GU n.256 del 30 ottobre 1985, </w:t>
      </w:r>
      <w:proofErr w:type="spellStart"/>
      <w:r>
        <w:t>s.o</w:t>
      </w:r>
      <w:proofErr w:type="spellEnd"/>
      <w:r>
        <w:t>.), con il quale nell'ambito dei profili professionali collocati nelle qualifiche professionali relative, sono stati individuati i profili professionali dell’assistente sociale.</w:t>
      </w:r>
    </w:p>
    <w:p w:rsidR="00DA5015" w:rsidRDefault="00B90F1A" w:rsidP="00B90F1A">
      <w:pPr>
        <w:tabs>
          <w:tab w:val="left" w:pos="0"/>
          <w:tab w:val="right" w:pos="2635"/>
        </w:tabs>
        <w:rPr>
          <w:rFonts w:cs="TimesNewRomanPSMT"/>
        </w:rPr>
      </w:pPr>
      <w:r>
        <w:rPr>
          <w:rFonts w:cs="TimesNewRomanPS-BoldMT"/>
          <w:b/>
          <w:bCs/>
        </w:rPr>
        <w:t xml:space="preserve">Con il </w:t>
      </w:r>
      <w:r w:rsidR="00DA5015">
        <w:rPr>
          <w:rFonts w:cs="TimesNewRomanPS-BoldMT"/>
          <w:b/>
          <w:bCs/>
        </w:rPr>
        <w:t xml:space="preserve"> </w:t>
      </w:r>
      <w:r w:rsidR="00DA5015">
        <w:rPr>
          <w:rFonts w:cs="TimesNewRomanPSMT"/>
          <w:b/>
        </w:rPr>
        <w:t xml:space="preserve">DECRETO 2 agosto 2013 , n. </w:t>
      </w:r>
      <w:r w:rsidR="00DA5015">
        <w:rPr>
          <w:rFonts w:cs="TimesNewRomanPS-BoldMT"/>
          <w:b/>
          <w:bCs/>
        </w:rPr>
        <w:t>106</w:t>
      </w:r>
      <w:r>
        <w:rPr>
          <w:rFonts w:cs="TimesNewRomanPS-BoldMT"/>
          <w:b/>
          <w:bCs/>
        </w:rPr>
        <w:t xml:space="preserve"> del Ministero della Giustizia </w:t>
      </w:r>
      <w:r w:rsidR="00DA5015">
        <w:rPr>
          <w:rFonts w:cs="TimesNewRomanPS-BoldMT"/>
          <w:b/>
          <w:bCs/>
        </w:rPr>
        <w:t xml:space="preserve"> -  </w:t>
      </w:r>
      <w:r w:rsidR="00DA5015">
        <w:rPr>
          <w:rFonts w:cs="TimesNewRomanPS-BoldMT"/>
          <w:bCs/>
        </w:rPr>
        <w:t xml:space="preserve">Regolamento recante integrazioni e modificazioni al decreto del Ministro della giustizia 20 luglio 2012, n. 140, concernente la determinazione dei parametri per la liquidazione da parte di un organo giurisdizionale dei compensi per le professioni regolamentate vigilate dal Ministero della giustizia, </w:t>
      </w:r>
      <w:r w:rsidR="00DA5015">
        <w:rPr>
          <w:rFonts w:cs="TimesNewRomanPS-BoldMT"/>
          <w:bCs/>
        </w:rPr>
        <w:lastRenderedPageBreak/>
        <w:t>ai sensi dell’articolo 9 del decreto-legge 24 gennaio 2012, n. 1, convertito, con modificazioni, dalla legge 24 marzo 2012, n. 27</w:t>
      </w:r>
      <w:r w:rsidR="00DA5015">
        <w:rPr>
          <w:rFonts w:cs="TimesNewRomanPS-BoldMT"/>
          <w:b/>
          <w:bCs/>
        </w:rPr>
        <w:t xml:space="preserve">. </w:t>
      </w:r>
      <w:r w:rsidR="00DA5015">
        <w:rPr>
          <w:rFonts w:cs="TimesNewRomanPS-BoldMT"/>
          <w:bCs/>
        </w:rPr>
        <w:t>(GU n. 223 del 23.9.13</w:t>
      </w:r>
      <w:proofErr w:type="gramStart"/>
      <w:r w:rsidR="00DA5015">
        <w:rPr>
          <w:rFonts w:cs="TimesNewRomanPS-BoldMT"/>
          <w:bCs/>
        </w:rPr>
        <w:t>)</w:t>
      </w:r>
      <w:r>
        <w:rPr>
          <w:rFonts w:cs="TimesNewRomanPS-BoldMT"/>
          <w:bCs/>
        </w:rPr>
        <w:t>,  n</w:t>
      </w:r>
      <w:r w:rsidR="00DA5015">
        <w:rPr>
          <w:rFonts w:cs="TimesNewRomanPSMT"/>
        </w:rPr>
        <w:t>el</w:t>
      </w:r>
      <w:proofErr w:type="gramEnd"/>
      <w:r w:rsidR="00DA5015">
        <w:rPr>
          <w:rFonts w:cs="TimesNewRomanPSMT"/>
        </w:rPr>
        <w:t xml:space="preserve"> contesto di un complesso provvedimento che concerne alcuni ordini professionali per il riconoscimento delle prestazioni professionali ai fini della liquidazione dei compensi da parte di un organo giurisdizionale, è stata inserita la professione dell’assistente sociale..</w:t>
      </w:r>
    </w:p>
    <w:p w:rsidR="00DA5015" w:rsidRDefault="00DA5015" w:rsidP="00DA5015">
      <w:pPr>
        <w:jc w:val="both"/>
        <w:rPr>
          <w:rFonts w:cs="TimesNewRomanPSMT"/>
        </w:rPr>
      </w:pPr>
      <w:r>
        <w:rPr>
          <w:rFonts w:cs="TimesNewRomanPSMT"/>
        </w:rPr>
        <w:t xml:space="preserve">La puntualità e la accurata individuazione delle prestazioni individuate assumono pertanto un valore di notevole rilievo, anche in considerazione del fatto che viene sancito il principio della competenza dell’assistente sociale a svolgere funzioni esclusive e proprie della professione, anche ai fini dell’esercizio provato della stessa. </w:t>
      </w:r>
    </w:p>
    <w:p w:rsidR="00DA5015" w:rsidRDefault="00DA5015" w:rsidP="00DA5015">
      <w:pPr>
        <w:jc w:val="both"/>
        <w:rPr>
          <w:rFonts w:cs="TimesNewRomanPSMT"/>
        </w:rPr>
      </w:pPr>
      <w:r>
        <w:rPr>
          <w:rFonts w:cs="TimesNewRomanPSMT"/>
        </w:rPr>
        <w:t xml:space="preserve">Tale documento per la sua importanza, si riporta integralmente.       </w:t>
      </w:r>
    </w:p>
    <w:p w:rsidR="00DA5015" w:rsidRDefault="00DA5015" w:rsidP="00DA5015">
      <w:pPr>
        <w:jc w:val="both"/>
        <w:rPr>
          <w:rFonts w:cs="TimesNewRomanPSMT"/>
        </w:rPr>
      </w:pPr>
      <w:r>
        <w:rPr>
          <w:rFonts w:cs="TimesNewRomanPSMT"/>
        </w:rPr>
        <w:t>IL MINISTRO DELLA GIUSTIZIA</w:t>
      </w:r>
    </w:p>
    <w:p w:rsidR="00DA5015" w:rsidRDefault="00DA5015" w:rsidP="00DA5015">
      <w:pPr>
        <w:jc w:val="both"/>
        <w:rPr>
          <w:rFonts w:cs="TimesNewRomanPSMT"/>
        </w:rPr>
      </w:pPr>
      <w:r>
        <w:rPr>
          <w:rFonts w:cs="TimesNewRomanPSMT"/>
        </w:rPr>
        <w:t>Visto l’articolo 17, comma 3, della legge 23 agosto 1988, n. 400;</w:t>
      </w:r>
    </w:p>
    <w:p w:rsidR="00DA5015" w:rsidRDefault="00DA5015" w:rsidP="00DA5015">
      <w:pPr>
        <w:jc w:val="both"/>
        <w:rPr>
          <w:rFonts w:cs="TimesNewRomanPSMT"/>
        </w:rPr>
      </w:pPr>
      <w:r>
        <w:rPr>
          <w:rFonts w:cs="TimesNewRomanPSMT"/>
        </w:rPr>
        <w:t>Visto l’articolo 9, comma 2, primo periodo, del decreto-legge 24 gennaio 2012, n. 1, convertito, con modificazioni, dalla legge 24 marzo 2012, n. 27;</w:t>
      </w:r>
    </w:p>
    <w:p w:rsidR="00DA5015" w:rsidRDefault="00DA5015" w:rsidP="00DA5015">
      <w:pPr>
        <w:jc w:val="both"/>
        <w:rPr>
          <w:rFonts w:cs="TimesNewRomanPSMT"/>
        </w:rPr>
      </w:pPr>
      <w:r>
        <w:rPr>
          <w:rFonts w:cs="TimesNewRomanPSMT"/>
        </w:rPr>
        <w:t>Visto il decreto del Ministro della giustizia 20 luglio 2012, n. 140, concernente regolamento recante la determinazione dei parametri per la liquidazione da parte di un organo giurisdizionale dei compensi per le professioni regolamentate vigilate dal Ministero della giustizia, ai sensi dell’articolo 9 del decreto-legge 24 gennaio 2012, n. 1, convertito, con modificazioni, dalla legge 24 marzo 2012, n. 27;</w:t>
      </w:r>
    </w:p>
    <w:p w:rsidR="00DA5015" w:rsidRDefault="00DA5015" w:rsidP="00DA5015">
      <w:pPr>
        <w:jc w:val="both"/>
        <w:rPr>
          <w:rFonts w:cs="TimesNewRomanPSMT"/>
        </w:rPr>
      </w:pPr>
      <w:r>
        <w:rPr>
          <w:rFonts w:cs="TimesNewRomanPSMT"/>
        </w:rPr>
        <w:t>Udito il parere del Consiglio di Stato espresso dalla Sezione consultiva per gli atti normativi nell’ adunanza del 7 febbraio 2013;</w:t>
      </w:r>
    </w:p>
    <w:p w:rsidR="00DA5015" w:rsidRDefault="00DA5015" w:rsidP="00DA5015">
      <w:pPr>
        <w:jc w:val="both"/>
        <w:rPr>
          <w:rFonts w:cs="TimesNewRomanPSMT"/>
        </w:rPr>
      </w:pPr>
      <w:r>
        <w:rPr>
          <w:rFonts w:cs="TimesNewRomanPSMT"/>
        </w:rPr>
        <w:t>Ritenuto di non sopprimere la disposizione che descrive le principali fasi in cui si articola l’attività notarile, nonché, in via meramente esemplificativa, alcune delle attività che rientrano in ciascuna delle tre fasi, in quanto la finalità di tale integrazione normativa è solo quella di far emergere e valorizzare la complessità della attività notarile senza in questo modo introdurre una suddivisione delle fasi dell’attività del notaio per poi procedere ad una liquidazione del compenso per ogni singola fase, atteso che la specificazione delle attività non risulta direttamente collegata alla determinazione dei parametri per la liquidazione da parte di un organo giurisdizionale dei compensi per i notai;</w:t>
      </w:r>
    </w:p>
    <w:p w:rsidR="00DA5015" w:rsidRDefault="00DA5015" w:rsidP="00DA5015">
      <w:pPr>
        <w:jc w:val="both"/>
        <w:rPr>
          <w:rFonts w:cs="TimesNewRomanPSMT"/>
        </w:rPr>
      </w:pPr>
      <w:r>
        <w:rPr>
          <w:rFonts w:cs="TimesNewRomanPSMT"/>
        </w:rPr>
        <w:t>Ritenuto di non accogliere l’invito formulato dal Consiglio di Stato di contenere quantitativamente la misura dei parametri rimodulati in seguito alla introduzione di nuovi scaglioni, in quanto l’impianto generale è rimasto fermo e non induce aumenti dei compensi;</w:t>
      </w:r>
    </w:p>
    <w:p w:rsidR="00DA5015" w:rsidRDefault="00DA5015" w:rsidP="00DA5015">
      <w:pPr>
        <w:jc w:val="both"/>
        <w:rPr>
          <w:rFonts w:cs="TimesNewRomanPSMT"/>
        </w:rPr>
      </w:pPr>
      <w:r>
        <w:rPr>
          <w:rFonts w:cs="TimesNewRomanPSMT"/>
        </w:rPr>
        <w:t>Ritenuto di non accogliere la censura del Consiglio di Stato sulla individuazione di due sezioni all’ interno della tabella D - Notai («altri atti»), in quanto il maggior dettaglio nella descrizione degli atti, che la distinzione in sottocategorie comporta, non si traduce in irrigidimento dei parametri: questi, infatti, sono e rimangono meramente orientativi per il Giudice che procede alla liquidazione, anche se gli atti ai quali si riferiscono sono elencati con maggior dettaglio; la natura meramente indicativa dei parametri</w:t>
      </w:r>
    </w:p>
    <w:p w:rsidR="00DA5015" w:rsidRDefault="00DA5015" w:rsidP="00DA5015">
      <w:pPr>
        <w:jc w:val="both"/>
        <w:rPr>
          <w:rFonts w:cs="TimesNewRomanPSMT"/>
        </w:rPr>
      </w:pPr>
      <w:proofErr w:type="gramStart"/>
      <w:r>
        <w:rPr>
          <w:rFonts w:cs="TimesNewRomanPSMT"/>
        </w:rPr>
        <w:t>inoltre</w:t>
      </w:r>
      <w:proofErr w:type="gramEnd"/>
      <w:r>
        <w:rPr>
          <w:rFonts w:cs="TimesNewRomanPSMT"/>
        </w:rPr>
        <w:t>, non risulta compromessa dalla introduzione di minimi posto che ogni indicazione, anche quella di un minimo, si pone solo come orientativa e pacificamente non vincolante per il Giudice, trattandosi di parametri e non tariffe;</w:t>
      </w:r>
    </w:p>
    <w:p w:rsidR="00DA5015" w:rsidRDefault="00DA5015" w:rsidP="00DA5015">
      <w:pPr>
        <w:jc w:val="both"/>
        <w:rPr>
          <w:rFonts w:cs="TimesNewRomanPSMT"/>
        </w:rPr>
      </w:pPr>
      <w:r>
        <w:rPr>
          <w:rFonts w:cs="TimesNewRomanPSMT"/>
        </w:rPr>
        <w:t>Vista la comunicazione alla Presidenza del Consiglio dei ministri in data 2 luglio 2013;</w:t>
      </w:r>
    </w:p>
    <w:p w:rsidR="00DA5015" w:rsidRDefault="00DA5015" w:rsidP="00DA5015">
      <w:pPr>
        <w:jc w:val="both"/>
        <w:rPr>
          <w:rFonts w:cs="TimesNewRomanPSMT"/>
        </w:rPr>
      </w:pPr>
      <w:r>
        <w:rPr>
          <w:rFonts w:cs="TimesNewRomanPSMT"/>
        </w:rPr>
        <w:t>ADOTTA</w:t>
      </w:r>
    </w:p>
    <w:p w:rsidR="00DA5015" w:rsidRDefault="00DA5015" w:rsidP="00DA5015">
      <w:pPr>
        <w:jc w:val="both"/>
        <w:rPr>
          <w:rFonts w:cs="TimesNewRomanPSMT"/>
        </w:rPr>
      </w:pPr>
      <w:proofErr w:type="gramStart"/>
      <w:r>
        <w:rPr>
          <w:rFonts w:cs="TimesNewRomanPSMT"/>
        </w:rPr>
        <w:t>il</w:t>
      </w:r>
      <w:proofErr w:type="gramEnd"/>
      <w:r>
        <w:rPr>
          <w:rFonts w:cs="TimesNewRomanPSMT"/>
        </w:rPr>
        <w:t xml:space="preserve"> seguente regolamento:</w:t>
      </w:r>
    </w:p>
    <w:p w:rsidR="00DA5015" w:rsidRDefault="00DA5015" w:rsidP="00DA5015">
      <w:pPr>
        <w:jc w:val="both"/>
        <w:rPr>
          <w:rFonts w:cs="TimesNewRomanPSMT"/>
        </w:rPr>
      </w:pPr>
    </w:p>
    <w:p w:rsidR="00DA5015" w:rsidRDefault="00DA5015" w:rsidP="00DA5015">
      <w:pPr>
        <w:jc w:val="both"/>
        <w:rPr>
          <w:rFonts w:cs="TimesNewRomanPSMT"/>
        </w:rPr>
      </w:pPr>
      <w:r>
        <w:rPr>
          <w:rFonts w:cs="TimesNewRomanPSMT"/>
        </w:rPr>
        <w:t>Art 2 e 3 …</w:t>
      </w:r>
      <w:proofErr w:type="gramStart"/>
      <w:r>
        <w:rPr>
          <w:rFonts w:cs="TimesNewRomanPSMT"/>
        </w:rPr>
        <w:t>…….</w:t>
      </w:r>
      <w:proofErr w:type="gramEnd"/>
      <w:r>
        <w:rPr>
          <w:rFonts w:cs="TimesNewRomanPSMT"/>
        </w:rPr>
        <w:t>.omissis</w:t>
      </w:r>
    </w:p>
    <w:p w:rsidR="00DA5015" w:rsidRDefault="00DA5015" w:rsidP="00DA5015">
      <w:pPr>
        <w:jc w:val="both"/>
        <w:rPr>
          <w:rFonts w:cs="TimesNewRomanPSMT"/>
        </w:rPr>
      </w:pPr>
      <w:r>
        <w:rPr>
          <w:rFonts w:cs="TimesNewRomanPSMT"/>
        </w:rPr>
        <w:t>Art. 3.</w:t>
      </w:r>
    </w:p>
    <w:p w:rsidR="00DA5015" w:rsidRDefault="00DA5015" w:rsidP="00DA5015">
      <w:pPr>
        <w:jc w:val="both"/>
        <w:rPr>
          <w:rFonts w:cs="TimesNewRomanPS-ItalicMT"/>
          <w:i/>
          <w:iCs/>
        </w:rPr>
      </w:pPr>
      <w:r>
        <w:rPr>
          <w:rFonts w:cs="TimesNewRomanPS-ItalicMT"/>
          <w:i/>
          <w:iCs/>
        </w:rPr>
        <w:t>Integrazioni al decreto del Ministro della giustizia 20 luglio 2012, n. 140</w:t>
      </w:r>
    </w:p>
    <w:p w:rsidR="00DA5015" w:rsidRDefault="00DA5015" w:rsidP="00DA5015">
      <w:pPr>
        <w:jc w:val="both"/>
        <w:rPr>
          <w:rFonts w:cs="TimesNewRomanPSMT"/>
        </w:rPr>
      </w:pPr>
      <w:r>
        <w:rPr>
          <w:rFonts w:cs="TimesNewRomanPSMT"/>
        </w:rPr>
        <w:t>1. Dopo il capo V del decreto del Ministro della giustizia 20 luglio 2012, n. 140, sono inseriti i seguenti:</w:t>
      </w:r>
    </w:p>
    <w:p w:rsidR="00DA5015" w:rsidRDefault="00DA5015" w:rsidP="00DA5015">
      <w:pPr>
        <w:jc w:val="both"/>
        <w:rPr>
          <w:rFonts w:cs="TimesNewRomanPSMT"/>
        </w:rPr>
      </w:pPr>
      <w:r>
        <w:rPr>
          <w:rFonts w:cs="TimesNewRomanPSMT"/>
        </w:rPr>
        <w:t xml:space="preserve">«Capo V </w:t>
      </w:r>
      <w:r>
        <w:rPr>
          <w:rFonts w:cs="TimesNewRomanPS-ItalicMT"/>
          <w:i/>
          <w:iCs/>
        </w:rPr>
        <w:t xml:space="preserve">-bis </w:t>
      </w:r>
      <w:r>
        <w:rPr>
          <w:rFonts w:cs="TimesNewRomanPSMT"/>
        </w:rPr>
        <w:t>- Disposizioni concernenti gli assistenti sociali</w:t>
      </w:r>
    </w:p>
    <w:p w:rsidR="00DA5015" w:rsidRDefault="00DA5015" w:rsidP="00DA5015">
      <w:pPr>
        <w:jc w:val="both"/>
        <w:rPr>
          <w:rFonts w:cs="TimesNewRomanPS-ItalicMT"/>
          <w:i/>
          <w:iCs/>
        </w:rPr>
      </w:pPr>
      <w:r>
        <w:rPr>
          <w:rFonts w:cs="TimesNewRomanPSMT"/>
        </w:rPr>
        <w:t xml:space="preserve">Articolo 39 </w:t>
      </w:r>
      <w:r>
        <w:rPr>
          <w:rFonts w:cs="TimesNewRomanPS-ItalicMT"/>
          <w:i/>
          <w:iCs/>
        </w:rPr>
        <w:t>-bis (Tipologia di attività).</w:t>
      </w:r>
    </w:p>
    <w:p w:rsidR="00DA5015" w:rsidRDefault="00DA5015" w:rsidP="00DA5015">
      <w:pPr>
        <w:jc w:val="both"/>
        <w:rPr>
          <w:rFonts w:cs="TimesNewRomanPSMT"/>
        </w:rPr>
      </w:pPr>
      <w:r>
        <w:rPr>
          <w:rFonts w:cs="TimesNewRomanPSMT"/>
        </w:rPr>
        <w:lastRenderedPageBreak/>
        <w:t xml:space="preserve"> 1. Ai fini della liquidazione di cui all’articolo 1, le attività degli Assistenti sociali e Assistenti sociali specialisti, elencate nell’articolo 21 del decreto del Presidente della Repubblica 5 giugno 2001, n. 328, sono accorpate in cinque aree di intervento secondo la specificazione riportata nella tabella</w:t>
      </w:r>
    </w:p>
    <w:p w:rsidR="00DA5015" w:rsidRDefault="00DA5015" w:rsidP="00DA5015">
      <w:pPr>
        <w:jc w:val="both"/>
        <w:rPr>
          <w:rFonts w:cs="TimesNewRomanPSMT"/>
        </w:rPr>
      </w:pPr>
      <w:r>
        <w:rPr>
          <w:rFonts w:cs="TimesNewRomanPSMT"/>
        </w:rPr>
        <w:t>A - Assistenti Sociali: Area Relazionale, Area Gruppi e Comunità, Area Didattico-Formativa, Area Studio e Ricerca, Area Progettuale-Programmatoria e di amministrazione dei servizi.</w:t>
      </w:r>
    </w:p>
    <w:p w:rsidR="00DA5015" w:rsidRDefault="00DA5015" w:rsidP="00DA5015">
      <w:pPr>
        <w:jc w:val="both"/>
        <w:rPr>
          <w:rFonts w:cs="TimesNewRomanPS-ItalicMT"/>
          <w:i/>
          <w:iCs/>
        </w:rPr>
      </w:pPr>
      <w:r>
        <w:rPr>
          <w:rFonts w:cs="TimesNewRomanPSMT"/>
        </w:rPr>
        <w:t xml:space="preserve">Articolo 39 </w:t>
      </w:r>
      <w:r>
        <w:rPr>
          <w:rFonts w:cs="TimesNewRomanPS-ItalicMT"/>
          <w:i/>
          <w:iCs/>
        </w:rPr>
        <w:t>-ter (Criteri e Parametri).</w:t>
      </w:r>
    </w:p>
    <w:p w:rsidR="00DA5015" w:rsidRDefault="00DA5015" w:rsidP="00DA5015">
      <w:pPr>
        <w:jc w:val="both"/>
        <w:rPr>
          <w:rFonts w:cs="TimesNewRomanPSMT"/>
        </w:rPr>
      </w:pPr>
      <w:r>
        <w:rPr>
          <w:rFonts w:cs="TimesNewRomanPS-ItalicMT"/>
          <w:i/>
          <w:iCs/>
        </w:rPr>
        <w:t xml:space="preserve"> </w:t>
      </w:r>
      <w:r>
        <w:rPr>
          <w:rFonts w:cs="TimesNewRomanPSMT"/>
        </w:rPr>
        <w:t>— 1. Ai fini della liquidazione del compenso, l’organo giurisdizionale tiene conto, orientativamente, per ciascuna attività, dell’importo relativo al valore medio di riferimento dell’intervento come riportato nella Tabella B - Assistenti Sociali, aumentandolo o riducendolo secondo la forbice indicata dalla tabella per adeguare il valore medio medesimo a quello della prestazione effettivamente svolta.</w:t>
      </w:r>
    </w:p>
    <w:p w:rsidR="00DA5015" w:rsidRDefault="00DA5015" w:rsidP="00DA5015">
      <w:pPr>
        <w:jc w:val="both"/>
        <w:rPr>
          <w:rFonts w:cs="TimesNewRomanPSMT"/>
        </w:rPr>
      </w:pPr>
      <w:r>
        <w:rPr>
          <w:rFonts w:cs="TimesNewRomanPSMT"/>
        </w:rPr>
        <w:t>2. Per valore medio di riferimento dell’intervento si intende la quantificazione in termini monetari di una prestazione professionale, complessivamente considerata, che non implica la soluzione di problemi tecnici di speciale difficoltà o tenuità.</w:t>
      </w:r>
    </w:p>
    <w:p w:rsidR="00DA5015" w:rsidRDefault="00DA5015" w:rsidP="00DA5015">
      <w:pPr>
        <w:jc w:val="both"/>
        <w:rPr>
          <w:rFonts w:cs="TimesNewRomanPSMT"/>
        </w:rPr>
      </w:pPr>
      <w:r>
        <w:rPr>
          <w:rFonts w:cs="TimesNewRomanPSMT"/>
        </w:rPr>
        <w:t>3. Il compenso di cui al comma 1 può essere aumentato o ridotto, anche derogando alle forbici indicate nella tabella allegata, in considerazione:</w:t>
      </w:r>
    </w:p>
    <w:p w:rsidR="00DA5015" w:rsidRDefault="00DA5015" w:rsidP="00DA5015">
      <w:pPr>
        <w:jc w:val="both"/>
        <w:rPr>
          <w:rFonts w:cs="TimesNewRomanPSMT"/>
        </w:rPr>
      </w:pPr>
      <w:r>
        <w:rPr>
          <w:rFonts w:cs="TimesNewRomanPS-ItalicMT"/>
          <w:i/>
          <w:iCs/>
        </w:rPr>
        <w:t xml:space="preserve">a) </w:t>
      </w:r>
      <w:r>
        <w:rPr>
          <w:rFonts w:cs="TimesNewRomanPSMT"/>
        </w:rPr>
        <w:t>dell’importanza delle questioni trattate, tenuto conto degli interessi sostanziali sui quali incide la prestazione professionale;</w:t>
      </w:r>
    </w:p>
    <w:p w:rsidR="00DA5015" w:rsidRDefault="00DA5015" w:rsidP="00DA5015">
      <w:pPr>
        <w:jc w:val="both"/>
        <w:rPr>
          <w:rFonts w:cs="TimesNewRomanPSMT"/>
        </w:rPr>
      </w:pPr>
      <w:r>
        <w:rPr>
          <w:rFonts w:cs="TimesNewRomanPS-ItalicMT"/>
          <w:i/>
          <w:iCs/>
        </w:rPr>
        <w:t xml:space="preserve">b) </w:t>
      </w:r>
      <w:r>
        <w:rPr>
          <w:rFonts w:cs="TimesNewRomanPSMT"/>
        </w:rPr>
        <w:t>della rilevanza patrimoniale dei progetti o dei programmi indicati nella tabella A;</w:t>
      </w:r>
    </w:p>
    <w:p w:rsidR="00DA5015" w:rsidRDefault="00DA5015" w:rsidP="00DA5015">
      <w:pPr>
        <w:jc w:val="both"/>
        <w:rPr>
          <w:rFonts w:cs="TimesNewRomanPSMT"/>
        </w:rPr>
      </w:pPr>
      <w:r>
        <w:rPr>
          <w:rFonts w:cs="TimesNewRomanPS-ItalicMT"/>
          <w:i/>
          <w:iCs/>
        </w:rPr>
        <w:t xml:space="preserve">c) </w:t>
      </w:r>
      <w:r>
        <w:rPr>
          <w:rFonts w:cs="TimesNewRomanPSMT"/>
        </w:rPr>
        <w:t>della complessità della prestazione tenuto conto dell’impegno profuso anche in termini di tempo dedicato, della presenza di questioni tecniche di particolare difficoltà o tenuità, della necessità di operare in situazioni ambientali disagiate;</w:t>
      </w:r>
    </w:p>
    <w:p w:rsidR="00DA5015" w:rsidRDefault="00DA5015" w:rsidP="00DA5015">
      <w:pPr>
        <w:jc w:val="both"/>
        <w:rPr>
          <w:rFonts w:cs="TimesNewRomanPSMT"/>
        </w:rPr>
      </w:pPr>
      <w:r>
        <w:rPr>
          <w:rFonts w:cs="TimesNewRomanPS-ItalicMT"/>
          <w:i/>
          <w:iCs/>
        </w:rPr>
        <w:t xml:space="preserve">d) </w:t>
      </w:r>
      <w:r>
        <w:rPr>
          <w:rFonts w:cs="TimesNewRomanPSMT"/>
        </w:rPr>
        <w:t>dell’urgenza della prestazione;</w:t>
      </w:r>
    </w:p>
    <w:p w:rsidR="00DA5015" w:rsidRDefault="00DA5015" w:rsidP="00DA5015">
      <w:pPr>
        <w:jc w:val="both"/>
        <w:rPr>
          <w:rFonts w:cs="TimesNewRomanPSMT"/>
        </w:rPr>
      </w:pPr>
      <w:r>
        <w:rPr>
          <w:rFonts w:cs="TimesNewRomanPS-ItalicMT"/>
          <w:i/>
          <w:iCs/>
        </w:rPr>
        <w:t xml:space="preserve">e) </w:t>
      </w:r>
      <w:r>
        <w:rPr>
          <w:rFonts w:cs="TimesNewRomanPSMT"/>
        </w:rPr>
        <w:t>della natura di ente pubblico o privato, per categorie omogenee di soggetti, del cliente.</w:t>
      </w:r>
    </w:p>
    <w:p w:rsidR="00DA5015" w:rsidRDefault="00DA5015" w:rsidP="00DA5015">
      <w:pPr>
        <w:jc w:val="both"/>
        <w:rPr>
          <w:rFonts w:cs="TimesNewRomanPSMT"/>
        </w:rPr>
      </w:pPr>
      <w:r>
        <w:rPr>
          <w:rFonts w:cs="TimesNewRomanPSMT"/>
        </w:rPr>
        <w:t>4. Quando l’attività professionale svolta non può essere ricondotta a una delle voci di cui alla tabella B – Assistenti Sociali neppure in via analogica, il compenso, in via eccezionale, è liquidato a vacazione. La vacazione è di un’ora o frazione di ora. Non possono essere liquidate più di otto vacazioni per una giornata. Il compenso per la prima vacazione è di euro 90,00; per le successive è di euro 80,00. Si applica il comma 3.</w:t>
      </w:r>
    </w:p>
    <w:p w:rsidR="00DA5015" w:rsidRDefault="00DA5015" w:rsidP="00DA5015">
      <w:pPr>
        <w:jc w:val="both"/>
        <w:rPr>
          <w:rFonts w:cs="TimesNewRomanPSMT"/>
        </w:rPr>
      </w:pPr>
      <w:r>
        <w:rPr>
          <w:rFonts w:cs="TimesNewRomanPSMT"/>
        </w:rPr>
        <w:t>5. Per quanto non espressamente previsto dal presente capo, si applica l’articolo 40.</w:t>
      </w:r>
    </w:p>
    <w:p w:rsidR="00DA5015" w:rsidRDefault="00DA5015" w:rsidP="00DA5015">
      <w:pPr>
        <w:jc w:val="both"/>
        <w:rPr>
          <w:rFonts w:cs="TimesNewRomanPSMT"/>
        </w:rPr>
      </w:pPr>
      <w:r>
        <w:rPr>
          <w:rFonts w:cs="TimesNewRomanPSMT"/>
        </w:rPr>
        <w:t xml:space="preserve">Capo V </w:t>
      </w:r>
      <w:r>
        <w:rPr>
          <w:rFonts w:cs="TimesNewRomanPS-ItalicMT"/>
          <w:i/>
          <w:iCs/>
        </w:rPr>
        <w:t xml:space="preserve">-ter </w:t>
      </w:r>
      <w:r>
        <w:rPr>
          <w:rFonts w:cs="TimesNewRomanPSMT"/>
        </w:rPr>
        <w:t>- Disposizioni concernenti gli attuari</w:t>
      </w:r>
    </w:p>
    <w:p w:rsidR="00DA5015" w:rsidRDefault="00DA5015" w:rsidP="00DA5015">
      <w:pPr>
        <w:jc w:val="both"/>
        <w:rPr>
          <w:rFonts w:cs="TimesNewRomanPSMT"/>
        </w:rPr>
      </w:pPr>
      <w:r>
        <w:rPr>
          <w:rFonts w:cs="TimesNewRomanPSMT"/>
        </w:rPr>
        <w:t xml:space="preserve">Art. 39 </w:t>
      </w:r>
      <w:r>
        <w:rPr>
          <w:rFonts w:cs="TimesNewRomanPS-ItalicMT"/>
          <w:i/>
          <w:iCs/>
        </w:rPr>
        <w:t xml:space="preserve">-quater (Tipologia di attività e parametri). </w:t>
      </w:r>
      <w:r>
        <w:rPr>
          <w:rFonts w:cs="TimesNewRomanPSMT"/>
        </w:rPr>
        <w:t>—</w:t>
      </w:r>
    </w:p>
    <w:p w:rsidR="00DA5015" w:rsidRDefault="00DA5015" w:rsidP="00DA5015">
      <w:pPr>
        <w:jc w:val="both"/>
        <w:rPr>
          <w:rFonts w:cs="TimesNewRomanPSMT"/>
        </w:rPr>
      </w:pPr>
      <w:r>
        <w:rPr>
          <w:rFonts w:cs="TimesNewRomanPSMT"/>
        </w:rPr>
        <w:t>1. Ai fini della liquidazione di cui all’articolo 1, l’attività degli attuari iscritti alla sezione A dell’Albo Nazionale degli Attuari si distingue in: attività riservate per legge; altre attività.</w:t>
      </w:r>
    </w:p>
    <w:p w:rsidR="00DA5015" w:rsidRDefault="00DA5015" w:rsidP="00DA5015">
      <w:pPr>
        <w:jc w:val="both"/>
        <w:rPr>
          <w:rFonts w:cs="TimesNewRomanPSMT"/>
        </w:rPr>
      </w:pPr>
      <w:r>
        <w:rPr>
          <w:rFonts w:cs="TimesNewRomanPSMT"/>
        </w:rPr>
        <w:t>2. Le attività riservate per legge si distinguono in:</w:t>
      </w:r>
    </w:p>
    <w:p w:rsidR="00DA5015" w:rsidRDefault="00DA5015" w:rsidP="00DA5015">
      <w:pPr>
        <w:jc w:val="both"/>
        <w:rPr>
          <w:rFonts w:cs="TimesNewRomanPSMT"/>
        </w:rPr>
      </w:pPr>
      <w:r>
        <w:rPr>
          <w:rFonts w:cs="TimesNewRomanPS-ItalicMT"/>
          <w:i/>
          <w:iCs/>
        </w:rPr>
        <w:t xml:space="preserve">a) </w:t>
      </w:r>
      <w:r>
        <w:rPr>
          <w:rFonts w:cs="TimesNewRomanPSMT"/>
        </w:rPr>
        <w:t>autorizzazione a esercitare l’attività assicurativa;</w:t>
      </w:r>
    </w:p>
    <w:p w:rsidR="00DA5015" w:rsidRDefault="00DA5015" w:rsidP="00DA5015">
      <w:pPr>
        <w:jc w:val="both"/>
        <w:rPr>
          <w:rFonts w:cs="TimesNewRomanPSMT"/>
        </w:rPr>
      </w:pPr>
      <w:r>
        <w:rPr>
          <w:rFonts w:cs="TimesNewRomanPS-ItalicMT"/>
          <w:i/>
          <w:iCs/>
        </w:rPr>
        <w:t xml:space="preserve">b) </w:t>
      </w:r>
      <w:r>
        <w:rPr>
          <w:rFonts w:cs="TimesNewRomanPSMT"/>
        </w:rPr>
        <w:t>attività su incarico delle imprese che esercitano attività assicurativa nei rami vita e responsabilità civile di auto e natanti;</w:t>
      </w:r>
    </w:p>
    <w:p w:rsidR="00DA5015" w:rsidRDefault="00DA5015" w:rsidP="00DA5015">
      <w:pPr>
        <w:jc w:val="both"/>
        <w:rPr>
          <w:rFonts w:cs="TimesNewRomanPSMT"/>
        </w:rPr>
      </w:pPr>
      <w:r>
        <w:rPr>
          <w:rFonts w:cs="TimesNewRomanPS-ItalicMT"/>
          <w:i/>
          <w:iCs/>
        </w:rPr>
        <w:t xml:space="preserve">c) </w:t>
      </w:r>
      <w:r>
        <w:rPr>
          <w:rFonts w:cs="TimesNewRomanPSMT"/>
        </w:rPr>
        <w:t>attività per le società di revisione.</w:t>
      </w:r>
    </w:p>
    <w:p w:rsidR="00DA5015" w:rsidRDefault="00DA5015" w:rsidP="00DA5015">
      <w:pPr>
        <w:jc w:val="both"/>
        <w:rPr>
          <w:rFonts w:cs="TimesNewRomanPSMT"/>
        </w:rPr>
      </w:pPr>
      <w:r>
        <w:rPr>
          <w:rFonts w:cs="TimesNewRomanPSMT"/>
        </w:rPr>
        <w:t>3. Ai fini della liquidazione delle attività di cui al comma 2, l’organo giurisdizionale tiene conto orientativamente, per ciascuna categoria di atti, del valore medio di riferimento come indicato, per ogni scaglione, nella</w:t>
      </w:r>
    </w:p>
    <w:p w:rsidR="00DA5015" w:rsidRDefault="00DA5015" w:rsidP="00DA5015">
      <w:pPr>
        <w:jc w:val="both"/>
        <w:rPr>
          <w:rFonts w:cs="TimesNewRomanPSMT"/>
        </w:rPr>
      </w:pPr>
      <w:proofErr w:type="gramStart"/>
      <w:r>
        <w:rPr>
          <w:rFonts w:cs="TimesNewRomanPSMT"/>
        </w:rPr>
        <w:t>tabella</w:t>
      </w:r>
      <w:proofErr w:type="gramEnd"/>
      <w:r>
        <w:rPr>
          <w:rFonts w:cs="TimesNewRomanPSMT"/>
        </w:rPr>
        <w:t xml:space="preserve"> A - Attuari, aumentato o ridotto fino al 20 per cento in considerazione della difficoltà e complessità della prestazione, dell’impegno richiesto al professionista e del grado di responsabilità che il professionista assume anche nei confronti delle autorità di controllo e di sorveglianza previste dalla legge.</w:t>
      </w:r>
    </w:p>
    <w:p w:rsidR="00DA5015" w:rsidRDefault="00DA5015" w:rsidP="00DA5015">
      <w:pPr>
        <w:jc w:val="both"/>
        <w:rPr>
          <w:rFonts w:cs="TimesNewRomanPSMT"/>
        </w:rPr>
      </w:pPr>
      <w:r>
        <w:rPr>
          <w:rFonts w:cs="TimesNewRomanPSMT"/>
        </w:rPr>
        <w:t>4. Rientrano tra le «altre attività» quelle elencate nella tabella B - Attuari. Ai fini della liquidazione di tali attività, l’organo giurisdizionale tiene conto orientativamente del compenso medio indicato in tabella, aumentato o ridotto fino al trenta per cento in considerazione dei parametri di cui al comma 3.</w:t>
      </w:r>
    </w:p>
    <w:p w:rsidR="00DA5015" w:rsidRDefault="00DA5015" w:rsidP="00DA5015">
      <w:pPr>
        <w:jc w:val="both"/>
        <w:rPr>
          <w:rFonts w:cs="TimesNewRomanPSMT"/>
        </w:rPr>
      </w:pPr>
      <w:r>
        <w:rPr>
          <w:rFonts w:cs="TimesNewRomanPSMT"/>
        </w:rPr>
        <w:t xml:space="preserve">5. Quando l’attività professionale svolta non può essere ricondotta a una delle voci di cui alle tabelle A – Attuari e B - Attuari neppure in via analogica, il compenso è liquidato, in via eccezionale, a </w:t>
      </w:r>
      <w:r>
        <w:rPr>
          <w:rFonts w:cs="TimesNewRomanPSMT"/>
        </w:rPr>
        <w:lastRenderedPageBreak/>
        <w:t xml:space="preserve">vacazione. La vacazione è di un’ora o frazione di ora. Non possono essere liquidate più di otto vacazioni per una giornata. Per ogni vacazione è liquidato un compenso da euro </w:t>
      </w:r>
      <w:smartTag w:uri="urn:schemas-microsoft-com:office:smarttags" w:element="metricconverter">
        <w:smartTagPr>
          <w:attr w:name="ProductID" w:val="200,00 a"/>
        </w:smartTagPr>
        <w:r>
          <w:rPr>
            <w:rFonts w:cs="TimesNewRomanPSMT"/>
          </w:rPr>
          <w:t>200,00 a</w:t>
        </w:r>
      </w:smartTag>
      <w:r>
        <w:rPr>
          <w:rFonts w:cs="TimesNewRomanPSMT"/>
        </w:rPr>
        <w:t xml:space="preserve"> euro 400,00. Il parametro numerico di cui al periodo precedente è derogabile.</w:t>
      </w:r>
    </w:p>
    <w:p w:rsidR="00DA5015" w:rsidRDefault="00DA5015" w:rsidP="00DA5015">
      <w:pPr>
        <w:jc w:val="both"/>
        <w:rPr>
          <w:rFonts w:cs="TimesNewRomanPSMT"/>
        </w:rPr>
      </w:pPr>
      <w:r>
        <w:rPr>
          <w:rFonts w:cs="TimesNewRomanPSMT"/>
        </w:rPr>
        <w:t xml:space="preserve">Articolo 39 </w:t>
      </w:r>
      <w:r>
        <w:rPr>
          <w:rFonts w:cs="TimesNewRomanPS-ItalicMT"/>
          <w:i/>
          <w:iCs/>
        </w:rPr>
        <w:t>-</w:t>
      </w:r>
      <w:proofErr w:type="spellStart"/>
      <w:r>
        <w:rPr>
          <w:rFonts w:cs="TimesNewRomanPS-ItalicMT"/>
          <w:i/>
          <w:iCs/>
        </w:rPr>
        <w:t>quinquies</w:t>
      </w:r>
      <w:proofErr w:type="spellEnd"/>
      <w:r>
        <w:rPr>
          <w:rFonts w:cs="TimesNewRomanPS-ItalicMT"/>
          <w:i/>
          <w:iCs/>
        </w:rPr>
        <w:t xml:space="preserve"> (Attuari junior) omissis. </w:t>
      </w:r>
      <w:r>
        <w:rPr>
          <w:rFonts w:cs="TimesNewRomanPSMT"/>
        </w:rPr>
        <w:t xml:space="preserve">— </w:t>
      </w:r>
    </w:p>
    <w:p w:rsidR="00DA5015" w:rsidRDefault="00DA5015" w:rsidP="00DA5015">
      <w:pPr>
        <w:jc w:val="both"/>
        <w:rPr>
          <w:rFonts w:cs="TimesNewRomanPSMT"/>
        </w:rPr>
      </w:pPr>
      <w:r>
        <w:rPr>
          <w:rFonts w:cs="TimesNewRomanPSMT"/>
        </w:rPr>
        <w:t>Art. 4.</w:t>
      </w:r>
    </w:p>
    <w:p w:rsidR="00DA5015" w:rsidRDefault="00DA5015" w:rsidP="00DA5015">
      <w:pPr>
        <w:jc w:val="both"/>
        <w:rPr>
          <w:rFonts w:cs="TimesNewRomanPS-ItalicMT"/>
          <w:i/>
          <w:iCs/>
        </w:rPr>
      </w:pPr>
      <w:r>
        <w:rPr>
          <w:rFonts w:cs="TimesNewRomanPS-ItalicMT"/>
          <w:i/>
          <w:iCs/>
        </w:rPr>
        <w:t>Entrata in vigore</w:t>
      </w:r>
    </w:p>
    <w:p w:rsidR="00DA5015" w:rsidRDefault="00DA5015" w:rsidP="00DA5015">
      <w:pPr>
        <w:jc w:val="both"/>
        <w:rPr>
          <w:rFonts w:cs="TimesNewRomanPSMT"/>
        </w:rPr>
      </w:pPr>
      <w:r>
        <w:rPr>
          <w:rFonts w:cs="TimesNewRomanPSMT"/>
        </w:rPr>
        <w:t xml:space="preserve">1. Il presente decreto entra in vigore il giorno successivo a quello della sua pubblicazione nella </w:t>
      </w:r>
      <w:r>
        <w:rPr>
          <w:rFonts w:cs="TimesNewRomanPS-ItalicMT"/>
          <w:i/>
          <w:iCs/>
        </w:rPr>
        <w:t xml:space="preserve">Gazzetta Ufficiale </w:t>
      </w:r>
      <w:r>
        <w:rPr>
          <w:rFonts w:cs="TimesNewRomanPSMT"/>
        </w:rPr>
        <w:t>della Repubblica italiana.</w:t>
      </w:r>
    </w:p>
    <w:p w:rsidR="00DA5015" w:rsidRDefault="00DA5015" w:rsidP="00DA5015">
      <w:pPr>
        <w:jc w:val="both"/>
        <w:rPr>
          <w:rFonts w:cs="TimesNewRomanPSMT"/>
        </w:rPr>
      </w:pPr>
      <w:r>
        <w:rPr>
          <w:rFonts w:cs="TimesNewRomanPSMT"/>
        </w:rPr>
        <w:t>Il presente decreto, munito del sigillo dello Stato, sarà inserito nella Raccolta ufficiale degli atti normativi della Repubblica italiana. È fatto obbligo a chiunque spetti di osservarlo e di farlo osservare.</w:t>
      </w:r>
    </w:p>
    <w:p w:rsidR="00DA5015" w:rsidRDefault="00DA5015" w:rsidP="00DA5015">
      <w:pPr>
        <w:jc w:val="both"/>
        <w:rPr>
          <w:rFonts w:cs="TimesNewRomanPSMT"/>
        </w:rPr>
      </w:pPr>
      <w:r>
        <w:rPr>
          <w:rFonts w:cs="TimesNewRomanPSMT"/>
        </w:rPr>
        <w:t>Dato a Roma, addì 2 agosto 2013</w:t>
      </w:r>
    </w:p>
    <w:p w:rsidR="00DA5015" w:rsidRDefault="00DA5015" w:rsidP="00DA5015">
      <w:pPr>
        <w:jc w:val="both"/>
        <w:rPr>
          <w:rFonts w:cs="TimesNewRomanPSMT"/>
        </w:rPr>
      </w:pPr>
      <w:r>
        <w:rPr>
          <w:rFonts w:cs="TimesNewRomanPS-ItalicMT"/>
          <w:i/>
          <w:iCs/>
        </w:rPr>
        <w:t xml:space="preserve">Il Ministro: </w:t>
      </w:r>
      <w:r>
        <w:rPr>
          <w:rFonts w:cs="TimesNewRomanPSMT"/>
        </w:rPr>
        <w:t>CANCELLIERI</w:t>
      </w:r>
    </w:p>
    <w:p w:rsidR="00DA5015" w:rsidRDefault="00DA5015" w:rsidP="00DA5015">
      <w:pPr>
        <w:jc w:val="both"/>
        <w:rPr>
          <w:rFonts w:cs="TimesNewRomanPSMT"/>
        </w:rPr>
      </w:pPr>
      <w:r>
        <w:rPr>
          <w:rFonts w:cs="TimesNewRomanPSMT"/>
        </w:rPr>
        <w:t xml:space="preserve">Visto, </w:t>
      </w:r>
      <w:r>
        <w:rPr>
          <w:rFonts w:cs="TimesNewRomanPS-ItalicMT"/>
          <w:i/>
          <w:iCs/>
        </w:rPr>
        <w:t xml:space="preserve">il Guardasigilli: </w:t>
      </w:r>
      <w:r>
        <w:rPr>
          <w:rFonts w:cs="TimesNewRomanPSMT"/>
        </w:rPr>
        <w:t>CANCELLIERI</w:t>
      </w:r>
    </w:p>
    <w:p w:rsidR="00DA5015" w:rsidRDefault="00DA5015" w:rsidP="00DA5015">
      <w:pPr>
        <w:jc w:val="both"/>
        <w:rPr>
          <w:rFonts w:cs="TimesNewRomanPS-ItalicMT"/>
          <w:i/>
          <w:iCs/>
        </w:rPr>
      </w:pPr>
      <w:r>
        <w:rPr>
          <w:rFonts w:cs="TimesNewRomanPS-ItalicMT"/>
          <w:i/>
          <w:iCs/>
        </w:rPr>
        <w:t>Registrato alla Corte dei conti il 13 settembre 2013</w:t>
      </w:r>
    </w:p>
    <w:p w:rsidR="00DA5015" w:rsidRDefault="00DA5015" w:rsidP="00DA5015">
      <w:pPr>
        <w:jc w:val="both"/>
        <w:rPr>
          <w:rFonts w:cs="TimesNewRomanPS-ItalicMT"/>
          <w:i/>
          <w:iCs/>
        </w:rPr>
      </w:pPr>
      <w:r>
        <w:rPr>
          <w:rFonts w:cs="TimesNewRomanPS-ItalicMT"/>
          <w:i/>
          <w:iCs/>
        </w:rPr>
        <w:t>Presidenza del Consiglio dei ministri, registro n. 7, foglio n. 395</w:t>
      </w:r>
    </w:p>
    <w:p w:rsidR="00DA5015" w:rsidRDefault="00DA5015" w:rsidP="00DA5015">
      <w:pPr>
        <w:jc w:val="both"/>
        <w:rPr>
          <w:rFonts w:cs="TimesNewRomanPSMT"/>
        </w:rPr>
      </w:pPr>
      <w:r>
        <w:rPr>
          <w:rFonts w:cs="TimesNewRomanPSMT"/>
        </w:rPr>
        <w:t>TABELLA A</w:t>
      </w:r>
    </w:p>
    <w:p w:rsidR="00DA5015" w:rsidRDefault="00DA5015" w:rsidP="00DA5015">
      <w:pPr>
        <w:jc w:val="both"/>
        <w:rPr>
          <w:rFonts w:cs="TimesNewRomanPSMT"/>
        </w:rPr>
      </w:pPr>
      <w:r>
        <w:rPr>
          <w:rFonts w:cs="TimesNewRomanPSMT"/>
        </w:rPr>
        <w:t>NOTAI</w:t>
      </w:r>
    </w:p>
    <w:p w:rsidR="00DA5015" w:rsidRDefault="00DA5015" w:rsidP="00DA5015">
      <w:pPr>
        <w:jc w:val="both"/>
        <w:rPr>
          <w:rFonts w:cs="TimesNewRomanPSMT"/>
        </w:rPr>
      </w:pPr>
      <w:r>
        <w:rPr>
          <w:rFonts w:cs="TimesNewRomanPSMT"/>
        </w:rPr>
        <w:t xml:space="preserve">Omissis </w:t>
      </w:r>
    </w:p>
    <w:p w:rsidR="00DA5015" w:rsidRDefault="00DA5015" w:rsidP="00DA5015">
      <w:pPr>
        <w:jc w:val="both"/>
        <w:rPr>
          <w:rFonts w:cs="TimesNewRomanPSMT"/>
        </w:rPr>
      </w:pPr>
      <w:r>
        <w:rPr>
          <w:rFonts w:cs="TimesNewRomanPSMT"/>
        </w:rPr>
        <w:t>TABELLA A</w:t>
      </w:r>
    </w:p>
    <w:p w:rsidR="00DA5015" w:rsidRDefault="00DA5015" w:rsidP="00DA5015">
      <w:pPr>
        <w:jc w:val="both"/>
        <w:rPr>
          <w:rFonts w:cs="TimesNewRomanPSMT"/>
        </w:rPr>
      </w:pPr>
      <w:r>
        <w:rPr>
          <w:rFonts w:cs="TimesNewRomanPSMT"/>
        </w:rPr>
        <w:t>ASSISTENTI SOCIALI</w:t>
      </w:r>
    </w:p>
    <w:p w:rsidR="00DA5015" w:rsidRDefault="00DA5015" w:rsidP="00DA5015">
      <w:pPr>
        <w:jc w:val="both"/>
        <w:rPr>
          <w:rFonts w:cs="TimesNewRomanPSMT"/>
        </w:rPr>
      </w:pPr>
      <w:r>
        <w:rPr>
          <w:rFonts w:cs="TimesNewRomanPSMT"/>
        </w:rPr>
        <w:t>Area relazionale</w:t>
      </w:r>
    </w:p>
    <w:p w:rsidR="00DA5015" w:rsidRDefault="00DA5015" w:rsidP="00DA5015">
      <w:pPr>
        <w:jc w:val="both"/>
        <w:rPr>
          <w:rFonts w:cs="TimesNewRomanPS-ItalicMT"/>
          <w:i/>
          <w:iCs/>
        </w:rPr>
      </w:pPr>
      <w:r>
        <w:rPr>
          <w:rFonts w:cs="TimesNewRomanPS-ItalicMT"/>
          <w:i/>
          <w:iCs/>
        </w:rPr>
        <w:t>Singolo/Persona. Famiglia: interventi</w:t>
      </w:r>
    </w:p>
    <w:p w:rsidR="00DA5015" w:rsidRDefault="00DA5015" w:rsidP="00DA5015">
      <w:pPr>
        <w:jc w:val="both"/>
        <w:rPr>
          <w:rFonts w:cs="TimesNewRomanPSMT"/>
        </w:rPr>
      </w:pPr>
      <w:r>
        <w:rPr>
          <w:rFonts w:cs="TimesNewRomanPSMT"/>
        </w:rPr>
        <w:t>1. Primo colloquio</w:t>
      </w:r>
    </w:p>
    <w:p w:rsidR="00DA5015" w:rsidRDefault="00DA5015" w:rsidP="00DA5015">
      <w:pPr>
        <w:jc w:val="both"/>
        <w:rPr>
          <w:rFonts w:cs="TimesNewRomanPSMT"/>
        </w:rPr>
      </w:pPr>
      <w:r>
        <w:rPr>
          <w:rFonts w:cs="TimesNewRomanPSMT"/>
        </w:rPr>
        <w:t>2. Analisi della domanda e studio del caso</w:t>
      </w:r>
    </w:p>
    <w:p w:rsidR="00DA5015" w:rsidRDefault="00DA5015" w:rsidP="00DA5015">
      <w:pPr>
        <w:jc w:val="both"/>
        <w:rPr>
          <w:rFonts w:cs="TimesNewRomanPSMT"/>
        </w:rPr>
      </w:pPr>
      <w:r>
        <w:rPr>
          <w:rFonts w:cs="TimesNewRomanPSMT"/>
        </w:rPr>
        <w:t>3. Ricerca, analisi e valutazione della documentazione specifica</w:t>
      </w:r>
    </w:p>
    <w:p w:rsidR="00DA5015" w:rsidRDefault="00DA5015" w:rsidP="00DA5015">
      <w:pPr>
        <w:jc w:val="both"/>
        <w:rPr>
          <w:rFonts w:cs="TimesNewRomanPSMT"/>
        </w:rPr>
      </w:pPr>
      <w:r>
        <w:rPr>
          <w:rFonts w:cs="TimesNewRomanPSMT"/>
        </w:rPr>
        <w:t>4.</w:t>
      </w:r>
    </w:p>
    <w:p w:rsidR="00DA5015" w:rsidRDefault="00DA5015" w:rsidP="00DA5015">
      <w:pPr>
        <w:jc w:val="both"/>
        <w:rPr>
          <w:rFonts w:cs="TimesNewRomanPSMT"/>
        </w:rPr>
      </w:pPr>
      <w:r>
        <w:rPr>
          <w:rFonts w:cs="TimesNewRomanPS-ItalicMT"/>
          <w:i/>
          <w:iCs/>
        </w:rPr>
        <w:t xml:space="preserve">a) </w:t>
      </w:r>
      <w:r>
        <w:rPr>
          <w:rFonts w:cs="TimesNewRomanPSMT"/>
        </w:rPr>
        <w:t>ricerca risorse/o orientamento attività specifiche</w:t>
      </w:r>
    </w:p>
    <w:p w:rsidR="00DA5015" w:rsidRDefault="00DA5015" w:rsidP="00DA5015">
      <w:pPr>
        <w:jc w:val="both"/>
        <w:rPr>
          <w:rFonts w:cs="TimesNewRomanPSMT"/>
        </w:rPr>
      </w:pPr>
      <w:r>
        <w:rPr>
          <w:rFonts w:cs="TimesNewRomanPS-ItalicMT"/>
          <w:i/>
          <w:iCs/>
        </w:rPr>
        <w:t xml:space="preserve">b) </w:t>
      </w:r>
      <w:r>
        <w:rPr>
          <w:rFonts w:cs="TimesNewRomanPSMT"/>
        </w:rPr>
        <w:t>attivazione, conduzione e gestione della rete delle risorse</w:t>
      </w:r>
    </w:p>
    <w:p w:rsidR="00DA5015" w:rsidRDefault="00DA5015" w:rsidP="00DA5015">
      <w:pPr>
        <w:jc w:val="both"/>
        <w:rPr>
          <w:rFonts w:cs="TimesNewRomanPSMT"/>
        </w:rPr>
      </w:pPr>
      <w:r>
        <w:rPr>
          <w:rFonts w:cs="TimesNewRomanPSMT"/>
        </w:rPr>
        <w:t xml:space="preserve">5. Colloquio di </w:t>
      </w:r>
      <w:proofErr w:type="spellStart"/>
      <w:r>
        <w:rPr>
          <w:rFonts w:cs="TimesNewRomanPS-ItalicMT"/>
          <w:i/>
          <w:iCs/>
        </w:rPr>
        <w:t>counselling</w:t>
      </w:r>
      <w:proofErr w:type="spellEnd"/>
      <w:r>
        <w:rPr>
          <w:rFonts w:cs="TimesNewRomanPS-ItalicMT"/>
          <w:i/>
          <w:iCs/>
        </w:rPr>
        <w:t xml:space="preserve"> </w:t>
      </w:r>
      <w:r>
        <w:rPr>
          <w:rFonts w:cs="TimesNewRomanPSMT"/>
        </w:rPr>
        <w:t>/sostegno/valutazione/restituzione</w:t>
      </w:r>
    </w:p>
    <w:p w:rsidR="00DA5015" w:rsidRDefault="00DA5015" w:rsidP="00DA5015">
      <w:pPr>
        <w:jc w:val="both"/>
        <w:rPr>
          <w:rFonts w:cs="TimesNewRomanPSMT"/>
        </w:rPr>
      </w:pPr>
      <w:r>
        <w:rPr>
          <w:rFonts w:cs="TimesNewRomanPSMT"/>
        </w:rPr>
        <w:t>6. Mediazione familiare e dei conflitti</w:t>
      </w:r>
    </w:p>
    <w:p w:rsidR="00DA5015" w:rsidRDefault="00DA5015" w:rsidP="00DA5015">
      <w:pPr>
        <w:jc w:val="both"/>
        <w:rPr>
          <w:rFonts w:cs="TimesNewRomanPSMT"/>
        </w:rPr>
      </w:pPr>
      <w:r>
        <w:rPr>
          <w:rFonts w:cs="TimesNewRomanPSMT"/>
        </w:rPr>
        <w:t>7. Visita domiciliare</w:t>
      </w:r>
    </w:p>
    <w:p w:rsidR="00DA5015" w:rsidRDefault="00DA5015" w:rsidP="00DA5015">
      <w:pPr>
        <w:jc w:val="both"/>
        <w:rPr>
          <w:rFonts w:cs="TimesNewRomanPSMT"/>
        </w:rPr>
      </w:pPr>
      <w:r>
        <w:rPr>
          <w:rFonts w:cs="TimesNewRomanPSMT"/>
        </w:rPr>
        <w:t>8. Progetto d’intervento: elaborazione, stesura e relativo contratto</w:t>
      </w:r>
    </w:p>
    <w:p w:rsidR="00DA5015" w:rsidRDefault="00DA5015" w:rsidP="00DA5015">
      <w:pPr>
        <w:jc w:val="both"/>
        <w:rPr>
          <w:rFonts w:cs="TimesNewRomanPSMT"/>
        </w:rPr>
      </w:pPr>
      <w:r>
        <w:rPr>
          <w:rFonts w:cs="TimesNewRomanPSMT"/>
        </w:rPr>
        <w:t xml:space="preserve">9. Consulenze, </w:t>
      </w:r>
      <w:proofErr w:type="gramStart"/>
      <w:r>
        <w:rPr>
          <w:rFonts w:cs="TimesNewRomanPS-ItalicMT"/>
          <w:i/>
          <w:iCs/>
        </w:rPr>
        <w:t xml:space="preserve">equipe </w:t>
      </w:r>
      <w:r>
        <w:rPr>
          <w:rFonts w:cs="TimesNewRomanPSMT"/>
        </w:rPr>
        <w:t>,</w:t>
      </w:r>
      <w:proofErr w:type="gramEnd"/>
      <w:r>
        <w:rPr>
          <w:rFonts w:cs="TimesNewRomanPSMT"/>
        </w:rPr>
        <w:t xml:space="preserve"> collaborazioni, coordinamento, valutazioni con referenti (scolastici, educativi, sanitari, psicologici, psicoterapeutici, legali, altro)</w:t>
      </w:r>
    </w:p>
    <w:p w:rsidR="00DA5015" w:rsidRDefault="00DA5015" w:rsidP="00DA5015">
      <w:pPr>
        <w:jc w:val="both"/>
        <w:rPr>
          <w:rFonts w:cs="TimesNewRomanPSMT"/>
        </w:rPr>
      </w:pPr>
      <w:r>
        <w:rPr>
          <w:rFonts w:cs="TimesNewRomanPSMT"/>
        </w:rPr>
        <w:t>10. Relazione sociale</w:t>
      </w:r>
    </w:p>
    <w:p w:rsidR="00DA5015" w:rsidRDefault="00DA5015" w:rsidP="00DA5015">
      <w:pPr>
        <w:jc w:val="both"/>
        <w:rPr>
          <w:rFonts w:cs="TimesNewRomanPSMT"/>
        </w:rPr>
      </w:pPr>
      <w:r>
        <w:rPr>
          <w:rFonts w:cs="TimesNewRomanPSMT"/>
        </w:rPr>
        <w:t>11. Progetto di inserimento in struttura: elaborazione, stesura, verifiche periodiche e valutazioni conclusive.</w:t>
      </w:r>
    </w:p>
    <w:p w:rsidR="00DA5015" w:rsidRDefault="00DA5015" w:rsidP="00DA5015">
      <w:pPr>
        <w:jc w:val="both"/>
        <w:rPr>
          <w:rFonts w:cs="TimesNewRomanPSMT"/>
        </w:rPr>
      </w:pPr>
      <w:r>
        <w:rPr>
          <w:rFonts w:cs="TimesNewRomanPSMT"/>
        </w:rPr>
        <w:t>Area gruppi e comunità</w:t>
      </w:r>
    </w:p>
    <w:p w:rsidR="00DA5015" w:rsidRDefault="00DA5015" w:rsidP="00DA5015">
      <w:pPr>
        <w:jc w:val="both"/>
        <w:rPr>
          <w:rFonts w:cs="TimesNewRomanPS-ItalicMT"/>
          <w:i/>
          <w:iCs/>
        </w:rPr>
      </w:pPr>
      <w:r>
        <w:rPr>
          <w:rFonts w:cs="TimesNewRomanPS-ItalicMT"/>
          <w:i/>
          <w:iCs/>
        </w:rPr>
        <w:t>Interventi</w:t>
      </w:r>
    </w:p>
    <w:p w:rsidR="00DA5015" w:rsidRDefault="00DA5015" w:rsidP="00DA5015">
      <w:pPr>
        <w:jc w:val="both"/>
        <w:rPr>
          <w:rFonts w:cs="TimesNewRomanPSMT"/>
        </w:rPr>
      </w:pPr>
      <w:r>
        <w:rPr>
          <w:rFonts w:cs="TimesNewRomanPSMT"/>
        </w:rPr>
        <w:t>12. Incontro di lavoro con i committenti</w:t>
      </w:r>
    </w:p>
    <w:p w:rsidR="00DA5015" w:rsidRDefault="00DA5015" w:rsidP="00DA5015">
      <w:pPr>
        <w:jc w:val="both"/>
        <w:rPr>
          <w:rFonts w:cs="TimesNewRomanPSMT"/>
        </w:rPr>
      </w:pPr>
      <w:r>
        <w:rPr>
          <w:rFonts w:cs="TimesNewRomanPSMT"/>
        </w:rPr>
        <w:t>13. Ricerca, raccolta, analisi e valutazione della documentazione e/o risorse</w:t>
      </w:r>
    </w:p>
    <w:p w:rsidR="00DA5015" w:rsidRDefault="00DA5015" w:rsidP="00DA5015">
      <w:pPr>
        <w:jc w:val="both"/>
        <w:rPr>
          <w:rFonts w:cs="TimesNewRomanPSMT"/>
        </w:rPr>
      </w:pPr>
      <w:r>
        <w:rPr>
          <w:rFonts w:cs="TimesNewRomanPSMT"/>
        </w:rPr>
        <w:t>14. Progetto e proposta organizzativa</w:t>
      </w:r>
    </w:p>
    <w:p w:rsidR="00DA5015" w:rsidRDefault="00DA5015" w:rsidP="00DA5015">
      <w:pPr>
        <w:jc w:val="both"/>
        <w:rPr>
          <w:rFonts w:cs="TimesNewRomanPSMT"/>
        </w:rPr>
      </w:pPr>
      <w:r>
        <w:rPr>
          <w:rFonts w:cs="TimesNewRomanPSMT"/>
        </w:rPr>
        <w:t>15. Conduzione riunioni</w:t>
      </w:r>
    </w:p>
    <w:p w:rsidR="00DA5015" w:rsidRDefault="00DA5015" w:rsidP="00DA5015">
      <w:pPr>
        <w:jc w:val="both"/>
        <w:rPr>
          <w:rFonts w:cs="TimesNewRomanPSMT"/>
        </w:rPr>
      </w:pPr>
      <w:r>
        <w:rPr>
          <w:rFonts w:cs="TimesNewRomanPSMT"/>
        </w:rPr>
        <w:t>16. Predisposizione materiale tecnico e stesura verbali o diario</w:t>
      </w:r>
    </w:p>
    <w:p w:rsidR="00DA5015" w:rsidRDefault="00DA5015" w:rsidP="00DA5015">
      <w:pPr>
        <w:jc w:val="both"/>
        <w:rPr>
          <w:rFonts w:cs="TimesNewRomanPSMT"/>
        </w:rPr>
      </w:pPr>
      <w:r>
        <w:rPr>
          <w:rFonts w:cs="TimesNewRomanPSMT"/>
        </w:rPr>
        <w:t>17. Relazione periodica e/o conclusiva</w:t>
      </w:r>
    </w:p>
    <w:p w:rsidR="00DA5015" w:rsidRDefault="00DA5015" w:rsidP="00DA5015">
      <w:pPr>
        <w:jc w:val="both"/>
        <w:rPr>
          <w:rFonts w:cs="TimesNewRomanPSMT"/>
        </w:rPr>
      </w:pPr>
      <w:r>
        <w:rPr>
          <w:rFonts w:cs="TimesNewRomanPSMT"/>
        </w:rPr>
        <w:t>18. Mediazione sociale</w:t>
      </w:r>
    </w:p>
    <w:p w:rsidR="00DA5015" w:rsidRDefault="00DA5015" w:rsidP="00DA5015">
      <w:pPr>
        <w:jc w:val="both"/>
        <w:rPr>
          <w:rFonts w:cs="TimesNewRomanPSMT"/>
        </w:rPr>
      </w:pPr>
      <w:r>
        <w:rPr>
          <w:rFonts w:cs="TimesNewRomanPSMT"/>
        </w:rPr>
        <w:t>19. Gestione di un progetto</w:t>
      </w:r>
    </w:p>
    <w:p w:rsidR="00DA5015" w:rsidRDefault="00DA5015" w:rsidP="00DA5015">
      <w:pPr>
        <w:jc w:val="both"/>
        <w:rPr>
          <w:rFonts w:cs="TimesNewRomanPSMT"/>
        </w:rPr>
      </w:pPr>
      <w:r>
        <w:rPr>
          <w:rFonts w:cs="TimesNewRomanPSMT"/>
        </w:rPr>
        <w:t>20. Conduzione di un gruppo</w:t>
      </w:r>
    </w:p>
    <w:p w:rsidR="00DA5015" w:rsidRDefault="00DA5015" w:rsidP="00DA5015">
      <w:pPr>
        <w:jc w:val="both"/>
        <w:rPr>
          <w:rFonts w:cs="TimesNewRomanPSMT"/>
        </w:rPr>
      </w:pPr>
      <w:r>
        <w:rPr>
          <w:rFonts w:cs="TimesNewRomanPSMT"/>
        </w:rPr>
        <w:t>Area didattico-formativa</w:t>
      </w:r>
    </w:p>
    <w:p w:rsidR="00DA5015" w:rsidRDefault="00DA5015" w:rsidP="00DA5015">
      <w:pPr>
        <w:jc w:val="both"/>
        <w:rPr>
          <w:rFonts w:cs="TimesNewRomanPS-ItalicMT"/>
          <w:i/>
          <w:iCs/>
        </w:rPr>
      </w:pPr>
      <w:r>
        <w:rPr>
          <w:rFonts w:cs="TimesNewRomanPS-ItalicMT"/>
          <w:i/>
          <w:iCs/>
        </w:rPr>
        <w:t>Interventi</w:t>
      </w:r>
    </w:p>
    <w:p w:rsidR="00DA5015" w:rsidRDefault="00DA5015" w:rsidP="00DA5015">
      <w:pPr>
        <w:jc w:val="both"/>
        <w:rPr>
          <w:rFonts w:cs="TimesNewRomanPSMT"/>
        </w:rPr>
      </w:pPr>
      <w:r>
        <w:rPr>
          <w:rFonts w:cs="TimesNewRomanPSMT"/>
        </w:rPr>
        <w:lastRenderedPageBreak/>
        <w:t>21. Analisi di fabbisogni formativi/programmazione di corsi di formazione</w:t>
      </w:r>
    </w:p>
    <w:p w:rsidR="00DA5015" w:rsidRDefault="00DA5015" w:rsidP="00DA5015">
      <w:pPr>
        <w:jc w:val="both"/>
        <w:rPr>
          <w:rFonts w:cs="TimesNewRomanPSMT"/>
        </w:rPr>
      </w:pPr>
      <w:r>
        <w:rPr>
          <w:rFonts w:cs="TimesNewRomanPSMT"/>
        </w:rPr>
        <w:t>22. Docenza/formazione</w:t>
      </w:r>
    </w:p>
    <w:p w:rsidR="00DA5015" w:rsidRDefault="00DA5015" w:rsidP="00DA5015">
      <w:pPr>
        <w:jc w:val="both"/>
        <w:rPr>
          <w:rFonts w:cs="TimesNewRomanPSMT"/>
        </w:rPr>
      </w:pPr>
      <w:r>
        <w:rPr>
          <w:rFonts w:cs="TimesNewRomanPSMT"/>
        </w:rPr>
        <w:t>23. Supervisione</w:t>
      </w:r>
    </w:p>
    <w:p w:rsidR="00DA5015" w:rsidRDefault="00DA5015" w:rsidP="00DA5015">
      <w:pPr>
        <w:jc w:val="both"/>
        <w:rPr>
          <w:rFonts w:cs="TimesNewRomanPS-ItalicMT"/>
          <w:i/>
          <w:iCs/>
        </w:rPr>
      </w:pPr>
      <w:r>
        <w:rPr>
          <w:rFonts w:cs="TimesNewRomanPSMT"/>
        </w:rPr>
        <w:t xml:space="preserve">24. </w:t>
      </w:r>
      <w:r>
        <w:rPr>
          <w:rFonts w:cs="TimesNewRomanPS-ItalicMT"/>
          <w:i/>
          <w:iCs/>
        </w:rPr>
        <w:t>Tutoring</w:t>
      </w:r>
    </w:p>
    <w:p w:rsidR="00DA5015" w:rsidRDefault="00DA5015" w:rsidP="00DA5015">
      <w:pPr>
        <w:jc w:val="both"/>
        <w:rPr>
          <w:rFonts w:cs="TimesNewRomanPSMT"/>
        </w:rPr>
      </w:pPr>
      <w:r>
        <w:rPr>
          <w:rFonts w:cs="TimesNewRomanPSMT"/>
        </w:rPr>
        <w:t>25. Relazione per conferenza</w:t>
      </w:r>
    </w:p>
    <w:p w:rsidR="00DA5015" w:rsidRDefault="00DA5015" w:rsidP="00DA5015">
      <w:pPr>
        <w:jc w:val="both"/>
        <w:rPr>
          <w:rFonts w:cs="TimesNewRomanPSMT"/>
        </w:rPr>
      </w:pPr>
      <w:r>
        <w:rPr>
          <w:rFonts w:cs="TimesNewRomanPSMT"/>
        </w:rPr>
        <w:t>26. Redazione di articoli, interventi editoriali in forma di rubrica periodica, testi</w:t>
      </w:r>
    </w:p>
    <w:p w:rsidR="00DA5015" w:rsidRDefault="00DA5015" w:rsidP="00DA5015">
      <w:pPr>
        <w:jc w:val="both"/>
        <w:rPr>
          <w:rFonts w:cs="TimesNewRomanPSMT"/>
        </w:rPr>
      </w:pPr>
      <w:r>
        <w:rPr>
          <w:rFonts w:cs="TimesNewRomanPSMT"/>
        </w:rPr>
        <w:t>27. Selezione di candidati a corsi e di personale</w:t>
      </w:r>
    </w:p>
    <w:p w:rsidR="00DA5015" w:rsidRDefault="00DA5015" w:rsidP="00DA5015">
      <w:pPr>
        <w:jc w:val="both"/>
        <w:rPr>
          <w:rFonts w:cs="TimesNewRomanPSMT"/>
        </w:rPr>
      </w:pPr>
      <w:r>
        <w:rPr>
          <w:rFonts w:cs="TimesNewRomanPSMT"/>
        </w:rPr>
        <w:t>28. Organizzazione di attività di formazione</w:t>
      </w:r>
    </w:p>
    <w:p w:rsidR="00DA5015" w:rsidRDefault="00DA5015" w:rsidP="00DA5015">
      <w:pPr>
        <w:jc w:val="both"/>
        <w:rPr>
          <w:rFonts w:cs="TimesNewRomanPSMT"/>
        </w:rPr>
      </w:pPr>
      <w:r>
        <w:rPr>
          <w:rFonts w:cs="TimesNewRomanPSMT"/>
        </w:rPr>
        <w:t>Area studio e ricerca</w:t>
      </w:r>
    </w:p>
    <w:p w:rsidR="00DA5015" w:rsidRDefault="00DA5015" w:rsidP="00DA5015">
      <w:pPr>
        <w:jc w:val="both"/>
        <w:rPr>
          <w:rFonts w:cs="TimesNewRomanPS-ItalicMT"/>
          <w:i/>
          <w:iCs/>
        </w:rPr>
      </w:pPr>
      <w:r>
        <w:rPr>
          <w:rFonts w:cs="TimesNewRomanPS-ItalicMT"/>
          <w:i/>
          <w:iCs/>
        </w:rPr>
        <w:t>Interventi</w:t>
      </w:r>
    </w:p>
    <w:p w:rsidR="00DA5015" w:rsidRDefault="00DA5015" w:rsidP="00DA5015">
      <w:pPr>
        <w:jc w:val="both"/>
        <w:rPr>
          <w:rFonts w:cs="TimesNewRomanPSMT"/>
        </w:rPr>
      </w:pPr>
      <w:r>
        <w:rPr>
          <w:rFonts w:cs="TimesNewRomanPSMT"/>
        </w:rPr>
        <w:t>29. Programmazione ed organizzazione di uno studio o di una ricerca</w:t>
      </w:r>
    </w:p>
    <w:p w:rsidR="00DA5015" w:rsidRDefault="00DA5015" w:rsidP="00DA5015">
      <w:pPr>
        <w:jc w:val="both"/>
        <w:rPr>
          <w:rFonts w:cs="TimesNewRomanPSMT"/>
        </w:rPr>
      </w:pPr>
      <w:r>
        <w:rPr>
          <w:rFonts w:cs="TimesNewRomanPSMT"/>
        </w:rPr>
        <w:t>30. Raccolta, analisi, elaborazione dati su una tematica con ipotesi di una o più ricerche</w:t>
      </w:r>
    </w:p>
    <w:p w:rsidR="00DA5015" w:rsidRDefault="00DA5015" w:rsidP="00DA5015">
      <w:pPr>
        <w:jc w:val="both"/>
        <w:rPr>
          <w:rFonts w:cs="TimesNewRomanPSMT"/>
        </w:rPr>
      </w:pPr>
      <w:r>
        <w:rPr>
          <w:rFonts w:cs="TimesNewRomanPSMT"/>
        </w:rPr>
        <w:t>31. Monitoraggio, conduzione, gestione di uno studio o di una ricerca</w:t>
      </w:r>
    </w:p>
    <w:p w:rsidR="00DA5015" w:rsidRDefault="00DA5015" w:rsidP="00DA5015">
      <w:pPr>
        <w:jc w:val="both"/>
        <w:rPr>
          <w:rFonts w:cs="TimesNewRomanPSMT"/>
        </w:rPr>
      </w:pPr>
      <w:r>
        <w:rPr>
          <w:rFonts w:cs="TimesNewRomanPSMT"/>
        </w:rPr>
        <w:t>32. Relazione in itinere e conclusiva</w:t>
      </w:r>
    </w:p>
    <w:p w:rsidR="00DA5015" w:rsidRDefault="00DA5015" w:rsidP="00DA5015">
      <w:pPr>
        <w:jc w:val="both"/>
        <w:rPr>
          <w:rFonts w:cs="TimesNewRomanPSMT"/>
        </w:rPr>
      </w:pPr>
      <w:r>
        <w:rPr>
          <w:rFonts w:cs="TimesNewRomanPSMT"/>
        </w:rPr>
        <w:t>33. Analisi interpretativa dei dati di una ricerca ed elaborato scritto</w:t>
      </w:r>
    </w:p>
    <w:p w:rsidR="00DA5015" w:rsidRDefault="00DA5015" w:rsidP="00DA5015">
      <w:pPr>
        <w:jc w:val="both"/>
        <w:rPr>
          <w:rFonts w:cs="TimesNewRomanPSMT"/>
        </w:rPr>
      </w:pPr>
      <w:r>
        <w:rPr>
          <w:rFonts w:cs="TimesNewRomanPSMT"/>
        </w:rPr>
        <w:t>34. Elaborazione e stesura testo divulgativo sui risultati di uno studio/ricerca</w:t>
      </w:r>
    </w:p>
    <w:p w:rsidR="00DA5015" w:rsidRDefault="00DA5015" w:rsidP="00DA5015">
      <w:pPr>
        <w:jc w:val="both"/>
        <w:rPr>
          <w:rFonts w:cs="TimesNewRomanPSMT"/>
        </w:rPr>
      </w:pPr>
      <w:r>
        <w:rPr>
          <w:rFonts w:cs="TimesNewRomanPSMT"/>
        </w:rPr>
        <w:t>Area progettuale, programmatoria e di amministrazione dei servizi</w:t>
      </w:r>
    </w:p>
    <w:p w:rsidR="00DA5015" w:rsidRDefault="00DA5015" w:rsidP="00DA5015">
      <w:pPr>
        <w:jc w:val="both"/>
        <w:rPr>
          <w:rFonts w:cs="TimesNewRomanPSMT"/>
        </w:rPr>
      </w:pPr>
      <w:r>
        <w:rPr>
          <w:rFonts w:cs="TimesNewRomanPSMT"/>
        </w:rPr>
        <w:t>35. Ideazione del progetto: analisi della domanda, studio dei bisogni, definizione degli obiettivi, individuazione delle risorse, scelta della metodologia</w:t>
      </w:r>
    </w:p>
    <w:p w:rsidR="00DA5015" w:rsidRDefault="00DA5015" w:rsidP="00DA5015">
      <w:pPr>
        <w:jc w:val="both"/>
        <w:rPr>
          <w:rFonts w:cs="TimesNewRomanPSMT"/>
        </w:rPr>
      </w:pPr>
      <w:r>
        <w:rPr>
          <w:rFonts w:cs="TimesNewRomanPSMT"/>
        </w:rPr>
        <w:t>36. Stesura del processo: analisi della fattibilità analisi organizzativa, fasi e tempistica</w:t>
      </w:r>
    </w:p>
    <w:p w:rsidR="00DA5015" w:rsidRDefault="00DA5015" w:rsidP="00DA5015">
      <w:pPr>
        <w:jc w:val="both"/>
        <w:rPr>
          <w:rFonts w:cs="TimesNewRomanPSMT"/>
        </w:rPr>
      </w:pPr>
      <w:r>
        <w:rPr>
          <w:rFonts w:cs="TimesNewRomanPSMT"/>
        </w:rPr>
        <w:t>37. Realizzazione del progetto: gestione, monitoraggio e verifica del processo</w:t>
      </w:r>
    </w:p>
    <w:p w:rsidR="00DA5015" w:rsidRDefault="00DA5015" w:rsidP="00DA5015">
      <w:pPr>
        <w:jc w:val="both"/>
        <w:rPr>
          <w:rFonts w:cs="TimesNewRomanPSMT"/>
        </w:rPr>
      </w:pPr>
      <w:r>
        <w:rPr>
          <w:rFonts w:cs="TimesNewRomanPSMT"/>
        </w:rPr>
        <w:t>38. Pianificazione e progettazione delle politiche dei servizi sociali e socio sanitari in ambito di prevenzione</w:t>
      </w:r>
    </w:p>
    <w:p w:rsidR="00DA5015" w:rsidRDefault="00DA5015" w:rsidP="00DA5015">
      <w:pPr>
        <w:jc w:val="both"/>
        <w:rPr>
          <w:rFonts w:cs="TimesNewRomanPSMT"/>
        </w:rPr>
      </w:pPr>
      <w:r>
        <w:rPr>
          <w:rFonts w:cs="TimesNewRomanPSMT"/>
        </w:rPr>
        <w:t>39. Consulenza esperta nei processi di programmazione dei servizi sociali</w:t>
      </w:r>
    </w:p>
    <w:p w:rsidR="00DA5015" w:rsidRDefault="00DA5015" w:rsidP="00DA5015">
      <w:pPr>
        <w:jc w:val="both"/>
        <w:rPr>
          <w:rFonts w:cs="TimesNewRomanPSMT"/>
        </w:rPr>
      </w:pPr>
      <w:r>
        <w:rPr>
          <w:rFonts w:cs="TimesNewRomanPSMT"/>
        </w:rPr>
        <w:t>40. Coordinamento di tavoli tecnici o di gruppi di programmazione dei servizi sociali e sanitari</w:t>
      </w:r>
    </w:p>
    <w:p w:rsidR="00DA5015" w:rsidRDefault="00DA5015" w:rsidP="00DA5015">
      <w:pPr>
        <w:jc w:val="both"/>
        <w:rPr>
          <w:rFonts w:cs="TimesNewRomanPSMT"/>
        </w:rPr>
      </w:pPr>
      <w:r>
        <w:rPr>
          <w:rFonts w:cs="TimesNewRomanPSMT"/>
        </w:rPr>
        <w:t>41. Elaborazione e stesura di accordi di programma e protocolli di intesa</w:t>
      </w:r>
    </w:p>
    <w:p w:rsidR="00DA5015" w:rsidRDefault="00DA5015" w:rsidP="00DA5015">
      <w:pPr>
        <w:jc w:val="both"/>
        <w:rPr>
          <w:rFonts w:cs="TimesNewRomanPSMT"/>
        </w:rPr>
      </w:pPr>
      <w:r>
        <w:rPr>
          <w:rFonts w:cs="TimesNewRomanPSMT"/>
        </w:rPr>
        <w:t>42. Organizzazione e realizzazione di servizi di prevenzione di problemi sociali</w:t>
      </w:r>
    </w:p>
    <w:p w:rsidR="00DA5015" w:rsidRDefault="00DA5015" w:rsidP="00DA5015">
      <w:pPr>
        <w:jc w:val="both"/>
        <w:rPr>
          <w:rFonts w:cs="TimesNewRomanPSMT"/>
        </w:rPr>
      </w:pPr>
      <w:r>
        <w:rPr>
          <w:rFonts w:cs="TimesNewRomanPSMT"/>
        </w:rPr>
        <w:t>43. Organizzazione o riorganizzazione di una unità operativa di servizio sociale o di servizio socio sanitario</w:t>
      </w:r>
    </w:p>
    <w:p w:rsidR="00DA5015" w:rsidRDefault="00DA5015" w:rsidP="00DA5015">
      <w:pPr>
        <w:jc w:val="both"/>
        <w:rPr>
          <w:rFonts w:cs="TimesNewRomanPSMT"/>
        </w:rPr>
      </w:pPr>
      <w:r>
        <w:rPr>
          <w:rFonts w:cs="TimesNewRomanPSMT"/>
        </w:rPr>
        <w:t>44. Valutazione della qualità dei servizi: analisi dell’organizzazione e analisi del processo di intervento</w:t>
      </w:r>
    </w:p>
    <w:p w:rsidR="00DA5015" w:rsidRDefault="00DA5015" w:rsidP="00DA5015">
      <w:pPr>
        <w:jc w:val="both"/>
        <w:rPr>
          <w:rFonts w:cs="TimesNewRomanPSMT"/>
        </w:rPr>
      </w:pPr>
      <w:r>
        <w:rPr>
          <w:rFonts w:cs="TimesNewRomanPSMT"/>
        </w:rPr>
        <w:t>45. Direzione di programmi nel campo delle politiche sociali e dei servizi sociali e socio sanitari.</w:t>
      </w:r>
    </w:p>
    <w:p w:rsidR="00DA5015" w:rsidRDefault="00DA5015" w:rsidP="00DA5015">
      <w:pPr>
        <w:jc w:val="both"/>
        <w:rPr>
          <w:rFonts w:cs="TimesNewRomanPSMT"/>
        </w:rPr>
      </w:pPr>
      <w:r>
        <w:rPr>
          <w:rFonts w:cs="TimesNewRomanPSMT"/>
        </w:rPr>
        <w:t>____</w:t>
      </w:r>
    </w:p>
    <w:p w:rsidR="00DA5015" w:rsidRDefault="00DA5015" w:rsidP="00DA5015">
      <w:pPr>
        <w:jc w:val="both"/>
        <w:rPr>
          <w:rFonts w:cs="TimesNewRomanPSMT"/>
        </w:rPr>
      </w:pPr>
      <w:r>
        <w:rPr>
          <w:rFonts w:cs="TimesNewRomanPSMT"/>
        </w:rPr>
        <w:t>TABELLA B</w:t>
      </w:r>
    </w:p>
    <w:p w:rsidR="00DA5015" w:rsidRDefault="00DA5015" w:rsidP="00DA5015">
      <w:pPr>
        <w:jc w:val="both"/>
        <w:rPr>
          <w:rFonts w:cs="TimesNewRomanPSMT"/>
        </w:rPr>
      </w:pPr>
      <w:r>
        <w:rPr>
          <w:rFonts w:cs="TimesNewRomanPSMT"/>
        </w:rPr>
        <w:t>ASSISTENTI SOCIALI</w:t>
      </w:r>
    </w:p>
    <w:p w:rsidR="00DA5015" w:rsidRDefault="00DA5015" w:rsidP="00DA5015">
      <w:pPr>
        <w:jc w:val="both"/>
        <w:rPr>
          <w:rFonts w:cs="TimesNewRomanPSMT"/>
        </w:rPr>
      </w:pPr>
      <w:r>
        <w:rPr>
          <w:rFonts w:cs="TimesNewRomanPSMT"/>
        </w:rPr>
        <w:t>Area relazionale</w:t>
      </w:r>
    </w:p>
    <w:p w:rsidR="00DA5015" w:rsidRDefault="00DA5015" w:rsidP="00DA5015">
      <w:pPr>
        <w:jc w:val="both"/>
        <w:rPr>
          <w:rFonts w:cs="TimesNewRomanPS-ItalicMT"/>
          <w:i/>
          <w:iCs/>
        </w:rPr>
      </w:pPr>
      <w:r>
        <w:rPr>
          <w:rFonts w:cs="TimesNewRomanPS-ItalicMT"/>
          <w:i/>
          <w:iCs/>
        </w:rPr>
        <w:t>1. Singolo, Persona, Famiglia - casi semplici</w:t>
      </w:r>
    </w:p>
    <w:p w:rsidR="00DA5015" w:rsidRDefault="00DA5015" w:rsidP="00DA5015">
      <w:pPr>
        <w:jc w:val="both"/>
        <w:rPr>
          <w:rFonts w:cs="TimesNewRomanPSMT"/>
        </w:rPr>
      </w:pPr>
      <w:r>
        <w:rPr>
          <w:rFonts w:cs="TimesNewRomanPSMT"/>
        </w:rPr>
        <w:t xml:space="preserve">Accoglienza, studio del caso e ricerca delle risorse </w:t>
      </w:r>
    </w:p>
    <w:p w:rsidR="00DA5015" w:rsidRDefault="00DA5015" w:rsidP="00DA5015">
      <w:pPr>
        <w:jc w:val="both"/>
        <w:rPr>
          <w:rFonts w:cs="TimesNewRomanPSMT"/>
        </w:rPr>
      </w:pPr>
      <w:r>
        <w:rPr>
          <w:rFonts w:cs="TimesNewRomanPSMT"/>
        </w:rPr>
        <w:t>Valore medio di liquidazione: euro 715,00</w:t>
      </w:r>
    </w:p>
    <w:p w:rsidR="00DA5015" w:rsidRDefault="00DA5015" w:rsidP="00DA5015">
      <w:pPr>
        <w:jc w:val="both"/>
        <w:rPr>
          <w:rFonts w:cs="TimesNewRomanPSMT"/>
        </w:rPr>
      </w:pPr>
      <w:r>
        <w:rPr>
          <w:rFonts w:cs="TimesNewRomanPSMT"/>
        </w:rPr>
        <w:t>Forbice: aumento fi no al 30%; riduzione fi no al 30%</w:t>
      </w:r>
    </w:p>
    <w:p w:rsidR="00DA5015" w:rsidRDefault="00DA5015" w:rsidP="00DA5015">
      <w:pPr>
        <w:jc w:val="both"/>
        <w:rPr>
          <w:rFonts w:cs="TimesNewRomanPS-ItalicMT"/>
          <w:i/>
          <w:iCs/>
        </w:rPr>
      </w:pPr>
      <w:r>
        <w:rPr>
          <w:rFonts w:cs="TimesNewRomanPS-ItalicMT"/>
          <w:i/>
          <w:iCs/>
        </w:rPr>
        <w:t>2. Singolo, Persona, Famiglia - casi complessi</w:t>
      </w:r>
    </w:p>
    <w:p w:rsidR="00DA5015" w:rsidRDefault="00DA5015" w:rsidP="00DA5015">
      <w:pPr>
        <w:jc w:val="both"/>
        <w:rPr>
          <w:rFonts w:cs="TimesNewRomanPSMT"/>
        </w:rPr>
      </w:pPr>
      <w:r>
        <w:rPr>
          <w:rFonts w:cs="TimesNewRomanPSMT"/>
        </w:rPr>
        <w:t>Accoglienza, studio del caso e ricerca delle risorse; lavoro di équipe, relazione</w:t>
      </w:r>
    </w:p>
    <w:p w:rsidR="00DA5015" w:rsidRDefault="00DA5015" w:rsidP="00DA5015">
      <w:pPr>
        <w:jc w:val="both"/>
        <w:rPr>
          <w:rFonts w:cs="TimesNewRomanPSMT"/>
        </w:rPr>
      </w:pPr>
      <w:r>
        <w:rPr>
          <w:rFonts w:cs="TimesNewRomanPSMT"/>
        </w:rPr>
        <w:t>Valore medio di liquidazione: euro 1.755,00</w:t>
      </w:r>
    </w:p>
    <w:p w:rsidR="00DA5015" w:rsidRDefault="00DA5015" w:rsidP="00DA5015">
      <w:pPr>
        <w:jc w:val="both"/>
        <w:rPr>
          <w:rFonts w:cs="TimesNewRomanPSMT"/>
        </w:rPr>
      </w:pPr>
      <w:r>
        <w:rPr>
          <w:rFonts w:cs="TimesNewRomanPSMT"/>
        </w:rPr>
        <w:t>Forbice: aumento fi no al 30%; riduzione fino al 30%</w:t>
      </w:r>
    </w:p>
    <w:p w:rsidR="00DA5015" w:rsidRDefault="00DA5015" w:rsidP="00DA5015">
      <w:pPr>
        <w:jc w:val="both"/>
        <w:rPr>
          <w:rFonts w:cs="TimesNewRomanPSMT"/>
        </w:rPr>
      </w:pPr>
      <w:r>
        <w:rPr>
          <w:rFonts w:cs="TimesNewRomanPSMT"/>
        </w:rPr>
        <w:t>Area gruppi e comunità</w:t>
      </w:r>
    </w:p>
    <w:p w:rsidR="00DA5015" w:rsidRDefault="00DA5015" w:rsidP="00DA5015">
      <w:pPr>
        <w:jc w:val="both"/>
        <w:rPr>
          <w:rFonts w:cs="TimesNewRomanPS-ItalicMT"/>
          <w:i/>
          <w:iCs/>
        </w:rPr>
      </w:pPr>
      <w:r>
        <w:rPr>
          <w:rFonts w:cs="TimesNewRomanPS-ItalicMT"/>
          <w:i/>
          <w:iCs/>
        </w:rPr>
        <w:t>1. Casi semplici</w:t>
      </w:r>
    </w:p>
    <w:p w:rsidR="00DA5015" w:rsidRDefault="00DA5015" w:rsidP="00DA5015">
      <w:pPr>
        <w:jc w:val="both"/>
        <w:rPr>
          <w:rFonts w:cs="TimesNewRomanPSMT"/>
        </w:rPr>
      </w:pPr>
      <w:r>
        <w:rPr>
          <w:rFonts w:cs="TimesNewRomanPSMT"/>
        </w:rPr>
        <w:t>Attivazione del gruppo e/o delle reti di comunità, promozione dell’attività, conduzione degli incontri</w:t>
      </w:r>
    </w:p>
    <w:p w:rsidR="00DA5015" w:rsidRDefault="00DA5015" w:rsidP="00DA5015">
      <w:pPr>
        <w:jc w:val="both"/>
        <w:rPr>
          <w:rFonts w:cs="TimesNewRomanPSMT"/>
        </w:rPr>
      </w:pPr>
      <w:r>
        <w:rPr>
          <w:rFonts w:cs="TimesNewRomanPSMT"/>
        </w:rPr>
        <w:t>Valore medio di liquidazione: euro 1.460,00</w:t>
      </w:r>
    </w:p>
    <w:p w:rsidR="00DA5015" w:rsidRDefault="00DA5015" w:rsidP="00DA5015">
      <w:pPr>
        <w:jc w:val="both"/>
        <w:rPr>
          <w:rFonts w:cs="TimesNewRomanPSMT"/>
        </w:rPr>
      </w:pPr>
      <w:r>
        <w:rPr>
          <w:rFonts w:cs="TimesNewRomanPSMT"/>
        </w:rPr>
        <w:t>Forbice: aumento fi no al 30%; riduzione fino al 30%</w:t>
      </w:r>
    </w:p>
    <w:p w:rsidR="00DA5015" w:rsidRDefault="00DA5015" w:rsidP="00DA5015">
      <w:pPr>
        <w:jc w:val="both"/>
        <w:rPr>
          <w:rFonts w:cs="TimesNewRomanPS-ItalicMT"/>
          <w:i/>
          <w:iCs/>
        </w:rPr>
      </w:pPr>
      <w:r>
        <w:rPr>
          <w:rFonts w:cs="TimesNewRomanPS-ItalicMT"/>
          <w:i/>
          <w:iCs/>
        </w:rPr>
        <w:t>2. Casi complessi</w:t>
      </w:r>
    </w:p>
    <w:p w:rsidR="00DA5015" w:rsidRDefault="00DA5015" w:rsidP="00DA5015">
      <w:pPr>
        <w:jc w:val="both"/>
        <w:rPr>
          <w:rFonts w:cs="TimesNewRomanPSMT"/>
        </w:rPr>
      </w:pPr>
      <w:r>
        <w:rPr>
          <w:rFonts w:cs="TimesNewRomanPSMT"/>
        </w:rPr>
        <w:t>Lavoro con gruppo e con comunità, analisi e valutazione della documentazione</w:t>
      </w:r>
    </w:p>
    <w:p w:rsidR="00DA5015" w:rsidRDefault="00DA5015" w:rsidP="00DA5015">
      <w:pPr>
        <w:jc w:val="both"/>
        <w:rPr>
          <w:rFonts w:cs="TimesNewRomanPSMT"/>
        </w:rPr>
      </w:pPr>
      <w:r>
        <w:rPr>
          <w:rFonts w:cs="TimesNewRomanPSMT"/>
        </w:rPr>
        <w:lastRenderedPageBreak/>
        <w:t>Valore medio di liquidazione: euro 2.945,00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MT"/>
        </w:rPr>
      </w:pPr>
      <w:r>
        <w:rPr>
          <w:rFonts w:cs="TimesNewRomanPSMT"/>
        </w:rPr>
        <w:t>Area didattico formativa</w:t>
      </w:r>
    </w:p>
    <w:p w:rsidR="00DA5015" w:rsidRDefault="00DA5015" w:rsidP="00DA5015">
      <w:pPr>
        <w:jc w:val="both"/>
        <w:rPr>
          <w:rFonts w:cs="TimesNewRomanPS-ItalicMT"/>
          <w:i/>
          <w:iCs/>
        </w:rPr>
      </w:pPr>
      <w:r>
        <w:rPr>
          <w:rFonts w:cs="TimesNewRomanPS-ItalicMT"/>
          <w:i/>
          <w:iCs/>
        </w:rPr>
        <w:t>1. Situazioni semplici</w:t>
      </w:r>
    </w:p>
    <w:p w:rsidR="00DA5015" w:rsidRDefault="00DA5015" w:rsidP="00DA5015">
      <w:pPr>
        <w:jc w:val="both"/>
        <w:rPr>
          <w:rFonts w:cs="TimesNewRomanPSMT"/>
        </w:rPr>
      </w:pPr>
      <w:r>
        <w:rPr>
          <w:rFonts w:cs="TimesNewRomanPSMT"/>
        </w:rPr>
        <w:t xml:space="preserve">Studio, ricerca del bisogno formativo, organizzazione </w:t>
      </w:r>
    </w:p>
    <w:p w:rsidR="00DA5015" w:rsidRDefault="00DA5015" w:rsidP="00DA5015">
      <w:pPr>
        <w:jc w:val="both"/>
        <w:rPr>
          <w:rFonts w:cs="TimesNewRomanPSMT"/>
        </w:rPr>
      </w:pPr>
      <w:r>
        <w:rPr>
          <w:rFonts w:cs="TimesNewRomanPSMT"/>
        </w:rPr>
        <w:t>Valore medio di liquidazione: euro 2.360,00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ItalicMT"/>
          <w:i/>
          <w:iCs/>
        </w:rPr>
      </w:pPr>
      <w:r>
        <w:rPr>
          <w:rFonts w:cs="TimesNewRomanPS-ItalicMT"/>
          <w:i/>
          <w:iCs/>
        </w:rPr>
        <w:t>2. Situazioni complesse</w:t>
      </w:r>
    </w:p>
    <w:p w:rsidR="00DA5015" w:rsidRDefault="00DA5015" w:rsidP="00DA5015">
      <w:pPr>
        <w:jc w:val="both"/>
        <w:rPr>
          <w:rFonts w:cs="TimesNewRomanPSMT"/>
        </w:rPr>
      </w:pPr>
      <w:r>
        <w:rPr>
          <w:rFonts w:cs="TimesNewRomanPSMT"/>
        </w:rPr>
        <w:t>Studio, ricerca del bisogno formativo, organizzazione; docenza, supervisione</w:t>
      </w:r>
    </w:p>
    <w:p w:rsidR="00DA5015" w:rsidRDefault="00DA5015" w:rsidP="00DA5015">
      <w:pPr>
        <w:jc w:val="both"/>
        <w:rPr>
          <w:rFonts w:cs="TimesNewRomanPSMT"/>
        </w:rPr>
      </w:pPr>
      <w:r>
        <w:rPr>
          <w:rFonts w:cs="TimesNewRomanPSMT"/>
        </w:rPr>
        <w:t>Valore medio di liquidazione: euro 4.165,00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MT"/>
        </w:rPr>
      </w:pPr>
      <w:r>
        <w:rPr>
          <w:rFonts w:cs="TimesNewRomanPSMT"/>
        </w:rPr>
        <w:t>Area studio e ricerca</w:t>
      </w:r>
    </w:p>
    <w:p w:rsidR="00DA5015" w:rsidRDefault="00DA5015" w:rsidP="00DA5015">
      <w:pPr>
        <w:jc w:val="both"/>
        <w:rPr>
          <w:rFonts w:cs="TimesNewRomanPS-ItalicMT"/>
          <w:i/>
          <w:iCs/>
        </w:rPr>
      </w:pPr>
      <w:r>
        <w:rPr>
          <w:rFonts w:cs="TimesNewRomanPS-ItalicMT"/>
          <w:i/>
          <w:iCs/>
        </w:rPr>
        <w:t>1. Fase</w:t>
      </w:r>
    </w:p>
    <w:p w:rsidR="00DA5015" w:rsidRDefault="00DA5015" w:rsidP="00DA5015">
      <w:pPr>
        <w:jc w:val="both"/>
        <w:rPr>
          <w:rFonts w:cs="TimesNewRomanPSMT"/>
        </w:rPr>
      </w:pPr>
      <w:r>
        <w:rPr>
          <w:rFonts w:cs="TimesNewRomanPSMT"/>
        </w:rPr>
        <w:t>Progettazione e conduzione del progetto di ricerca di Servizio Sociale, organizzazione</w:t>
      </w:r>
    </w:p>
    <w:p w:rsidR="00DA5015" w:rsidRDefault="00DA5015" w:rsidP="00DA5015">
      <w:pPr>
        <w:jc w:val="both"/>
        <w:rPr>
          <w:rFonts w:cs="TimesNewRomanPSMT"/>
        </w:rPr>
      </w:pPr>
      <w:r>
        <w:rPr>
          <w:rFonts w:cs="TimesNewRomanPSMT"/>
        </w:rPr>
        <w:t>Valore medio di liquidazione: euro 6.615,00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ItalicMT"/>
          <w:i/>
          <w:iCs/>
        </w:rPr>
      </w:pPr>
      <w:r>
        <w:rPr>
          <w:rFonts w:cs="TimesNewRomanPS-ItalicMT"/>
          <w:i/>
          <w:iCs/>
        </w:rPr>
        <w:t>2. Fase</w:t>
      </w:r>
    </w:p>
    <w:p w:rsidR="00DA5015" w:rsidRDefault="00DA5015" w:rsidP="00DA5015">
      <w:pPr>
        <w:jc w:val="both"/>
        <w:rPr>
          <w:rFonts w:cs="TimesNewRomanPSMT"/>
        </w:rPr>
      </w:pPr>
      <w:r>
        <w:rPr>
          <w:rFonts w:cs="TimesNewRomanPSMT"/>
        </w:rPr>
        <w:t xml:space="preserve">Validazione dei dati, monitoraggio, documentazione </w:t>
      </w:r>
    </w:p>
    <w:p w:rsidR="00DA5015" w:rsidRDefault="00DA5015" w:rsidP="00DA5015">
      <w:pPr>
        <w:jc w:val="both"/>
        <w:rPr>
          <w:rFonts w:cs="TimesNewRomanPSMT"/>
        </w:rPr>
      </w:pPr>
      <w:r>
        <w:rPr>
          <w:rFonts w:cs="TimesNewRomanPSMT"/>
        </w:rPr>
        <w:t>Valore medio di liquidazione: euro 3.205,00</w:t>
      </w:r>
    </w:p>
    <w:p w:rsidR="00DA5015" w:rsidRDefault="00DA5015" w:rsidP="00DA5015">
      <w:pPr>
        <w:jc w:val="both"/>
        <w:rPr>
          <w:rFonts w:cs="TimesNewRomanPSMT"/>
        </w:rPr>
      </w:pPr>
      <w:r>
        <w:rPr>
          <w:rFonts w:cs="TimesNewRomanPSMT"/>
        </w:rPr>
        <w:t>Forbice: aumento fino al 30%; riduzione fi no al 30%</w:t>
      </w:r>
    </w:p>
    <w:p w:rsidR="00DA5015" w:rsidRDefault="00DA5015" w:rsidP="00DA5015">
      <w:pPr>
        <w:jc w:val="both"/>
        <w:rPr>
          <w:rFonts w:cs="TimesNewRomanPSMT"/>
        </w:rPr>
      </w:pPr>
      <w:r>
        <w:rPr>
          <w:rFonts w:cs="TimesNewRomanPSMT"/>
        </w:rPr>
        <w:t>Area progettuale, programmatoria e di amministrazione dei servizi</w:t>
      </w:r>
    </w:p>
    <w:p w:rsidR="00DA5015" w:rsidRDefault="00DA5015" w:rsidP="00DA5015">
      <w:pPr>
        <w:jc w:val="both"/>
        <w:rPr>
          <w:rFonts w:cs="TimesNewRomanPS-ItalicMT"/>
          <w:i/>
          <w:iCs/>
        </w:rPr>
      </w:pPr>
      <w:r>
        <w:rPr>
          <w:rFonts w:cs="TimesNewRomanPS-ItalicMT"/>
          <w:i/>
          <w:iCs/>
        </w:rPr>
        <w:t>1. Progettazione</w:t>
      </w:r>
    </w:p>
    <w:p w:rsidR="00DA5015" w:rsidRDefault="00DA5015" w:rsidP="00DA5015">
      <w:pPr>
        <w:jc w:val="both"/>
        <w:rPr>
          <w:rFonts w:cs="TimesNewRomanPSMT"/>
        </w:rPr>
      </w:pPr>
      <w:r>
        <w:rPr>
          <w:rFonts w:cs="TimesNewRomanPSMT"/>
        </w:rPr>
        <w:t>a. Progetti semplici</w:t>
      </w:r>
    </w:p>
    <w:p w:rsidR="00DA5015" w:rsidRDefault="00DA5015" w:rsidP="00DA5015">
      <w:pPr>
        <w:jc w:val="both"/>
        <w:rPr>
          <w:rFonts w:cs="TimesNewRomanPSMT"/>
        </w:rPr>
      </w:pPr>
      <w:r>
        <w:rPr>
          <w:rFonts w:cs="TimesNewRomanPSMT"/>
        </w:rPr>
        <w:t>Ideazione del progetto, stesura del processo, realizzazione del progetto, monitoraggio, verifica e valutazione dei risultati</w:t>
      </w:r>
    </w:p>
    <w:p w:rsidR="00DA5015" w:rsidRDefault="00DA5015" w:rsidP="00DA5015">
      <w:pPr>
        <w:jc w:val="both"/>
        <w:rPr>
          <w:rFonts w:cs="TimesNewRomanPSMT"/>
        </w:rPr>
      </w:pPr>
      <w:r>
        <w:rPr>
          <w:rFonts w:cs="TimesNewRomanPSMT"/>
        </w:rPr>
        <w:t>Valore medio di liquidazione: euro 2.600,00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MT"/>
        </w:rPr>
      </w:pPr>
      <w:r>
        <w:rPr>
          <w:rFonts w:cs="TimesNewRomanPSMT"/>
        </w:rPr>
        <w:t>b. Progetti complessi</w:t>
      </w:r>
    </w:p>
    <w:p w:rsidR="00DA5015" w:rsidRDefault="00DA5015" w:rsidP="00DA5015">
      <w:pPr>
        <w:jc w:val="both"/>
        <w:rPr>
          <w:rFonts w:cs="TimesNewRomanPSMT"/>
        </w:rPr>
      </w:pPr>
      <w:r>
        <w:rPr>
          <w:rFonts w:cs="TimesNewRomanPSMT"/>
        </w:rPr>
        <w:t>Ideazione del progetto, stesura del processo, realizzazione del progetto, monitoraggio, verifica e valutazione dei risultati</w:t>
      </w:r>
    </w:p>
    <w:p w:rsidR="00DA5015" w:rsidRDefault="00DA5015" w:rsidP="00DA5015">
      <w:pPr>
        <w:jc w:val="both"/>
        <w:rPr>
          <w:rFonts w:cs="TimesNewRomanPSMT"/>
        </w:rPr>
      </w:pPr>
      <w:r>
        <w:rPr>
          <w:rFonts w:cs="TimesNewRomanPSMT"/>
        </w:rPr>
        <w:t>Valore medio di liquidazione: euro 8.800,00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ItalicMT"/>
          <w:i/>
          <w:iCs/>
        </w:rPr>
      </w:pPr>
      <w:r>
        <w:rPr>
          <w:rFonts w:cs="TimesNewRomanPS-ItalicMT"/>
          <w:i/>
          <w:iCs/>
        </w:rPr>
        <w:t>2. Programmazione</w:t>
      </w:r>
    </w:p>
    <w:p w:rsidR="00DA5015" w:rsidRDefault="00DA5015" w:rsidP="00DA5015">
      <w:pPr>
        <w:jc w:val="both"/>
        <w:rPr>
          <w:rFonts w:cs="TimesNewRomanPSMT"/>
        </w:rPr>
      </w:pPr>
      <w:r>
        <w:rPr>
          <w:rFonts w:cs="TimesNewRomanPSMT"/>
        </w:rPr>
        <w:t>a. Casi semplici</w:t>
      </w:r>
    </w:p>
    <w:p w:rsidR="00DA5015" w:rsidRDefault="00DA5015" w:rsidP="00DA5015">
      <w:pPr>
        <w:jc w:val="both"/>
        <w:rPr>
          <w:rFonts w:cs="TimesNewRomanPSMT"/>
        </w:rPr>
      </w:pPr>
      <w:r>
        <w:rPr>
          <w:rFonts w:cs="TimesNewRomanPSMT"/>
        </w:rPr>
        <w:t>Elaborazione di proposta di politiche sociali e di prevenzione nei servizi socio-sanitari, consulenza esperta nella realizzazione dei processi di programmazione</w:t>
      </w:r>
    </w:p>
    <w:p w:rsidR="00DA5015" w:rsidRDefault="00DA5015" w:rsidP="00DA5015">
      <w:pPr>
        <w:jc w:val="both"/>
        <w:rPr>
          <w:rFonts w:cs="TimesNewRomanPSMT"/>
        </w:rPr>
      </w:pPr>
      <w:r>
        <w:rPr>
          <w:rFonts w:cs="TimesNewRomanPSMT"/>
        </w:rPr>
        <w:t>Valore medio di liquidazione: euro 3.500,00</w:t>
      </w:r>
    </w:p>
    <w:p w:rsidR="00DA5015" w:rsidRDefault="00DA5015" w:rsidP="00DA5015">
      <w:pPr>
        <w:jc w:val="both"/>
        <w:rPr>
          <w:rFonts w:cs="TimesNewRomanPSMT"/>
        </w:rPr>
      </w:pPr>
      <w:r>
        <w:rPr>
          <w:rFonts w:cs="TimesNewRomanPSMT"/>
        </w:rPr>
        <w:t>Forbice: aumento fino al 30%; riduzione fino al 30b. Casi complessi</w:t>
      </w:r>
    </w:p>
    <w:p w:rsidR="00DA5015" w:rsidRDefault="00DA5015" w:rsidP="00DA5015">
      <w:pPr>
        <w:jc w:val="both"/>
        <w:rPr>
          <w:rFonts w:cs="TimesNewRomanPSMT"/>
        </w:rPr>
      </w:pPr>
      <w:r>
        <w:rPr>
          <w:rFonts w:cs="TimesNewRomanPSMT"/>
        </w:rPr>
        <w:t>Elaborazione di proposta di politiche sociali e di prevenzione nei servizi socio-sanitari, consulenza esperta nei processi di programmazione</w:t>
      </w:r>
    </w:p>
    <w:p w:rsidR="00DA5015" w:rsidRDefault="00DA5015" w:rsidP="00DA5015">
      <w:pPr>
        <w:jc w:val="both"/>
        <w:rPr>
          <w:rFonts w:cs="TimesNewRomanPSMT"/>
        </w:rPr>
      </w:pPr>
      <w:r>
        <w:rPr>
          <w:rFonts w:cs="TimesNewRomanPSMT"/>
        </w:rPr>
        <w:t>Valore medio di liquidazione: euro 10.000,00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ItalicMT"/>
          <w:i/>
          <w:iCs/>
        </w:rPr>
      </w:pPr>
      <w:r>
        <w:rPr>
          <w:rFonts w:cs="TimesNewRomanPS-ItalicMT"/>
          <w:i/>
          <w:iCs/>
        </w:rPr>
        <w:t>3. Amministrazione e organizzazione di gestione e servizi</w:t>
      </w:r>
    </w:p>
    <w:p w:rsidR="00DA5015" w:rsidRDefault="00DA5015" w:rsidP="00DA5015">
      <w:pPr>
        <w:jc w:val="both"/>
        <w:rPr>
          <w:rFonts w:cs="TimesNewRomanPSMT"/>
        </w:rPr>
      </w:pPr>
      <w:r>
        <w:rPr>
          <w:rFonts w:cs="TimesNewRomanPSMT"/>
        </w:rPr>
        <w:t>a. Casi semplici</w:t>
      </w:r>
    </w:p>
    <w:p w:rsidR="00DA5015" w:rsidRDefault="00DA5015" w:rsidP="00DA5015">
      <w:pPr>
        <w:jc w:val="both"/>
        <w:rPr>
          <w:rFonts w:cs="TimesNewRomanPSMT"/>
        </w:rPr>
      </w:pPr>
      <w:r>
        <w:rPr>
          <w:rFonts w:cs="TimesNewRomanPSMT"/>
        </w:rPr>
        <w:t>Organizzazione, direzione e realizzazione di servizi di prevenzione di problemi sociali, valutazione della</w:t>
      </w:r>
    </w:p>
    <w:p w:rsidR="00DA5015" w:rsidRDefault="00DA5015" w:rsidP="00DA5015">
      <w:pPr>
        <w:jc w:val="both"/>
        <w:rPr>
          <w:rFonts w:cs="TimesNewRomanPSMT"/>
        </w:rPr>
      </w:pPr>
      <w:proofErr w:type="gramStart"/>
      <w:r>
        <w:rPr>
          <w:rFonts w:cs="TimesNewRomanPSMT"/>
        </w:rPr>
        <w:t>qualità</w:t>
      </w:r>
      <w:proofErr w:type="gramEnd"/>
      <w:r>
        <w:rPr>
          <w:rFonts w:cs="TimesNewRomanPSMT"/>
        </w:rPr>
        <w:t xml:space="preserve"> dei servizi, verifica dell’efficienza ed efficacia</w:t>
      </w:r>
    </w:p>
    <w:p w:rsidR="00DA5015" w:rsidRDefault="00DA5015" w:rsidP="00DA5015">
      <w:pPr>
        <w:jc w:val="both"/>
        <w:rPr>
          <w:rFonts w:cs="TimesNewRomanPSMT"/>
        </w:rPr>
      </w:pPr>
      <w:r>
        <w:rPr>
          <w:rFonts w:cs="TimesNewRomanPSMT"/>
        </w:rPr>
        <w:t>Valore medio di liquidazione: euro 4.000,00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rPr>
          <w:rFonts w:cs="TimesNewRomanPSMT"/>
        </w:rPr>
      </w:pPr>
      <w:r>
        <w:rPr>
          <w:rFonts w:cs="TimesNewRomanPSMT"/>
        </w:rPr>
        <w:t>b. Casi complessi</w:t>
      </w:r>
    </w:p>
    <w:p w:rsidR="00DA5015" w:rsidRDefault="00DA5015" w:rsidP="00DA5015">
      <w:pPr>
        <w:jc w:val="both"/>
        <w:rPr>
          <w:rFonts w:cs="TimesNewRomanPSMT"/>
        </w:rPr>
      </w:pPr>
      <w:r>
        <w:rPr>
          <w:rFonts w:cs="TimesNewRomanPSMT"/>
        </w:rPr>
        <w:lastRenderedPageBreak/>
        <w:t>Organizzazione e realizzazione di servizi di prevenzione di problemi sociali, valutazione della qualità dei</w:t>
      </w:r>
    </w:p>
    <w:p w:rsidR="00DA5015" w:rsidRDefault="00DA5015" w:rsidP="00DA5015">
      <w:pPr>
        <w:jc w:val="both"/>
        <w:rPr>
          <w:rFonts w:cs="TimesNewRomanPSMT"/>
        </w:rPr>
      </w:pPr>
      <w:proofErr w:type="gramStart"/>
      <w:r>
        <w:rPr>
          <w:rFonts w:cs="TimesNewRomanPSMT"/>
        </w:rPr>
        <w:t>servizi</w:t>
      </w:r>
      <w:proofErr w:type="gramEnd"/>
      <w:r>
        <w:rPr>
          <w:rFonts w:cs="TimesNewRomanPSMT"/>
        </w:rPr>
        <w:t>, gestione e direzione delle risorse e dei servizi, verifica dell’efficienza ed efficacia</w:t>
      </w:r>
    </w:p>
    <w:p w:rsidR="00DA5015" w:rsidRDefault="00DA5015" w:rsidP="00DA5015">
      <w:pPr>
        <w:jc w:val="both"/>
        <w:rPr>
          <w:rFonts w:cs="TimesNewRomanPSMT"/>
        </w:rPr>
      </w:pPr>
      <w:r>
        <w:rPr>
          <w:rFonts w:cs="TimesNewRomanPSMT"/>
        </w:rPr>
        <w:t>Valore medio di liquidazione: euro 10.000,00</w:t>
      </w:r>
    </w:p>
    <w:p w:rsidR="00DA5015" w:rsidRDefault="00DA5015" w:rsidP="00DA5015">
      <w:pPr>
        <w:jc w:val="both"/>
        <w:rPr>
          <w:rFonts w:cs="TimesNewRomanPSMT"/>
        </w:rPr>
      </w:pPr>
      <w:r>
        <w:rPr>
          <w:rFonts w:cs="TimesNewRomanPSMT"/>
        </w:rPr>
        <w:t>Forbice: aumento fino al 30%; riduzione fino al 30%</w:t>
      </w:r>
    </w:p>
    <w:p w:rsidR="00DA5015" w:rsidRDefault="00DA5015" w:rsidP="00DA5015">
      <w:pPr>
        <w:jc w:val="both"/>
      </w:pPr>
    </w:p>
    <w:p w:rsidR="00DA5015" w:rsidRPr="00621AA3" w:rsidRDefault="00DA5015" w:rsidP="00DA5015">
      <w:pPr>
        <w:jc w:val="both"/>
        <w:rPr>
          <w:u w:val="single"/>
        </w:rPr>
      </w:pPr>
      <w:r w:rsidRPr="00621AA3">
        <w:rPr>
          <w:u w:val="single"/>
        </w:rPr>
        <w:t xml:space="preserve">I parametri di riferimento per la professione dell’assistente sociale    </w:t>
      </w:r>
    </w:p>
    <w:p w:rsidR="00DA5015" w:rsidRDefault="00DA5015" w:rsidP="00DA5015">
      <w:pPr>
        <w:jc w:val="both"/>
      </w:pPr>
      <w:r>
        <w:t>Come è ampiamente acclarato nell’ambito sanitario, dove il livello  di prima istanza è rappresentato dal medico di medicina generale che opera nel distretto sanitario secondo un rapporto ottimale di un MMG ogni 1.500 abitanti,   per ciò che concerne il versante sociale il solo professionista di riferimento, a livello di distretto sociale è l’assistente sociale, che, a garanzia di una utenza assolutamente nel pieno diritto di fruire delle prestazioni di segretariato sociale e di servizio sociale professionale (così come per il versante sanitario ha il diritto di fruire  delle prestazioni sanitarie di primo livello attraverso i MMG) deve essere individuato nel rapporto di un professionista assistente sociale ogni 5.000 abitanti.</w:t>
      </w:r>
    </w:p>
    <w:p w:rsidR="00DA5015" w:rsidRDefault="00DA5015" w:rsidP="00DA5015">
      <w:pPr>
        <w:jc w:val="both"/>
      </w:pPr>
      <w:r>
        <w:t>Tale parametro è riferito quindi al primo livello assistenziale di competenza esclusiva dei Comuni, singoli o associati nell’ ambito sociale.</w:t>
      </w:r>
    </w:p>
    <w:p w:rsidR="00DA5015" w:rsidRDefault="00DA5015" w:rsidP="00DA5015">
      <w:pPr>
        <w:jc w:val="both"/>
      </w:pPr>
      <w:r>
        <w:t xml:space="preserve">Nel complesso dei servizi rivolti alla persona ed alla comunità, ovviamente, gli </w:t>
      </w:r>
      <w:proofErr w:type="gramStart"/>
      <w:r>
        <w:t>assistenti  sociali</w:t>
      </w:r>
      <w:proofErr w:type="gramEnd"/>
      <w:r>
        <w:t xml:space="preserve"> sono collocati nei ruoli organici previsti a livello delle ulteriori offerte dei servizi previsti dagli altri livelli essenziali previsti dall’art. 22 della legge n. 328/2000.        </w:t>
      </w:r>
    </w:p>
    <w:p w:rsidR="00DA5015" w:rsidRPr="005F235D" w:rsidRDefault="00DA5015" w:rsidP="00DA5015">
      <w:pPr>
        <w:jc w:val="both"/>
        <w:rPr>
          <w:u w:val="single"/>
        </w:rPr>
      </w:pPr>
      <w:r w:rsidRPr="005F235D">
        <w:rPr>
          <w:u w:val="single"/>
        </w:rPr>
        <w:t>Il curriculum universitario</w:t>
      </w:r>
    </w:p>
    <w:p w:rsidR="00DA5015" w:rsidRDefault="00DA5015" w:rsidP="00DA5015">
      <w:pPr>
        <w:jc w:val="both"/>
      </w:pPr>
      <w:r>
        <w:t xml:space="preserve">Avuto riguardo all’esperienza professionale acquisita in </w:t>
      </w:r>
      <w:proofErr w:type="gramStart"/>
      <w:r>
        <w:t>circa  sessanta</w:t>
      </w:r>
      <w:proofErr w:type="gramEnd"/>
      <w:r>
        <w:t xml:space="preserve"> anni, si ritiene che il percorso formativo dell’assistente sociale deve essere articolato in un triennio più un  biennio di specializzazione.</w:t>
      </w:r>
    </w:p>
    <w:p w:rsidR="00DA5015" w:rsidRDefault="00DA5015" w:rsidP="00DA5015">
      <w:pPr>
        <w:jc w:val="both"/>
      </w:pPr>
      <w:r>
        <w:t xml:space="preserve">Infatti, a differenza delle altre professioni, e in relazione all’intensità ed alla complessità della professione, che richiede vari gradi di </w:t>
      </w:r>
      <w:proofErr w:type="gramStart"/>
      <w:r>
        <w:t>apprendimento  e</w:t>
      </w:r>
      <w:proofErr w:type="gramEnd"/>
      <w:r>
        <w:t xml:space="preserve"> di funzione, il punto di forza fino ad oggi della professione di assistente sociale è stato costituito proprio dalla  opportunità di una preparazione universitaria triennale (come per altre professioni sanitarie e tecniche) che ha comportato una capacità ed una opportunità occupazionale in tempi ragionevoli e con costi sopportabili.</w:t>
      </w:r>
    </w:p>
    <w:p w:rsidR="00DA5015" w:rsidRDefault="00DA5015" w:rsidP="00DA5015">
      <w:pPr>
        <w:jc w:val="both"/>
      </w:pPr>
      <w:r>
        <w:t>Tale reale prospettiva di saper svolgere il “lavoro” sociale in base ad una ormai collaudata preparazione, costituisce quindi un livello assolutamente proprio della professione, e va inquadrato nelle prospettive che sono offerte dal primo grado del livello essenziale assistenziale, il servizio di segretariato sociale (con le sue articolate e complesse conseguenze operative) inteso quale modello primario di intervento sociale.</w:t>
      </w:r>
    </w:p>
    <w:p w:rsidR="00DA5015" w:rsidRDefault="00DA5015" w:rsidP="00DA5015">
      <w:pPr>
        <w:jc w:val="both"/>
      </w:pPr>
      <w:r>
        <w:t>Il biennio  di specializzazione deve essere visto nella prospettiva di “costruire” l’ulteriore livello di funzione del servizio sociale professionale, tale da essere inquadrato nel contesto più impegnativo della managerialità e della ingegneria sociale: infatti è legato alla individuazione di un più elevato livello di “lavoro” sociale proiettato verso la  costruzione di un sistema integrato socio-sanitario che passa attraverso la programmazione, la direzione strategica, la verifica dell’offerta dei servizi, e quindi verso la dimensione aziendalistica (nelle sue migliori espressioni) di “resa” dei servizi e degli interventi.</w:t>
      </w:r>
    </w:p>
    <w:p w:rsidR="00DA5015" w:rsidRDefault="00DA5015" w:rsidP="00DA5015">
      <w:pPr>
        <w:jc w:val="both"/>
      </w:pPr>
      <w:r>
        <w:t>L’accesso al biennio deve essere peraltro esclusivamente riservato agli assistenti sociali, in possesso della laurea triennale, per evitare, come purtroppo avviene, commistioni ed infiltrazioni di altri laureati nel corso degli studi universitari attuali.</w:t>
      </w:r>
    </w:p>
    <w:p w:rsidR="00DA5015" w:rsidRDefault="00DA5015" w:rsidP="00DA5015">
      <w:pPr>
        <w:jc w:val="both"/>
      </w:pPr>
    </w:p>
    <w:p w:rsidR="00DA5015" w:rsidRDefault="00DA5015" w:rsidP="00DA5015">
      <w:pPr>
        <w:jc w:val="both"/>
      </w:pPr>
    </w:p>
    <w:sectPr w:rsidR="00DA5015">
      <w:footerReference w:type="even"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4C6" w:rsidRDefault="008634C6">
      <w:r>
        <w:separator/>
      </w:r>
    </w:p>
  </w:endnote>
  <w:endnote w:type="continuationSeparator" w:id="0">
    <w:p w:rsidR="008634C6" w:rsidRDefault="00863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LT Std">
    <w:altName w:val="Times LT Std"/>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BoldMT">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TimesNewRomanPS-ItalicM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600" w:rsidRDefault="00BA3181" w:rsidP="00F2260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F22600" w:rsidRDefault="008634C6" w:rsidP="002F45ED">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600" w:rsidRDefault="00BA3181" w:rsidP="00F2260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BA3AC5">
      <w:rPr>
        <w:rStyle w:val="Numeropagina"/>
        <w:noProof/>
      </w:rPr>
      <w:t>8</w:t>
    </w:r>
    <w:r>
      <w:rPr>
        <w:rStyle w:val="Numeropagina"/>
      </w:rPr>
      <w:fldChar w:fldCharType="end"/>
    </w:r>
  </w:p>
  <w:p w:rsidR="00F22600" w:rsidRDefault="008634C6" w:rsidP="002F45ED">
    <w:pPr>
      <w:pStyle w:val="Pidipa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4C6" w:rsidRDefault="008634C6">
      <w:r>
        <w:separator/>
      </w:r>
    </w:p>
  </w:footnote>
  <w:footnote w:type="continuationSeparator" w:id="0">
    <w:p w:rsidR="008634C6" w:rsidRDefault="008634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571960"/>
    <w:multiLevelType w:val="hybridMultilevel"/>
    <w:tmpl w:val="91CEEF9A"/>
    <w:lvl w:ilvl="0" w:tplc="C44E95D4">
      <w:numFmt w:val="bullet"/>
      <w:lvlText w:val="-"/>
      <w:lvlJc w:val="left"/>
      <w:pPr>
        <w:tabs>
          <w:tab w:val="num" w:pos="720"/>
        </w:tabs>
        <w:ind w:left="720" w:hanging="360"/>
      </w:pPr>
      <w:rPr>
        <w:rFonts w:ascii="Times LT Std" w:eastAsia="Times New Roman" w:hAnsi="Times LT Std" w:cs="Times LT Std"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42F"/>
    <w:rsid w:val="00503494"/>
    <w:rsid w:val="0077142F"/>
    <w:rsid w:val="008634C6"/>
    <w:rsid w:val="00B90F1A"/>
    <w:rsid w:val="00BA3181"/>
    <w:rsid w:val="00BA3AC5"/>
    <w:rsid w:val="00DA50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1B53B77A-533E-43ED-98F7-A8E47F2E6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A5015"/>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DA5015"/>
    <w:pPr>
      <w:autoSpaceDE w:val="0"/>
      <w:autoSpaceDN w:val="0"/>
      <w:adjustRightInd w:val="0"/>
      <w:spacing w:after="0" w:line="240" w:lineRule="auto"/>
    </w:pPr>
    <w:rPr>
      <w:rFonts w:ascii="Times LT Std" w:eastAsia="Times New Roman" w:hAnsi="Times LT Std" w:cs="Times LT Std"/>
      <w:color w:val="000000"/>
      <w:sz w:val="24"/>
      <w:szCs w:val="24"/>
      <w:lang w:eastAsia="it-IT"/>
    </w:rPr>
  </w:style>
  <w:style w:type="paragraph" w:styleId="PreformattatoHTML">
    <w:name w:val="HTML Preformatted"/>
    <w:basedOn w:val="Normale"/>
    <w:link w:val="PreformattatoHTMLCarattere"/>
    <w:rsid w:val="00DA5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rsid w:val="00DA5015"/>
    <w:rPr>
      <w:rFonts w:ascii="Courier New" w:eastAsia="Times New Roman" w:hAnsi="Courier New" w:cs="Courier New"/>
      <w:sz w:val="20"/>
      <w:szCs w:val="20"/>
      <w:lang w:eastAsia="it-IT"/>
    </w:rPr>
  </w:style>
  <w:style w:type="paragraph" w:customStyle="1" w:styleId="CM1">
    <w:name w:val="CM1"/>
    <w:basedOn w:val="Default"/>
    <w:next w:val="Default"/>
    <w:rsid w:val="00DA5015"/>
    <w:pPr>
      <w:spacing w:line="256" w:lineRule="atLeast"/>
    </w:pPr>
    <w:rPr>
      <w:rFonts w:ascii="Arial" w:hAnsi="Arial" w:cs="Times New Roman"/>
      <w:color w:val="auto"/>
    </w:rPr>
  </w:style>
  <w:style w:type="paragraph" w:customStyle="1" w:styleId="CM23">
    <w:name w:val="CM23"/>
    <w:basedOn w:val="Default"/>
    <w:next w:val="Default"/>
    <w:rsid w:val="00DA5015"/>
    <w:rPr>
      <w:rFonts w:ascii="Arial" w:hAnsi="Arial" w:cs="Times New Roman"/>
      <w:color w:val="auto"/>
    </w:rPr>
  </w:style>
  <w:style w:type="paragraph" w:styleId="Pidipagina">
    <w:name w:val="footer"/>
    <w:basedOn w:val="Normale"/>
    <w:link w:val="PidipaginaCarattere"/>
    <w:rsid w:val="00DA5015"/>
    <w:pPr>
      <w:tabs>
        <w:tab w:val="center" w:pos="4819"/>
        <w:tab w:val="right" w:pos="9638"/>
      </w:tabs>
    </w:pPr>
  </w:style>
  <w:style w:type="character" w:customStyle="1" w:styleId="PidipaginaCarattere">
    <w:name w:val="Piè di pagina Carattere"/>
    <w:basedOn w:val="Carpredefinitoparagrafo"/>
    <w:link w:val="Pidipagina"/>
    <w:rsid w:val="00DA5015"/>
    <w:rPr>
      <w:rFonts w:ascii="Times New Roman" w:eastAsia="Times New Roman" w:hAnsi="Times New Roman" w:cs="Times New Roman"/>
      <w:sz w:val="24"/>
      <w:szCs w:val="24"/>
      <w:lang w:eastAsia="it-IT"/>
    </w:rPr>
  </w:style>
  <w:style w:type="character" w:styleId="Numeropagina">
    <w:name w:val="page number"/>
    <w:basedOn w:val="Carpredefinitoparagrafo"/>
    <w:rsid w:val="00DA50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4049</Words>
  <Characters>23081</Characters>
  <Application>Microsoft Office Word</Application>
  <DocSecurity>0</DocSecurity>
  <Lines>192</Lines>
  <Paragraphs>54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27076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2019-11-04T17:30:00Z</dcterms:created>
  <dcterms:modified xsi:type="dcterms:W3CDTF">2019-12-02T12:55:00Z</dcterms:modified>
</cp:coreProperties>
</file>