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0A003" w14:textId="77777777" w:rsidR="008D3C85" w:rsidRDefault="008D3C85" w:rsidP="005D15AA">
      <w:pPr>
        <w:jc w:val="center"/>
        <w:rPr>
          <w:b/>
          <w:sz w:val="24"/>
          <w:szCs w:val="24"/>
        </w:rPr>
      </w:pPr>
      <w:r>
        <w:rPr>
          <w:b/>
          <w:sz w:val="24"/>
          <w:szCs w:val="24"/>
        </w:rPr>
        <w:t>LA LEGISLAZIONE  STATALE E REGIONALE NEI  CONFRONTI DELLA FAMIGLIA, INTESA QUALE PRIMO LIVELLO</w:t>
      </w:r>
      <w:r w:rsidR="005D15AA" w:rsidRPr="00D44DAF">
        <w:rPr>
          <w:b/>
          <w:sz w:val="24"/>
          <w:szCs w:val="24"/>
        </w:rPr>
        <w:t xml:space="preserve"> DELLA SUSSI</w:t>
      </w:r>
      <w:r w:rsidR="005D15AA">
        <w:rPr>
          <w:b/>
          <w:sz w:val="24"/>
          <w:szCs w:val="24"/>
        </w:rPr>
        <w:t>D</w:t>
      </w:r>
      <w:r w:rsidR="005D15AA" w:rsidRPr="00D44DAF">
        <w:rPr>
          <w:b/>
          <w:sz w:val="24"/>
          <w:szCs w:val="24"/>
        </w:rPr>
        <w:t>IARIETA’ ORIZZONTALE</w:t>
      </w:r>
    </w:p>
    <w:p w14:paraId="284E4C33" w14:textId="77777777" w:rsidR="008D3C85" w:rsidRDefault="008D3C85" w:rsidP="008D3C85">
      <w:pPr>
        <w:spacing w:line="20" w:lineRule="atLeast"/>
        <w:jc w:val="both"/>
        <w:rPr>
          <w:rFonts w:cstheme="minorHAnsi"/>
          <w:b/>
          <w:bCs/>
        </w:rPr>
      </w:pPr>
    </w:p>
    <w:p w14:paraId="66DBA250" w14:textId="7B773C39" w:rsidR="008D3C85" w:rsidRPr="001C129E" w:rsidRDefault="008D3C85" w:rsidP="008D3C85">
      <w:pPr>
        <w:spacing w:line="20" w:lineRule="atLeast"/>
        <w:jc w:val="both"/>
        <w:rPr>
          <w:rFonts w:cstheme="minorHAnsi"/>
          <w:b/>
          <w:bCs/>
        </w:rPr>
      </w:pPr>
      <w:r w:rsidRPr="001C129E">
        <w:rPr>
          <w:rFonts w:cstheme="minorHAnsi"/>
          <w:b/>
          <w:bCs/>
        </w:rPr>
        <w:t xml:space="preserve">di LUIGI COLOMBINI </w:t>
      </w:r>
    </w:p>
    <w:p w14:paraId="12EEC0A4" w14:textId="77777777" w:rsidR="008D3C85" w:rsidRPr="001C129E" w:rsidRDefault="008D3C85" w:rsidP="008D3C85">
      <w:pPr>
        <w:spacing w:line="20" w:lineRule="atLeast"/>
        <w:jc w:val="both"/>
        <w:rPr>
          <w:rFonts w:cstheme="minorHAnsi"/>
          <w:b/>
          <w:bCs/>
        </w:rPr>
      </w:pPr>
      <w:r w:rsidRPr="001C129E">
        <w:rPr>
          <w:rFonts w:cstheme="minorHAnsi"/>
          <w:b/>
          <w:bCs/>
        </w:rPr>
        <w:t>Già Docente di Legislazione  ed Organizzazione dei Servizi Sociali presso Università Statale Roma TRE, corsi DISSAIFE e MASSIFE</w:t>
      </w:r>
    </w:p>
    <w:p w14:paraId="6C61046E" w14:textId="77777777" w:rsidR="008D3C85" w:rsidRPr="001C129E" w:rsidRDefault="008D3C85" w:rsidP="008D3C85">
      <w:pPr>
        <w:spacing w:line="20" w:lineRule="atLeast"/>
        <w:jc w:val="both"/>
        <w:rPr>
          <w:rFonts w:cstheme="minorHAnsi"/>
          <w:b/>
          <w:bCs/>
        </w:rPr>
      </w:pPr>
      <w:r w:rsidRPr="001C129E">
        <w:rPr>
          <w:rFonts w:cstheme="minorHAnsi"/>
          <w:b/>
          <w:bCs/>
        </w:rPr>
        <w:t>Collaboratore del Sindacato Nazionale Unitario Assistenti Sociali – SUNAS -  e  del Centro Studi IRIS Socialia e redattore di OSSERVATORIO LEGISLATIVO SUNAS</w:t>
      </w:r>
    </w:p>
    <w:p w14:paraId="60F3DA48" w14:textId="77777777" w:rsidR="008D3C85" w:rsidRPr="001C129E" w:rsidRDefault="008D3C85" w:rsidP="008D3C85">
      <w:pPr>
        <w:spacing w:line="20" w:lineRule="atLeast"/>
        <w:jc w:val="both"/>
        <w:rPr>
          <w:rFonts w:cstheme="minorHAnsi"/>
          <w:b/>
          <w:bCs/>
        </w:rPr>
      </w:pPr>
      <w:r w:rsidRPr="001C129E">
        <w:rPr>
          <w:rFonts w:cstheme="minorHAnsi"/>
          <w:b/>
          <w:bCs/>
        </w:rPr>
        <w:t>Responsabile  “Rassegna normativa” di WELFORUM</w:t>
      </w:r>
    </w:p>
    <w:p w14:paraId="4E928A97" w14:textId="77777777" w:rsidR="008D3C85" w:rsidRPr="006C1724" w:rsidRDefault="008D3C85" w:rsidP="005D15AA">
      <w:pPr>
        <w:rPr>
          <w:b/>
          <w:sz w:val="24"/>
        </w:rPr>
      </w:pPr>
    </w:p>
    <w:p w14:paraId="1BCF59AD" w14:textId="67A71950" w:rsidR="008D3C85" w:rsidRPr="00F747D9" w:rsidRDefault="008D3C85" w:rsidP="005D15AA">
      <w:pPr>
        <w:pStyle w:val="Testocommento"/>
        <w:rPr>
          <w:rFonts w:asciiTheme="minorHAnsi" w:hAnsiTheme="minorHAnsi" w:cstheme="minorHAnsi"/>
          <w:b/>
          <w:sz w:val="24"/>
          <w:szCs w:val="24"/>
        </w:rPr>
      </w:pPr>
      <w:r w:rsidRPr="00F747D9">
        <w:rPr>
          <w:rFonts w:asciiTheme="minorHAnsi" w:hAnsiTheme="minorHAnsi" w:cstheme="minorHAnsi"/>
          <w:b/>
          <w:sz w:val="24"/>
          <w:szCs w:val="24"/>
        </w:rPr>
        <w:t>PARTE PRIMA</w:t>
      </w:r>
    </w:p>
    <w:p w14:paraId="435B85A2" w14:textId="77777777" w:rsidR="005D15AA" w:rsidRDefault="005D15AA" w:rsidP="005D15AA">
      <w:pPr>
        <w:pStyle w:val="Titolo5"/>
        <w:jc w:val="both"/>
      </w:pPr>
    </w:p>
    <w:p w14:paraId="32786B9E" w14:textId="0E5A5F44" w:rsidR="00C541DA" w:rsidRPr="008D3C85" w:rsidRDefault="008D3C85" w:rsidP="005D15AA">
      <w:pPr>
        <w:rPr>
          <w:rFonts w:asciiTheme="minorHAnsi" w:hAnsiTheme="minorHAnsi" w:cstheme="minorHAnsi"/>
          <w:b/>
          <w:bCs/>
          <w:sz w:val="24"/>
          <w:szCs w:val="24"/>
        </w:rPr>
      </w:pPr>
      <w:r w:rsidRPr="008D3C85">
        <w:rPr>
          <w:rFonts w:asciiTheme="minorHAnsi" w:hAnsiTheme="minorHAnsi" w:cstheme="minorHAnsi"/>
          <w:b/>
          <w:bCs/>
          <w:sz w:val="24"/>
          <w:szCs w:val="24"/>
        </w:rPr>
        <w:t>L’ANDAM</w:t>
      </w:r>
      <w:r>
        <w:rPr>
          <w:rFonts w:asciiTheme="minorHAnsi" w:hAnsiTheme="minorHAnsi" w:cstheme="minorHAnsi"/>
          <w:b/>
          <w:bCs/>
          <w:sz w:val="24"/>
          <w:szCs w:val="24"/>
        </w:rPr>
        <w:t>E</w:t>
      </w:r>
      <w:r w:rsidRPr="008D3C85">
        <w:rPr>
          <w:rFonts w:asciiTheme="minorHAnsi" w:hAnsiTheme="minorHAnsi" w:cstheme="minorHAnsi"/>
          <w:b/>
          <w:bCs/>
          <w:sz w:val="24"/>
          <w:szCs w:val="24"/>
        </w:rPr>
        <w:t xml:space="preserve">NTO </w:t>
      </w:r>
      <w:r>
        <w:rPr>
          <w:rFonts w:asciiTheme="minorHAnsi" w:hAnsiTheme="minorHAnsi" w:cstheme="minorHAnsi"/>
          <w:b/>
          <w:bCs/>
          <w:sz w:val="24"/>
          <w:szCs w:val="24"/>
        </w:rPr>
        <w:t xml:space="preserve"> DELLE FAMIGLIE NEL CORSO DI CINQUANTA ANNI: 1971-2021</w:t>
      </w:r>
    </w:p>
    <w:p w14:paraId="3BC873AF" w14:textId="77777777" w:rsidR="00C541DA" w:rsidRPr="006C1724" w:rsidRDefault="00C541DA" w:rsidP="005D15AA"/>
    <w:p w14:paraId="12E6ECA6" w14:textId="77C18A62" w:rsidR="005D15AA" w:rsidRPr="00C0320B" w:rsidRDefault="005D15AA" w:rsidP="005D15AA">
      <w:pPr>
        <w:jc w:val="both"/>
        <w:rPr>
          <w:b/>
          <w:bCs/>
          <w:sz w:val="24"/>
        </w:rPr>
      </w:pPr>
      <w:r w:rsidRPr="00C0320B">
        <w:rPr>
          <w:b/>
          <w:bCs/>
          <w:sz w:val="24"/>
        </w:rPr>
        <w:t>Nel corso degli oltre cinquanta anni che intercorrono fra il censimento della popolazione del 1971 e quello del 2021, la composizione media della famiglia italiana ha subito una profonda e drammatica modificazione: si è passati da una organizzazione familiare tipica di una società prevalentemente di tipo rurale</w:t>
      </w:r>
      <w:r w:rsidR="002148C3" w:rsidRPr="00C0320B">
        <w:rPr>
          <w:b/>
          <w:bCs/>
          <w:sz w:val="24"/>
        </w:rPr>
        <w:t xml:space="preserve"> </w:t>
      </w:r>
      <w:r w:rsidR="009D3C51" w:rsidRPr="00C0320B">
        <w:rPr>
          <w:b/>
          <w:bCs/>
          <w:sz w:val="24"/>
        </w:rPr>
        <w:t xml:space="preserve"> - </w:t>
      </w:r>
      <w:r w:rsidR="002148C3" w:rsidRPr="00C0320B">
        <w:rPr>
          <w:b/>
          <w:bCs/>
          <w:sz w:val="24"/>
        </w:rPr>
        <w:t xml:space="preserve">secondo  i dati del lontano censimento </w:t>
      </w:r>
      <w:r w:rsidRPr="00C0320B">
        <w:rPr>
          <w:b/>
          <w:bCs/>
          <w:sz w:val="24"/>
        </w:rPr>
        <w:t xml:space="preserve"> </w:t>
      </w:r>
      <w:r w:rsidR="002148C3" w:rsidRPr="00C0320B">
        <w:rPr>
          <w:b/>
          <w:bCs/>
          <w:sz w:val="24"/>
        </w:rPr>
        <w:t xml:space="preserve">del 1951 (settanta anni oro sono, circa lo spazio di tre generazioni) </w:t>
      </w:r>
      <w:r w:rsidRPr="00C0320B">
        <w:rPr>
          <w:b/>
          <w:bCs/>
          <w:sz w:val="24"/>
        </w:rPr>
        <w:t>in cui i componenti della famiglia media  erano 4,0</w:t>
      </w:r>
      <w:r w:rsidR="009D3C51" w:rsidRPr="00C0320B">
        <w:rPr>
          <w:b/>
          <w:bCs/>
          <w:sz w:val="24"/>
        </w:rPr>
        <w:t xml:space="preserve"> - </w:t>
      </w:r>
      <w:r w:rsidRPr="00C0320B">
        <w:rPr>
          <w:b/>
          <w:bCs/>
          <w:sz w:val="24"/>
        </w:rPr>
        <w:t xml:space="preserve"> ad una media di </w:t>
      </w:r>
      <w:r w:rsidR="00660087" w:rsidRPr="00C0320B">
        <w:rPr>
          <w:b/>
          <w:bCs/>
          <w:sz w:val="24"/>
        </w:rPr>
        <w:t xml:space="preserve">3,3 nel 1971 a  </w:t>
      </w:r>
      <w:r w:rsidRPr="00C0320B">
        <w:rPr>
          <w:b/>
          <w:bCs/>
          <w:sz w:val="24"/>
        </w:rPr>
        <w:t>2,8 unità nel 1991, fino ad una media di componenti ancora più ridotta nel 2001 – 2,6 – per giungere ad una media di 2,</w:t>
      </w:r>
      <w:r w:rsidR="002148C3" w:rsidRPr="00C0320B">
        <w:rPr>
          <w:b/>
          <w:bCs/>
          <w:sz w:val="24"/>
        </w:rPr>
        <w:t>3</w:t>
      </w:r>
      <w:r w:rsidRPr="00C0320B">
        <w:rPr>
          <w:b/>
          <w:bCs/>
          <w:sz w:val="24"/>
        </w:rPr>
        <w:t xml:space="preserve"> componenti nel 2</w:t>
      </w:r>
      <w:r w:rsidR="002148C3" w:rsidRPr="00C0320B">
        <w:rPr>
          <w:b/>
          <w:bCs/>
          <w:sz w:val="24"/>
        </w:rPr>
        <w:t>021.</w:t>
      </w:r>
    </w:p>
    <w:p w14:paraId="2F4E3294" w14:textId="56E6CDC2" w:rsidR="00105B78" w:rsidRPr="00C0320B" w:rsidRDefault="005D15AA" w:rsidP="005D15AA">
      <w:pPr>
        <w:jc w:val="both"/>
        <w:rPr>
          <w:b/>
          <w:bCs/>
          <w:sz w:val="24"/>
        </w:rPr>
      </w:pPr>
      <w:r w:rsidRPr="00C0320B">
        <w:rPr>
          <w:b/>
          <w:bCs/>
          <w:sz w:val="24"/>
        </w:rPr>
        <w:t>L</w:t>
      </w:r>
      <w:r w:rsidR="00105B78" w:rsidRPr="00C0320B">
        <w:rPr>
          <w:b/>
          <w:bCs/>
          <w:sz w:val="24"/>
        </w:rPr>
        <w:t>e</w:t>
      </w:r>
      <w:r w:rsidRPr="00C0320B">
        <w:rPr>
          <w:b/>
          <w:bCs/>
          <w:sz w:val="24"/>
        </w:rPr>
        <w:t xml:space="preserve"> tabell</w:t>
      </w:r>
      <w:r w:rsidR="00105B78" w:rsidRPr="00C0320B">
        <w:rPr>
          <w:b/>
          <w:bCs/>
          <w:sz w:val="24"/>
        </w:rPr>
        <w:t>e</w:t>
      </w:r>
      <w:r w:rsidRPr="00C0320B">
        <w:rPr>
          <w:b/>
          <w:bCs/>
          <w:sz w:val="24"/>
        </w:rPr>
        <w:t xml:space="preserve"> seguent</w:t>
      </w:r>
      <w:r w:rsidR="00105B78" w:rsidRPr="00C0320B">
        <w:rPr>
          <w:b/>
          <w:bCs/>
          <w:sz w:val="24"/>
        </w:rPr>
        <w:t>i</w:t>
      </w:r>
      <w:r w:rsidRPr="00C0320B">
        <w:rPr>
          <w:b/>
          <w:bCs/>
          <w:sz w:val="24"/>
        </w:rPr>
        <w:t xml:space="preserve">, </w:t>
      </w:r>
      <w:r w:rsidR="00105B78" w:rsidRPr="00C0320B">
        <w:rPr>
          <w:b/>
          <w:bCs/>
          <w:sz w:val="24"/>
        </w:rPr>
        <w:t xml:space="preserve"> ed i grafici </w:t>
      </w:r>
      <w:r w:rsidRPr="00C0320B">
        <w:rPr>
          <w:b/>
          <w:bCs/>
          <w:sz w:val="24"/>
        </w:rPr>
        <w:t>riferit</w:t>
      </w:r>
      <w:r w:rsidR="00105B78" w:rsidRPr="00C0320B">
        <w:rPr>
          <w:b/>
          <w:bCs/>
          <w:sz w:val="24"/>
        </w:rPr>
        <w:t>i</w:t>
      </w:r>
      <w:r w:rsidRPr="00C0320B">
        <w:rPr>
          <w:b/>
          <w:bCs/>
          <w:sz w:val="24"/>
        </w:rPr>
        <w:t xml:space="preserve"> ai censimenti dal 19</w:t>
      </w:r>
      <w:r w:rsidR="000176E7" w:rsidRPr="00C0320B">
        <w:rPr>
          <w:b/>
          <w:bCs/>
          <w:sz w:val="24"/>
        </w:rPr>
        <w:t>7</w:t>
      </w:r>
      <w:r w:rsidRPr="00C0320B">
        <w:rPr>
          <w:b/>
          <w:bCs/>
          <w:sz w:val="24"/>
        </w:rPr>
        <w:t>1 al 20</w:t>
      </w:r>
      <w:r w:rsidR="000176E7" w:rsidRPr="00C0320B">
        <w:rPr>
          <w:b/>
          <w:bCs/>
          <w:sz w:val="24"/>
        </w:rPr>
        <w:t>2</w:t>
      </w:r>
      <w:r w:rsidRPr="00C0320B">
        <w:rPr>
          <w:b/>
          <w:bCs/>
          <w:sz w:val="24"/>
        </w:rPr>
        <w:t>1 mett</w:t>
      </w:r>
      <w:r w:rsidR="00105B78" w:rsidRPr="00C0320B">
        <w:rPr>
          <w:b/>
          <w:bCs/>
          <w:sz w:val="24"/>
        </w:rPr>
        <w:t>ono</w:t>
      </w:r>
      <w:r w:rsidR="009D3C51" w:rsidRPr="00C0320B">
        <w:rPr>
          <w:b/>
          <w:bCs/>
          <w:sz w:val="24"/>
        </w:rPr>
        <w:t xml:space="preserve"> </w:t>
      </w:r>
      <w:r w:rsidRPr="00C0320B">
        <w:rPr>
          <w:b/>
          <w:bCs/>
          <w:sz w:val="24"/>
        </w:rPr>
        <w:t>ancor più in evidenza le trasformazioni che sono intervenute</w:t>
      </w:r>
      <w:r w:rsidR="00105B78" w:rsidRPr="00C0320B">
        <w:rPr>
          <w:b/>
          <w:bCs/>
          <w:sz w:val="24"/>
        </w:rPr>
        <w:t>.</w:t>
      </w:r>
    </w:p>
    <w:p w14:paraId="5750B7D1" w14:textId="4EA8A797" w:rsidR="00105B78" w:rsidRDefault="00105B78" w:rsidP="005D15AA">
      <w:pPr>
        <w:jc w:val="both"/>
        <w:rPr>
          <w:sz w:val="24"/>
        </w:rPr>
      </w:pPr>
    </w:p>
    <w:p w14:paraId="18A0BD91" w14:textId="77777777" w:rsidR="00105B78" w:rsidRDefault="00105B78" w:rsidP="00105B78">
      <w:pPr>
        <w:pStyle w:val="Corpotesto"/>
        <w:jc w:val="both"/>
        <w:rPr>
          <w:rFonts w:ascii="Times New Roman" w:hAnsi="Times New Roman"/>
        </w:rPr>
      </w:pPr>
      <w:bookmarkStart w:id="0" w:name="_Hlk105058381"/>
      <w:r>
        <w:rPr>
          <w:rFonts w:ascii="Times New Roman" w:hAnsi="Times New Roman"/>
        </w:rPr>
        <w:t xml:space="preserve">TAB 1 </w:t>
      </w:r>
    </w:p>
    <w:p w14:paraId="69950FA8" w14:textId="77777777" w:rsidR="00105B78" w:rsidRDefault="00105B78" w:rsidP="00105B78">
      <w:pPr>
        <w:pStyle w:val="Corpotesto"/>
        <w:jc w:val="both"/>
        <w:rPr>
          <w:rFonts w:ascii="Times New Roman" w:hAnsi="Times New Roman"/>
        </w:rPr>
      </w:pPr>
    </w:p>
    <w:p w14:paraId="168691C6" w14:textId="67DD44E0" w:rsidR="00105B78" w:rsidRDefault="00105B78" w:rsidP="00105B78">
      <w:pPr>
        <w:pStyle w:val="Corpotesto"/>
        <w:jc w:val="both"/>
        <w:rPr>
          <w:rFonts w:ascii="Times New Roman" w:hAnsi="Times New Roman"/>
        </w:rPr>
      </w:pPr>
      <w:r w:rsidRPr="00C0320B">
        <w:rPr>
          <w:rFonts w:ascii="Times New Roman" w:hAnsi="Times New Roman"/>
        </w:rPr>
        <w:t>Famiglie per numero conmponenti ai censimenti 1971-2021, composizione percentuale e numeri indice: 1971=100</w:t>
      </w:r>
    </w:p>
    <w:p w14:paraId="2EA82104" w14:textId="03074F8D" w:rsidR="00B653C2" w:rsidRDefault="00B653C2" w:rsidP="00105B78">
      <w:pPr>
        <w:pStyle w:val="Corpotesto"/>
        <w:jc w:val="both"/>
        <w:rPr>
          <w:rFonts w:ascii="Times New Roman" w:hAnsi="Times New Roman"/>
        </w:rPr>
      </w:pPr>
    </w:p>
    <w:p w14:paraId="4A83976F" w14:textId="3555548B" w:rsidR="00B653C2" w:rsidRDefault="00B653C2" w:rsidP="00105B78">
      <w:pPr>
        <w:pStyle w:val="Corpotesto"/>
        <w:jc w:val="both"/>
        <w:rPr>
          <w:rFonts w:ascii="Times New Roman" w:hAnsi="Times New Roman"/>
        </w:rPr>
      </w:pPr>
    </w:p>
    <w:p w14:paraId="54CE031D" w14:textId="3D9E01E5" w:rsidR="00B653C2" w:rsidRDefault="00B653C2" w:rsidP="00B653C2">
      <w:pPr>
        <w:jc w:val="center"/>
        <w:rPr>
          <w:b/>
          <w:sz w:val="16"/>
        </w:rPr>
      </w:pPr>
    </w:p>
    <w:tbl>
      <w:tblPr>
        <w:tblW w:w="9289" w:type="dxa"/>
        <w:tblInd w:w="-650" w:type="dxa"/>
        <w:tblLayout w:type="fixed"/>
        <w:tblCellMar>
          <w:left w:w="70" w:type="dxa"/>
          <w:right w:w="70" w:type="dxa"/>
        </w:tblCellMar>
        <w:tblLook w:val="0000" w:firstRow="0" w:lastRow="0" w:firstColumn="0" w:lastColumn="0" w:noHBand="0" w:noVBand="0"/>
      </w:tblPr>
      <w:tblGrid>
        <w:gridCol w:w="642"/>
        <w:gridCol w:w="567"/>
        <w:gridCol w:w="426"/>
        <w:gridCol w:w="425"/>
        <w:gridCol w:w="567"/>
        <w:gridCol w:w="567"/>
        <w:gridCol w:w="425"/>
        <w:gridCol w:w="567"/>
        <w:gridCol w:w="425"/>
        <w:gridCol w:w="426"/>
        <w:gridCol w:w="567"/>
        <w:gridCol w:w="425"/>
        <w:gridCol w:w="425"/>
        <w:gridCol w:w="567"/>
        <w:gridCol w:w="425"/>
        <w:gridCol w:w="426"/>
        <w:gridCol w:w="567"/>
        <w:gridCol w:w="425"/>
        <w:gridCol w:w="425"/>
      </w:tblGrid>
      <w:tr w:rsidR="00B653C2" w14:paraId="4782EB6D" w14:textId="77777777" w:rsidTr="00536B14">
        <w:trPr>
          <w:trHeight w:val="845"/>
        </w:trPr>
        <w:tc>
          <w:tcPr>
            <w:tcW w:w="642" w:type="dxa"/>
            <w:tcBorders>
              <w:top w:val="single" w:sz="6" w:space="0" w:color="auto"/>
              <w:left w:val="single" w:sz="6" w:space="0" w:color="auto"/>
              <w:bottom w:val="single" w:sz="6" w:space="0" w:color="auto"/>
              <w:right w:val="single" w:sz="6" w:space="0" w:color="auto"/>
            </w:tcBorders>
          </w:tcPr>
          <w:p w14:paraId="4AFB0318" w14:textId="77777777" w:rsidR="00B653C2" w:rsidRPr="00260720" w:rsidRDefault="00B653C2" w:rsidP="00B653C2">
            <w:pPr>
              <w:keepNext/>
              <w:widowControl w:val="0"/>
              <w:autoSpaceDE w:val="0"/>
              <w:autoSpaceDN w:val="0"/>
              <w:adjustRightInd w:val="0"/>
              <w:spacing w:after="100" w:line="20" w:lineRule="atLeast"/>
              <w:jc w:val="center"/>
              <w:rPr>
                <w:b/>
                <w:bCs/>
                <w:sz w:val="10"/>
                <w:szCs w:val="10"/>
              </w:rPr>
            </w:pPr>
            <w:r w:rsidRPr="00260720">
              <w:rPr>
                <w:b/>
                <w:bCs/>
                <w:sz w:val="10"/>
                <w:szCs w:val="10"/>
              </w:rPr>
              <w:t>numero</w:t>
            </w:r>
          </w:p>
          <w:p w14:paraId="1AB28F08" w14:textId="77777777" w:rsidR="00B653C2" w:rsidRDefault="00B653C2" w:rsidP="00B653C2">
            <w:pPr>
              <w:keepNext/>
              <w:widowControl w:val="0"/>
              <w:autoSpaceDE w:val="0"/>
              <w:autoSpaceDN w:val="0"/>
              <w:adjustRightInd w:val="0"/>
              <w:spacing w:after="100" w:line="20" w:lineRule="atLeast"/>
              <w:jc w:val="center"/>
              <w:rPr>
                <w:b/>
                <w:bCs/>
                <w:sz w:val="16"/>
                <w:szCs w:val="16"/>
              </w:rPr>
            </w:pPr>
            <w:r w:rsidRPr="00260720">
              <w:rPr>
                <w:b/>
                <w:bCs/>
                <w:sz w:val="10"/>
                <w:szCs w:val="10"/>
              </w:rPr>
              <w:t>componenti</w:t>
            </w:r>
          </w:p>
        </w:tc>
        <w:tc>
          <w:tcPr>
            <w:tcW w:w="567" w:type="dxa"/>
            <w:tcBorders>
              <w:top w:val="single" w:sz="6" w:space="0" w:color="auto"/>
              <w:left w:val="single" w:sz="6" w:space="0" w:color="auto"/>
              <w:bottom w:val="single" w:sz="6" w:space="0" w:color="auto"/>
              <w:right w:val="single" w:sz="6" w:space="0" w:color="auto"/>
            </w:tcBorders>
          </w:tcPr>
          <w:p w14:paraId="4F25DB2E" w14:textId="71BB8B8D" w:rsidR="00B653C2" w:rsidRPr="00260720" w:rsidRDefault="00B653C2" w:rsidP="00B653C2">
            <w:pPr>
              <w:widowControl w:val="0"/>
              <w:autoSpaceDE w:val="0"/>
              <w:autoSpaceDN w:val="0"/>
              <w:adjustRightInd w:val="0"/>
              <w:spacing w:after="100" w:line="20" w:lineRule="atLeast"/>
              <w:jc w:val="center"/>
              <w:rPr>
                <w:b/>
                <w:bCs/>
                <w:sz w:val="12"/>
                <w:szCs w:val="12"/>
              </w:rPr>
            </w:pPr>
            <w:r w:rsidRPr="00260720">
              <w:rPr>
                <w:b/>
                <w:bCs/>
                <w:sz w:val="12"/>
                <w:szCs w:val="12"/>
              </w:rPr>
              <w:t>1971</w:t>
            </w:r>
          </w:p>
          <w:p w14:paraId="7A56532B" w14:textId="77777777" w:rsidR="00B653C2" w:rsidRDefault="00B653C2" w:rsidP="00B653C2">
            <w:pPr>
              <w:widowControl w:val="0"/>
              <w:autoSpaceDE w:val="0"/>
              <w:autoSpaceDN w:val="0"/>
              <w:adjustRightInd w:val="0"/>
              <w:spacing w:after="100" w:line="20" w:lineRule="atLeast"/>
              <w:jc w:val="center"/>
              <w:rPr>
                <w:b/>
                <w:bCs/>
                <w:sz w:val="16"/>
                <w:szCs w:val="16"/>
              </w:rPr>
            </w:pPr>
            <w:r w:rsidRPr="00260720">
              <w:rPr>
                <w:b/>
                <w:bCs/>
                <w:sz w:val="12"/>
                <w:szCs w:val="12"/>
              </w:rPr>
              <w:t>numeri assolu</w:t>
            </w:r>
            <w:r>
              <w:rPr>
                <w:b/>
                <w:bCs/>
                <w:sz w:val="16"/>
                <w:szCs w:val="16"/>
              </w:rPr>
              <w:t>ti</w:t>
            </w:r>
          </w:p>
        </w:tc>
        <w:tc>
          <w:tcPr>
            <w:tcW w:w="426" w:type="dxa"/>
            <w:tcBorders>
              <w:top w:val="single" w:sz="6" w:space="0" w:color="auto"/>
              <w:left w:val="single" w:sz="6" w:space="0" w:color="auto"/>
              <w:bottom w:val="single" w:sz="6" w:space="0" w:color="auto"/>
              <w:right w:val="single" w:sz="6" w:space="0" w:color="auto"/>
            </w:tcBorders>
          </w:tcPr>
          <w:p w14:paraId="5CC18232" w14:textId="77777777" w:rsidR="00B653C2" w:rsidRDefault="00B653C2" w:rsidP="00B653C2">
            <w:pPr>
              <w:widowControl w:val="0"/>
              <w:autoSpaceDE w:val="0"/>
              <w:autoSpaceDN w:val="0"/>
              <w:adjustRightInd w:val="0"/>
              <w:spacing w:after="100" w:line="20" w:lineRule="atLeast"/>
              <w:jc w:val="center"/>
              <w:rPr>
                <w:b/>
                <w:bCs/>
                <w:sz w:val="16"/>
                <w:szCs w:val="16"/>
              </w:rPr>
            </w:pPr>
            <w:r>
              <w:rPr>
                <w:b/>
                <w:bCs/>
                <w:sz w:val="16"/>
                <w:szCs w:val="16"/>
              </w:rPr>
              <w:t>%</w:t>
            </w:r>
          </w:p>
        </w:tc>
        <w:tc>
          <w:tcPr>
            <w:tcW w:w="425" w:type="dxa"/>
            <w:tcBorders>
              <w:top w:val="single" w:sz="6" w:space="0" w:color="auto"/>
              <w:left w:val="single" w:sz="6" w:space="0" w:color="auto"/>
              <w:bottom w:val="single" w:sz="6" w:space="0" w:color="auto"/>
              <w:right w:val="single" w:sz="6" w:space="0" w:color="auto"/>
            </w:tcBorders>
          </w:tcPr>
          <w:p w14:paraId="06AC8F76" w14:textId="77777777" w:rsidR="00B653C2" w:rsidRPr="00CC47A7" w:rsidRDefault="00B653C2" w:rsidP="00B653C2">
            <w:pPr>
              <w:widowControl w:val="0"/>
              <w:autoSpaceDE w:val="0"/>
              <w:autoSpaceDN w:val="0"/>
              <w:adjustRightInd w:val="0"/>
              <w:spacing w:after="100" w:line="20" w:lineRule="atLeast"/>
              <w:jc w:val="center"/>
              <w:rPr>
                <w:b/>
                <w:bCs/>
                <w:sz w:val="14"/>
                <w:szCs w:val="14"/>
              </w:rPr>
            </w:pPr>
            <w:r w:rsidRPr="00CC47A7">
              <w:rPr>
                <w:b/>
                <w:bCs/>
                <w:sz w:val="14"/>
                <w:szCs w:val="14"/>
              </w:rPr>
              <w:t>base</w:t>
            </w:r>
            <w:r>
              <w:rPr>
                <w:b/>
                <w:bCs/>
                <w:sz w:val="14"/>
                <w:szCs w:val="14"/>
              </w:rPr>
              <w:t xml:space="preserve">   </w:t>
            </w:r>
            <w:r w:rsidRPr="00CC47A7">
              <w:rPr>
                <w:b/>
                <w:bCs/>
                <w:sz w:val="14"/>
                <w:szCs w:val="14"/>
              </w:rPr>
              <w:t>=</w:t>
            </w:r>
          </w:p>
          <w:p w14:paraId="2508466F" w14:textId="77777777" w:rsidR="00B653C2" w:rsidRDefault="00B653C2" w:rsidP="00B653C2">
            <w:pPr>
              <w:widowControl w:val="0"/>
              <w:autoSpaceDE w:val="0"/>
              <w:autoSpaceDN w:val="0"/>
              <w:adjustRightInd w:val="0"/>
              <w:spacing w:after="100" w:line="20" w:lineRule="atLeast"/>
              <w:jc w:val="center"/>
              <w:rPr>
                <w:b/>
                <w:bCs/>
                <w:sz w:val="16"/>
                <w:szCs w:val="16"/>
              </w:rPr>
            </w:pPr>
            <w:r w:rsidRPr="00CC47A7">
              <w:rPr>
                <w:b/>
                <w:bCs/>
                <w:sz w:val="14"/>
                <w:szCs w:val="14"/>
              </w:rPr>
              <w:t>100</w:t>
            </w:r>
          </w:p>
        </w:tc>
        <w:tc>
          <w:tcPr>
            <w:tcW w:w="567" w:type="dxa"/>
            <w:tcBorders>
              <w:top w:val="single" w:sz="6" w:space="0" w:color="auto"/>
              <w:left w:val="single" w:sz="6" w:space="0" w:color="auto"/>
              <w:bottom w:val="single" w:sz="6" w:space="0" w:color="auto"/>
              <w:right w:val="single" w:sz="6" w:space="0" w:color="auto"/>
            </w:tcBorders>
          </w:tcPr>
          <w:p w14:paraId="4982DC60" w14:textId="7A65B417" w:rsidR="00B653C2" w:rsidRPr="00260720" w:rsidRDefault="00B653C2" w:rsidP="00B653C2">
            <w:pPr>
              <w:widowControl w:val="0"/>
              <w:autoSpaceDE w:val="0"/>
              <w:autoSpaceDN w:val="0"/>
              <w:adjustRightInd w:val="0"/>
              <w:spacing w:after="100" w:line="20" w:lineRule="atLeast"/>
              <w:jc w:val="center"/>
              <w:rPr>
                <w:b/>
                <w:bCs/>
                <w:sz w:val="12"/>
                <w:szCs w:val="12"/>
              </w:rPr>
            </w:pPr>
            <w:r w:rsidRPr="00260720">
              <w:rPr>
                <w:b/>
                <w:bCs/>
                <w:sz w:val="12"/>
                <w:szCs w:val="12"/>
              </w:rPr>
              <w:t>1981</w:t>
            </w:r>
          </w:p>
          <w:p w14:paraId="3C4D36BA" w14:textId="77777777" w:rsidR="00B653C2" w:rsidRPr="00260720" w:rsidRDefault="00B653C2" w:rsidP="00B653C2">
            <w:pPr>
              <w:widowControl w:val="0"/>
              <w:autoSpaceDE w:val="0"/>
              <w:autoSpaceDN w:val="0"/>
              <w:adjustRightInd w:val="0"/>
              <w:spacing w:line="20" w:lineRule="atLeast"/>
              <w:jc w:val="center"/>
              <w:rPr>
                <w:b/>
                <w:bCs/>
                <w:sz w:val="12"/>
                <w:szCs w:val="12"/>
              </w:rPr>
            </w:pPr>
            <w:r w:rsidRPr="00260720">
              <w:rPr>
                <w:b/>
                <w:bCs/>
                <w:sz w:val="12"/>
                <w:szCs w:val="12"/>
              </w:rPr>
              <w:t>numeri</w:t>
            </w:r>
          </w:p>
          <w:p w14:paraId="79394DF7" w14:textId="77777777" w:rsidR="00B653C2" w:rsidRDefault="00B653C2" w:rsidP="00B653C2">
            <w:pPr>
              <w:widowControl w:val="0"/>
              <w:autoSpaceDE w:val="0"/>
              <w:autoSpaceDN w:val="0"/>
              <w:adjustRightInd w:val="0"/>
              <w:spacing w:after="100" w:line="20" w:lineRule="atLeast"/>
              <w:jc w:val="center"/>
              <w:rPr>
                <w:b/>
                <w:bCs/>
                <w:sz w:val="16"/>
                <w:szCs w:val="16"/>
              </w:rPr>
            </w:pPr>
            <w:r w:rsidRPr="00260720">
              <w:rPr>
                <w:b/>
                <w:bCs/>
                <w:sz w:val="12"/>
                <w:szCs w:val="12"/>
              </w:rPr>
              <w:t>assoluti</w:t>
            </w:r>
          </w:p>
        </w:tc>
        <w:tc>
          <w:tcPr>
            <w:tcW w:w="567" w:type="dxa"/>
            <w:tcBorders>
              <w:top w:val="single" w:sz="6" w:space="0" w:color="auto"/>
              <w:left w:val="single" w:sz="6" w:space="0" w:color="auto"/>
              <w:bottom w:val="single" w:sz="6" w:space="0" w:color="auto"/>
              <w:right w:val="single" w:sz="6" w:space="0" w:color="auto"/>
            </w:tcBorders>
          </w:tcPr>
          <w:p w14:paraId="2670F91D" w14:textId="77777777" w:rsidR="00B653C2" w:rsidRDefault="00B653C2" w:rsidP="00B653C2">
            <w:pPr>
              <w:widowControl w:val="0"/>
              <w:autoSpaceDE w:val="0"/>
              <w:autoSpaceDN w:val="0"/>
              <w:adjustRightInd w:val="0"/>
              <w:spacing w:after="100" w:line="20" w:lineRule="atLeast"/>
              <w:jc w:val="center"/>
              <w:rPr>
                <w:b/>
                <w:bCs/>
                <w:sz w:val="16"/>
                <w:szCs w:val="16"/>
              </w:rPr>
            </w:pPr>
            <w:r>
              <w:rPr>
                <w:b/>
                <w:bCs/>
                <w:sz w:val="16"/>
                <w:szCs w:val="16"/>
              </w:rPr>
              <w:t>%</w:t>
            </w:r>
          </w:p>
        </w:tc>
        <w:tc>
          <w:tcPr>
            <w:tcW w:w="425" w:type="dxa"/>
            <w:tcBorders>
              <w:top w:val="single" w:sz="6" w:space="0" w:color="auto"/>
              <w:left w:val="single" w:sz="6" w:space="0" w:color="auto"/>
              <w:bottom w:val="single" w:sz="6" w:space="0" w:color="auto"/>
              <w:right w:val="single" w:sz="6" w:space="0" w:color="auto"/>
            </w:tcBorders>
          </w:tcPr>
          <w:p w14:paraId="57119517" w14:textId="77777777" w:rsidR="00B653C2" w:rsidRPr="00CC47A7" w:rsidRDefault="00B653C2" w:rsidP="00B653C2">
            <w:pPr>
              <w:widowControl w:val="0"/>
              <w:autoSpaceDE w:val="0"/>
              <w:autoSpaceDN w:val="0"/>
              <w:adjustRightInd w:val="0"/>
              <w:spacing w:after="100" w:line="20" w:lineRule="atLeast"/>
              <w:jc w:val="center"/>
              <w:rPr>
                <w:b/>
                <w:bCs/>
                <w:sz w:val="14"/>
                <w:szCs w:val="14"/>
              </w:rPr>
            </w:pPr>
            <w:r>
              <w:rPr>
                <w:b/>
                <w:bCs/>
                <w:sz w:val="14"/>
                <w:szCs w:val="14"/>
              </w:rPr>
              <w:t xml:space="preserve">su </w:t>
            </w:r>
            <w:r w:rsidRPr="00CC47A7">
              <w:rPr>
                <w:b/>
                <w:bCs/>
                <w:sz w:val="14"/>
                <w:szCs w:val="14"/>
              </w:rPr>
              <w:t>base</w:t>
            </w:r>
            <w:r>
              <w:rPr>
                <w:b/>
                <w:bCs/>
                <w:sz w:val="14"/>
                <w:szCs w:val="14"/>
              </w:rPr>
              <w:t xml:space="preserve">   </w:t>
            </w:r>
            <w:r w:rsidRPr="00CC47A7">
              <w:rPr>
                <w:b/>
                <w:bCs/>
                <w:sz w:val="14"/>
                <w:szCs w:val="14"/>
              </w:rPr>
              <w:t>=</w:t>
            </w:r>
          </w:p>
          <w:p w14:paraId="58917F1A" w14:textId="77777777" w:rsidR="00B653C2" w:rsidRDefault="00B653C2" w:rsidP="00B653C2">
            <w:pPr>
              <w:widowControl w:val="0"/>
              <w:autoSpaceDE w:val="0"/>
              <w:autoSpaceDN w:val="0"/>
              <w:adjustRightInd w:val="0"/>
              <w:spacing w:after="100" w:line="20" w:lineRule="atLeast"/>
              <w:jc w:val="center"/>
              <w:rPr>
                <w:b/>
                <w:bCs/>
                <w:sz w:val="16"/>
                <w:szCs w:val="16"/>
              </w:rPr>
            </w:pPr>
            <w:r w:rsidRPr="00CC47A7">
              <w:rPr>
                <w:b/>
                <w:bCs/>
                <w:sz w:val="14"/>
                <w:szCs w:val="14"/>
              </w:rPr>
              <w:t>100</w:t>
            </w:r>
          </w:p>
        </w:tc>
        <w:tc>
          <w:tcPr>
            <w:tcW w:w="567" w:type="dxa"/>
            <w:tcBorders>
              <w:top w:val="single" w:sz="6" w:space="0" w:color="auto"/>
              <w:left w:val="single" w:sz="6" w:space="0" w:color="auto"/>
              <w:bottom w:val="single" w:sz="6" w:space="0" w:color="auto"/>
              <w:right w:val="single" w:sz="6" w:space="0" w:color="auto"/>
            </w:tcBorders>
          </w:tcPr>
          <w:p w14:paraId="60C5E9ED" w14:textId="2ABABD29" w:rsidR="00B653C2" w:rsidRPr="00260720" w:rsidRDefault="00B653C2" w:rsidP="00B653C2">
            <w:pPr>
              <w:widowControl w:val="0"/>
              <w:autoSpaceDE w:val="0"/>
              <w:autoSpaceDN w:val="0"/>
              <w:adjustRightInd w:val="0"/>
              <w:spacing w:after="100" w:line="20" w:lineRule="atLeast"/>
              <w:jc w:val="center"/>
              <w:rPr>
                <w:b/>
                <w:bCs/>
                <w:sz w:val="12"/>
                <w:szCs w:val="12"/>
              </w:rPr>
            </w:pPr>
            <w:r w:rsidRPr="00260720">
              <w:rPr>
                <w:b/>
                <w:bCs/>
                <w:sz w:val="12"/>
                <w:szCs w:val="12"/>
              </w:rPr>
              <w:t>1991</w:t>
            </w:r>
          </w:p>
          <w:p w14:paraId="23AC0F01" w14:textId="77777777" w:rsidR="00B653C2" w:rsidRPr="00260720" w:rsidRDefault="00B653C2" w:rsidP="00B653C2">
            <w:pPr>
              <w:widowControl w:val="0"/>
              <w:autoSpaceDE w:val="0"/>
              <w:autoSpaceDN w:val="0"/>
              <w:adjustRightInd w:val="0"/>
              <w:spacing w:line="20" w:lineRule="atLeast"/>
              <w:jc w:val="center"/>
              <w:rPr>
                <w:b/>
                <w:bCs/>
                <w:sz w:val="12"/>
                <w:szCs w:val="12"/>
              </w:rPr>
            </w:pPr>
            <w:r w:rsidRPr="00260720">
              <w:rPr>
                <w:b/>
                <w:bCs/>
                <w:sz w:val="12"/>
                <w:szCs w:val="12"/>
              </w:rPr>
              <w:t>numeri</w:t>
            </w:r>
          </w:p>
          <w:p w14:paraId="1AC84E0A" w14:textId="77777777" w:rsidR="00B653C2" w:rsidRDefault="00B653C2" w:rsidP="00B653C2">
            <w:pPr>
              <w:widowControl w:val="0"/>
              <w:autoSpaceDE w:val="0"/>
              <w:autoSpaceDN w:val="0"/>
              <w:adjustRightInd w:val="0"/>
              <w:spacing w:after="100" w:line="20" w:lineRule="atLeast"/>
              <w:jc w:val="center"/>
              <w:rPr>
                <w:b/>
                <w:bCs/>
                <w:sz w:val="16"/>
                <w:szCs w:val="16"/>
              </w:rPr>
            </w:pPr>
            <w:r w:rsidRPr="00260720">
              <w:rPr>
                <w:b/>
                <w:bCs/>
                <w:sz w:val="12"/>
                <w:szCs w:val="12"/>
              </w:rPr>
              <w:t>assoluti</w:t>
            </w:r>
          </w:p>
        </w:tc>
        <w:tc>
          <w:tcPr>
            <w:tcW w:w="425" w:type="dxa"/>
            <w:tcBorders>
              <w:top w:val="single" w:sz="6" w:space="0" w:color="auto"/>
              <w:left w:val="single" w:sz="6" w:space="0" w:color="auto"/>
              <w:bottom w:val="single" w:sz="6" w:space="0" w:color="auto"/>
              <w:right w:val="single" w:sz="6" w:space="0" w:color="auto"/>
            </w:tcBorders>
          </w:tcPr>
          <w:p w14:paraId="1166A3B6" w14:textId="58F78976" w:rsidR="00B653C2" w:rsidRDefault="00B653C2" w:rsidP="00B653C2">
            <w:pPr>
              <w:widowControl w:val="0"/>
              <w:autoSpaceDE w:val="0"/>
              <w:autoSpaceDN w:val="0"/>
              <w:adjustRightInd w:val="0"/>
              <w:spacing w:after="100" w:line="20" w:lineRule="atLeast"/>
              <w:jc w:val="center"/>
              <w:rPr>
                <w:b/>
                <w:bCs/>
                <w:sz w:val="16"/>
                <w:szCs w:val="16"/>
              </w:rPr>
            </w:pPr>
            <w:r>
              <w:rPr>
                <w:b/>
                <w:bCs/>
                <w:sz w:val="16"/>
                <w:szCs w:val="16"/>
              </w:rPr>
              <w:t>%</w:t>
            </w:r>
          </w:p>
        </w:tc>
        <w:tc>
          <w:tcPr>
            <w:tcW w:w="426" w:type="dxa"/>
            <w:tcBorders>
              <w:top w:val="single" w:sz="6" w:space="0" w:color="auto"/>
              <w:left w:val="single" w:sz="6" w:space="0" w:color="auto"/>
              <w:bottom w:val="single" w:sz="6" w:space="0" w:color="auto"/>
              <w:right w:val="single" w:sz="6" w:space="0" w:color="auto"/>
            </w:tcBorders>
          </w:tcPr>
          <w:p w14:paraId="29A33AEF" w14:textId="2B615D38" w:rsidR="00B653C2" w:rsidRPr="00CC47A7" w:rsidRDefault="00B653C2" w:rsidP="00B653C2">
            <w:pPr>
              <w:widowControl w:val="0"/>
              <w:autoSpaceDE w:val="0"/>
              <w:autoSpaceDN w:val="0"/>
              <w:adjustRightInd w:val="0"/>
              <w:spacing w:after="100" w:line="20" w:lineRule="atLeast"/>
              <w:jc w:val="center"/>
              <w:rPr>
                <w:b/>
                <w:bCs/>
                <w:sz w:val="14"/>
                <w:szCs w:val="14"/>
              </w:rPr>
            </w:pPr>
            <w:r>
              <w:rPr>
                <w:b/>
                <w:bCs/>
                <w:sz w:val="16"/>
                <w:szCs w:val="16"/>
              </w:rPr>
              <w:t xml:space="preserve">su </w:t>
            </w:r>
            <w:r w:rsidRPr="00CC47A7">
              <w:rPr>
                <w:b/>
                <w:bCs/>
                <w:sz w:val="14"/>
                <w:szCs w:val="14"/>
              </w:rPr>
              <w:t>base</w:t>
            </w:r>
            <w:r>
              <w:rPr>
                <w:b/>
                <w:bCs/>
                <w:sz w:val="14"/>
                <w:szCs w:val="14"/>
              </w:rPr>
              <w:t xml:space="preserve">   </w:t>
            </w:r>
            <w:r w:rsidRPr="00CC47A7">
              <w:rPr>
                <w:b/>
                <w:bCs/>
                <w:sz w:val="14"/>
                <w:szCs w:val="14"/>
              </w:rPr>
              <w:t>=</w:t>
            </w:r>
          </w:p>
          <w:p w14:paraId="7618B70A" w14:textId="77777777" w:rsidR="00B653C2" w:rsidRDefault="00B653C2" w:rsidP="00B653C2">
            <w:pPr>
              <w:widowControl w:val="0"/>
              <w:autoSpaceDE w:val="0"/>
              <w:autoSpaceDN w:val="0"/>
              <w:adjustRightInd w:val="0"/>
              <w:spacing w:after="100" w:line="20" w:lineRule="atLeast"/>
              <w:jc w:val="center"/>
              <w:rPr>
                <w:b/>
                <w:bCs/>
                <w:sz w:val="16"/>
                <w:szCs w:val="16"/>
              </w:rPr>
            </w:pPr>
            <w:r w:rsidRPr="00CC47A7">
              <w:rPr>
                <w:b/>
                <w:bCs/>
                <w:sz w:val="14"/>
                <w:szCs w:val="14"/>
              </w:rPr>
              <w:t>100</w:t>
            </w:r>
          </w:p>
        </w:tc>
        <w:tc>
          <w:tcPr>
            <w:tcW w:w="567" w:type="dxa"/>
            <w:tcBorders>
              <w:top w:val="single" w:sz="6" w:space="0" w:color="auto"/>
              <w:left w:val="single" w:sz="6" w:space="0" w:color="auto"/>
              <w:bottom w:val="single" w:sz="6" w:space="0" w:color="auto"/>
              <w:right w:val="single" w:sz="6" w:space="0" w:color="auto"/>
            </w:tcBorders>
          </w:tcPr>
          <w:p w14:paraId="2D330121" w14:textId="6993D05A" w:rsidR="00B653C2" w:rsidRPr="00260720" w:rsidRDefault="00B653C2" w:rsidP="00B653C2">
            <w:pPr>
              <w:widowControl w:val="0"/>
              <w:autoSpaceDE w:val="0"/>
              <w:autoSpaceDN w:val="0"/>
              <w:adjustRightInd w:val="0"/>
              <w:spacing w:after="100" w:line="20" w:lineRule="atLeast"/>
              <w:jc w:val="center"/>
              <w:rPr>
                <w:b/>
                <w:bCs/>
                <w:sz w:val="12"/>
                <w:szCs w:val="12"/>
              </w:rPr>
            </w:pPr>
            <w:r w:rsidRPr="00260720">
              <w:rPr>
                <w:b/>
                <w:bCs/>
                <w:sz w:val="12"/>
                <w:szCs w:val="12"/>
              </w:rPr>
              <w:t>2001</w:t>
            </w:r>
          </w:p>
          <w:p w14:paraId="18BF2AA1" w14:textId="77777777" w:rsidR="00B653C2" w:rsidRPr="00260720" w:rsidRDefault="00B653C2" w:rsidP="00B653C2">
            <w:pPr>
              <w:widowControl w:val="0"/>
              <w:autoSpaceDE w:val="0"/>
              <w:autoSpaceDN w:val="0"/>
              <w:adjustRightInd w:val="0"/>
              <w:spacing w:line="20" w:lineRule="atLeast"/>
              <w:jc w:val="center"/>
              <w:rPr>
                <w:b/>
                <w:bCs/>
                <w:sz w:val="12"/>
                <w:szCs w:val="12"/>
              </w:rPr>
            </w:pPr>
            <w:r w:rsidRPr="00260720">
              <w:rPr>
                <w:b/>
                <w:bCs/>
                <w:sz w:val="12"/>
                <w:szCs w:val="12"/>
              </w:rPr>
              <w:t>numeri</w:t>
            </w:r>
          </w:p>
          <w:p w14:paraId="78D31B95" w14:textId="77777777" w:rsidR="00B653C2" w:rsidRDefault="00B653C2" w:rsidP="00B653C2">
            <w:pPr>
              <w:widowControl w:val="0"/>
              <w:autoSpaceDE w:val="0"/>
              <w:autoSpaceDN w:val="0"/>
              <w:adjustRightInd w:val="0"/>
              <w:spacing w:after="100" w:line="20" w:lineRule="atLeast"/>
              <w:jc w:val="center"/>
              <w:rPr>
                <w:b/>
                <w:bCs/>
                <w:sz w:val="16"/>
                <w:szCs w:val="16"/>
              </w:rPr>
            </w:pPr>
            <w:r w:rsidRPr="00260720">
              <w:rPr>
                <w:b/>
                <w:bCs/>
                <w:sz w:val="12"/>
                <w:szCs w:val="12"/>
              </w:rPr>
              <w:t>assoluti</w:t>
            </w:r>
          </w:p>
        </w:tc>
        <w:tc>
          <w:tcPr>
            <w:tcW w:w="425" w:type="dxa"/>
            <w:tcBorders>
              <w:top w:val="single" w:sz="6" w:space="0" w:color="auto"/>
              <w:left w:val="single" w:sz="6" w:space="0" w:color="auto"/>
              <w:bottom w:val="single" w:sz="6" w:space="0" w:color="auto"/>
              <w:right w:val="single" w:sz="6" w:space="0" w:color="auto"/>
            </w:tcBorders>
          </w:tcPr>
          <w:p w14:paraId="55D60CB4" w14:textId="66AD021B" w:rsidR="00B653C2" w:rsidRDefault="00B653C2" w:rsidP="00B653C2">
            <w:pPr>
              <w:widowControl w:val="0"/>
              <w:autoSpaceDE w:val="0"/>
              <w:autoSpaceDN w:val="0"/>
              <w:adjustRightInd w:val="0"/>
              <w:spacing w:after="100" w:line="20" w:lineRule="atLeast"/>
              <w:jc w:val="center"/>
              <w:rPr>
                <w:b/>
                <w:bCs/>
                <w:sz w:val="16"/>
                <w:szCs w:val="16"/>
              </w:rPr>
            </w:pPr>
            <w:r>
              <w:rPr>
                <w:b/>
                <w:bCs/>
                <w:sz w:val="16"/>
                <w:szCs w:val="16"/>
              </w:rPr>
              <w:t>%</w:t>
            </w:r>
          </w:p>
        </w:tc>
        <w:tc>
          <w:tcPr>
            <w:tcW w:w="425" w:type="dxa"/>
            <w:tcBorders>
              <w:top w:val="single" w:sz="6" w:space="0" w:color="auto"/>
              <w:left w:val="single" w:sz="6" w:space="0" w:color="auto"/>
              <w:bottom w:val="single" w:sz="6" w:space="0" w:color="auto"/>
              <w:right w:val="single" w:sz="6" w:space="0" w:color="auto"/>
            </w:tcBorders>
          </w:tcPr>
          <w:p w14:paraId="0FB22CAF" w14:textId="1636B7DA" w:rsidR="00B653C2" w:rsidRPr="00CC47A7" w:rsidRDefault="00B653C2" w:rsidP="00B653C2">
            <w:pPr>
              <w:widowControl w:val="0"/>
              <w:autoSpaceDE w:val="0"/>
              <w:autoSpaceDN w:val="0"/>
              <w:adjustRightInd w:val="0"/>
              <w:spacing w:after="100" w:line="20" w:lineRule="atLeast"/>
              <w:jc w:val="center"/>
              <w:rPr>
                <w:b/>
                <w:bCs/>
                <w:sz w:val="14"/>
                <w:szCs w:val="14"/>
              </w:rPr>
            </w:pPr>
            <w:r>
              <w:rPr>
                <w:b/>
                <w:bCs/>
                <w:sz w:val="16"/>
                <w:szCs w:val="16"/>
              </w:rPr>
              <w:t>su b</w:t>
            </w:r>
            <w:r w:rsidRPr="00CC47A7">
              <w:rPr>
                <w:b/>
                <w:bCs/>
                <w:sz w:val="14"/>
                <w:szCs w:val="14"/>
              </w:rPr>
              <w:t>ase</w:t>
            </w:r>
            <w:r>
              <w:rPr>
                <w:b/>
                <w:bCs/>
                <w:sz w:val="14"/>
                <w:szCs w:val="14"/>
              </w:rPr>
              <w:t xml:space="preserve">   </w:t>
            </w:r>
            <w:r w:rsidRPr="00CC47A7">
              <w:rPr>
                <w:b/>
                <w:bCs/>
                <w:sz w:val="14"/>
                <w:szCs w:val="14"/>
              </w:rPr>
              <w:t>=</w:t>
            </w:r>
          </w:p>
          <w:p w14:paraId="41690081" w14:textId="77777777" w:rsidR="00B653C2" w:rsidRDefault="00B653C2" w:rsidP="00B653C2">
            <w:pPr>
              <w:widowControl w:val="0"/>
              <w:autoSpaceDE w:val="0"/>
              <w:autoSpaceDN w:val="0"/>
              <w:adjustRightInd w:val="0"/>
              <w:spacing w:after="100" w:line="20" w:lineRule="atLeast"/>
              <w:jc w:val="center"/>
              <w:rPr>
                <w:b/>
                <w:bCs/>
                <w:sz w:val="16"/>
                <w:szCs w:val="16"/>
              </w:rPr>
            </w:pPr>
            <w:r w:rsidRPr="00CC47A7">
              <w:rPr>
                <w:b/>
                <w:bCs/>
                <w:sz w:val="14"/>
                <w:szCs w:val="14"/>
              </w:rPr>
              <w:t>100</w:t>
            </w:r>
          </w:p>
        </w:tc>
        <w:tc>
          <w:tcPr>
            <w:tcW w:w="567" w:type="dxa"/>
            <w:tcBorders>
              <w:top w:val="single" w:sz="6" w:space="0" w:color="auto"/>
              <w:left w:val="single" w:sz="6" w:space="0" w:color="auto"/>
              <w:bottom w:val="single" w:sz="6" w:space="0" w:color="auto"/>
              <w:right w:val="single" w:sz="6" w:space="0" w:color="auto"/>
            </w:tcBorders>
          </w:tcPr>
          <w:p w14:paraId="744520EA" w14:textId="4C37EB34" w:rsidR="00B653C2" w:rsidRPr="00260720" w:rsidRDefault="00B653C2" w:rsidP="00B653C2">
            <w:pPr>
              <w:widowControl w:val="0"/>
              <w:autoSpaceDE w:val="0"/>
              <w:autoSpaceDN w:val="0"/>
              <w:adjustRightInd w:val="0"/>
              <w:spacing w:after="100" w:line="20" w:lineRule="atLeast"/>
              <w:jc w:val="center"/>
              <w:rPr>
                <w:b/>
                <w:bCs/>
                <w:sz w:val="12"/>
                <w:szCs w:val="12"/>
              </w:rPr>
            </w:pPr>
            <w:r w:rsidRPr="00260720">
              <w:rPr>
                <w:b/>
                <w:bCs/>
                <w:sz w:val="12"/>
                <w:szCs w:val="12"/>
              </w:rPr>
              <w:t>20</w:t>
            </w:r>
            <w:r>
              <w:rPr>
                <w:b/>
                <w:bCs/>
                <w:sz w:val="12"/>
                <w:szCs w:val="12"/>
              </w:rPr>
              <w:t>1</w:t>
            </w:r>
            <w:r w:rsidRPr="00260720">
              <w:rPr>
                <w:b/>
                <w:bCs/>
                <w:sz w:val="12"/>
                <w:szCs w:val="12"/>
              </w:rPr>
              <w:t>1</w:t>
            </w:r>
          </w:p>
          <w:p w14:paraId="1B0C98DC" w14:textId="77777777" w:rsidR="00B653C2" w:rsidRPr="00260720" w:rsidRDefault="00B653C2" w:rsidP="00B653C2">
            <w:pPr>
              <w:widowControl w:val="0"/>
              <w:autoSpaceDE w:val="0"/>
              <w:autoSpaceDN w:val="0"/>
              <w:adjustRightInd w:val="0"/>
              <w:spacing w:line="20" w:lineRule="atLeast"/>
              <w:jc w:val="center"/>
              <w:rPr>
                <w:b/>
                <w:bCs/>
                <w:sz w:val="12"/>
                <w:szCs w:val="12"/>
              </w:rPr>
            </w:pPr>
            <w:r w:rsidRPr="00260720">
              <w:rPr>
                <w:b/>
                <w:bCs/>
                <w:sz w:val="12"/>
                <w:szCs w:val="12"/>
              </w:rPr>
              <w:t>numeri</w:t>
            </w:r>
          </w:p>
          <w:p w14:paraId="4D510078" w14:textId="77777777" w:rsidR="00B653C2" w:rsidRDefault="00B653C2" w:rsidP="00B653C2">
            <w:pPr>
              <w:widowControl w:val="0"/>
              <w:autoSpaceDE w:val="0"/>
              <w:autoSpaceDN w:val="0"/>
              <w:adjustRightInd w:val="0"/>
              <w:spacing w:after="100" w:line="20" w:lineRule="atLeast"/>
              <w:jc w:val="center"/>
              <w:rPr>
                <w:b/>
                <w:bCs/>
                <w:sz w:val="16"/>
                <w:szCs w:val="16"/>
              </w:rPr>
            </w:pPr>
            <w:r w:rsidRPr="00260720">
              <w:rPr>
                <w:b/>
                <w:bCs/>
                <w:sz w:val="12"/>
                <w:szCs w:val="12"/>
              </w:rPr>
              <w:t>assoluti</w:t>
            </w:r>
          </w:p>
        </w:tc>
        <w:tc>
          <w:tcPr>
            <w:tcW w:w="425" w:type="dxa"/>
            <w:tcBorders>
              <w:top w:val="single" w:sz="6" w:space="0" w:color="auto"/>
              <w:left w:val="single" w:sz="6" w:space="0" w:color="auto"/>
              <w:bottom w:val="single" w:sz="6" w:space="0" w:color="auto"/>
              <w:right w:val="single" w:sz="6" w:space="0" w:color="auto"/>
            </w:tcBorders>
          </w:tcPr>
          <w:p w14:paraId="378BDF8D" w14:textId="77777777" w:rsidR="00B653C2" w:rsidRPr="00260720" w:rsidRDefault="00B653C2" w:rsidP="00B653C2">
            <w:pPr>
              <w:widowControl w:val="0"/>
              <w:autoSpaceDE w:val="0"/>
              <w:autoSpaceDN w:val="0"/>
              <w:adjustRightInd w:val="0"/>
              <w:spacing w:after="100" w:line="20" w:lineRule="atLeast"/>
              <w:jc w:val="center"/>
              <w:rPr>
                <w:b/>
                <w:bCs/>
                <w:sz w:val="12"/>
                <w:szCs w:val="12"/>
              </w:rPr>
            </w:pPr>
            <w:r>
              <w:rPr>
                <w:b/>
                <w:bCs/>
                <w:sz w:val="12"/>
                <w:szCs w:val="12"/>
              </w:rPr>
              <w:t>%</w:t>
            </w:r>
          </w:p>
        </w:tc>
        <w:tc>
          <w:tcPr>
            <w:tcW w:w="426" w:type="dxa"/>
            <w:tcBorders>
              <w:top w:val="single" w:sz="6" w:space="0" w:color="auto"/>
              <w:left w:val="single" w:sz="6" w:space="0" w:color="auto"/>
              <w:bottom w:val="single" w:sz="6" w:space="0" w:color="auto"/>
              <w:right w:val="single" w:sz="6" w:space="0" w:color="auto"/>
            </w:tcBorders>
          </w:tcPr>
          <w:p w14:paraId="0C0BE38A" w14:textId="77777777" w:rsidR="00B653C2" w:rsidRDefault="00B653C2" w:rsidP="00B653C2">
            <w:pPr>
              <w:widowControl w:val="0"/>
              <w:autoSpaceDE w:val="0"/>
              <w:autoSpaceDN w:val="0"/>
              <w:adjustRightInd w:val="0"/>
              <w:spacing w:after="100" w:line="20" w:lineRule="atLeast"/>
              <w:jc w:val="center"/>
              <w:rPr>
                <w:b/>
                <w:bCs/>
                <w:sz w:val="14"/>
                <w:szCs w:val="14"/>
              </w:rPr>
            </w:pPr>
            <w:r>
              <w:rPr>
                <w:b/>
                <w:bCs/>
                <w:sz w:val="14"/>
                <w:szCs w:val="14"/>
              </w:rPr>
              <w:t>su</w:t>
            </w:r>
          </w:p>
          <w:p w14:paraId="3F24EB44" w14:textId="77777777" w:rsidR="00B653C2" w:rsidRPr="00CC47A7" w:rsidRDefault="00B653C2" w:rsidP="00B653C2">
            <w:pPr>
              <w:widowControl w:val="0"/>
              <w:autoSpaceDE w:val="0"/>
              <w:autoSpaceDN w:val="0"/>
              <w:adjustRightInd w:val="0"/>
              <w:spacing w:after="100" w:line="20" w:lineRule="atLeast"/>
              <w:jc w:val="center"/>
              <w:rPr>
                <w:b/>
                <w:bCs/>
                <w:sz w:val="14"/>
                <w:szCs w:val="14"/>
              </w:rPr>
            </w:pPr>
            <w:r w:rsidRPr="00CC47A7">
              <w:rPr>
                <w:b/>
                <w:bCs/>
                <w:sz w:val="14"/>
                <w:szCs w:val="14"/>
              </w:rPr>
              <w:t>base</w:t>
            </w:r>
            <w:r>
              <w:rPr>
                <w:b/>
                <w:bCs/>
                <w:sz w:val="14"/>
                <w:szCs w:val="14"/>
              </w:rPr>
              <w:t xml:space="preserve">   </w:t>
            </w:r>
            <w:r w:rsidRPr="00CC47A7">
              <w:rPr>
                <w:b/>
                <w:bCs/>
                <w:sz w:val="14"/>
                <w:szCs w:val="14"/>
              </w:rPr>
              <w:t>=</w:t>
            </w:r>
          </w:p>
          <w:p w14:paraId="06626A25" w14:textId="77777777" w:rsidR="00B653C2" w:rsidRPr="00260720" w:rsidRDefault="00B653C2" w:rsidP="00B653C2">
            <w:pPr>
              <w:widowControl w:val="0"/>
              <w:autoSpaceDE w:val="0"/>
              <w:autoSpaceDN w:val="0"/>
              <w:adjustRightInd w:val="0"/>
              <w:spacing w:after="100" w:line="20" w:lineRule="atLeast"/>
              <w:jc w:val="center"/>
              <w:rPr>
                <w:b/>
                <w:bCs/>
                <w:sz w:val="12"/>
                <w:szCs w:val="12"/>
              </w:rPr>
            </w:pPr>
            <w:r w:rsidRPr="00CC47A7">
              <w:rPr>
                <w:b/>
                <w:bCs/>
                <w:sz w:val="14"/>
                <w:szCs w:val="14"/>
              </w:rPr>
              <w:t>100</w:t>
            </w:r>
          </w:p>
        </w:tc>
        <w:tc>
          <w:tcPr>
            <w:tcW w:w="567" w:type="dxa"/>
            <w:tcBorders>
              <w:top w:val="single" w:sz="6" w:space="0" w:color="auto"/>
              <w:left w:val="single" w:sz="6" w:space="0" w:color="auto"/>
              <w:bottom w:val="single" w:sz="6" w:space="0" w:color="auto"/>
              <w:right w:val="single" w:sz="6" w:space="0" w:color="auto"/>
            </w:tcBorders>
          </w:tcPr>
          <w:p w14:paraId="088ECA23" w14:textId="18470EE6" w:rsidR="00B653C2" w:rsidRPr="00260720" w:rsidRDefault="00B653C2" w:rsidP="00B653C2">
            <w:pPr>
              <w:widowControl w:val="0"/>
              <w:autoSpaceDE w:val="0"/>
              <w:autoSpaceDN w:val="0"/>
              <w:adjustRightInd w:val="0"/>
              <w:spacing w:after="100" w:line="20" w:lineRule="atLeast"/>
              <w:jc w:val="center"/>
              <w:rPr>
                <w:b/>
                <w:bCs/>
                <w:sz w:val="12"/>
                <w:szCs w:val="12"/>
              </w:rPr>
            </w:pPr>
            <w:r w:rsidRPr="00260720">
              <w:rPr>
                <w:b/>
                <w:bCs/>
                <w:sz w:val="12"/>
                <w:szCs w:val="12"/>
              </w:rPr>
              <w:t>20</w:t>
            </w:r>
            <w:r>
              <w:rPr>
                <w:b/>
                <w:bCs/>
                <w:sz w:val="12"/>
                <w:szCs w:val="12"/>
              </w:rPr>
              <w:t>1</w:t>
            </w:r>
            <w:r w:rsidRPr="00260720">
              <w:rPr>
                <w:b/>
                <w:bCs/>
                <w:sz w:val="12"/>
                <w:szCs w:val="12"/>
              </w:rPr>
              <w:t>1</w:t>
            </w:r>
          </w:p>
          <w:p w14:paraId="68ED5922" w14:textId="77777777" w:rsidR="00B653C2" w:rsidRPr="00260720" w:rsidRDefault="00B653C2" w:rsidP="00B653C2">
            <w:pPr>
              <w:widowControl w:val="0"/>
              <w:autoSpaceDE w:val="0"/>
              <w:autoSpaceDN w:val="0"/>
              <w:adjustRightInd w:val="0"/>
              <w:spacing w:line="20" w:lineRule="atLeast"/>
              <w:jc w:val="center"/>
              <w:rPr>
                <w:b/>
                <w:bCs/>
                <w:sz w:val="12"/>
                <w:szCs w:val="12"/>
              </w:rPr>
            </w:pPr>
            <w:r w:rsidRPr="00260720">
              <w:rPr>
                <w:b/>
                <w:bCs/>
                <w:sz w:val="12"/>
                <w:szCs w:val="12"/>
              </w:rPr>
              <w:t>numeri</w:t>
            </w:r>
          </w:p>
          <w:p w14:paraId="748164EF" w14:textId="77777777" w:rsidR="00B653C2" w:rsidRPr="00CC47A7" w:rsidRDefault="00B653C2" w:rsidP="00B653C2">
            <w:pPr>
              <w:widowControl w:val="0"/>
              <w:autoSpaceDE w:val="0"/>
              <w:autoSpaceDN w:val="0"/>
              <w:adjustRightInd w:val="0"/>
              <w:spacing w:after="100" w:line="20" w:lineRule="atLeast"/>
              <w:jc w:val="center"/>
              <w:rPr>
                <w:b/>
                <w:bCs/>
                <w:sz w:val="14"/>
                <w:szCs w:val="14"/>
              </w:rPr>
            </w:pPr>
            <w:r w:rsidRPr="00260720">
              <w:rPr>
                <w:b/>
                <w:bCs/>
                <w:sz w:val="12"/>
                <w:szCs w:val="12"/>
              </w:rPr>
              <w:t>assoluti</w:t>
            </w:r>
          </w:p>
        </w:tc>
        <w:tc>
          <w:tcPr>
            <w:tcW w:w="425" w:type="dxa"/>
            <w:tcBorders>
              <w:top w:val="single" w:sz="6" w:space="0" w:color="auto"/>
              <w:left w:val="single" w:sz="6" w:space="0" w:color="auto"/>
              <w:bottom w:val="single" w:sz="6" w:space="0" w:color="auto"/>
              <w:right w:val="single" w:sz="6" w:space="0" w:color="auto"/>
            </w:tcBorders>
          </w:tcPr>
          <w:p w14:paraId="230A2122" w14:textId="77777777" w:rsidR="00B653C2" w:rsidRPr="00CC47A7" w:rsidRDefault="00B653C2" w:rsidP="00B653C2">
            <w:pPr>
              <w:widowControl w:val="0"/>
              <w:autoSpaceDE w:val="0"/>
              <w:autoSpaceDN w:val="0"/>
              <w:adjustRightInd w:val="0"/>
              <w:spacing w:after="100" w:line="20" w:lineRule="atLeast"/>
              <w:jc w:val="center"/>
              <w:rPr>
                <w:b/>
                <w:bCs/>
                <w:sz w:val="14"/>
                <w:szCs w:val="14"/>
              </w:rPr>
            </w:pPr>
            <w:r>
              <w:rPr>
                <w:b/>
                <w:bCs/>
                <w:sz w:val="14"/>
                <w:szCs w:val="14"/>
              </w:rPr>
              <w:t>%</w:t>
            </w:r>
          </w:p>
        </w:tc>
        <w:tc>
          <w:tcPr>
            <w:tcW w:w="425" w:type="dxa"/>
            <w:tcBorders>
              <w:top w:val="single" w:sz="6" w:space="0" w:color="auto"/>
              <w:left w:val="single" w:sz="6" w:space="0" w:color="auto"/>
              <w:bottom w:val="single" w:sz="6" w:space="0" w:color="auto"/>
              <w:right w:val="single" w:sz="6" w:space="0" w:color="auto"/>
            </w:tcBorders>
          </w:tcPr>
          <w:p w14:paraId="56A5D603" w14:textId="77777777" w:rsidR="00B653C2" w:rsidRDefault="00B653C2" w:rsidP="00B653C2">
            <w:pPr>
              <w:widowControl w:val="0"/>
              <w:autoSpaceDE w:val="0"/>
              <w:autoSpaceDN w:val="0"/>
              <w:adjustRightInd w:val="0"/>
              <w:spacing w:after="100" w:line="20" w:lineRule="atLeast"/>
              <w:jc w:val="center"/>
              <w:rPr>
                <w:b/>
                <w:bCs/>
                <w:sz w:val="14"/>
                <w:szCs w:val="14"/>
              </w:rPr>
            </w:pPr>
            <w:r>
              <w:rPr>
                <w:b/>
                <w:bCs/>
                <w:sz w:val="14"/>
                <w:szCs w:val="14"/>
              </w:rPr>
              <w:t>S</w:t>
            </w:r>
            <w:r w:rsidRPr="00CC47A7">
              <w:rPr>
                <w:b/>
                <w:bCs/>
                <w:sz w:val="14"/>
                <w:szCs w:val="14"/>
              </w:rPr>
              <w:t>a</w:t>
            </w:r>
          </w:p>
          <w:p w14:paraId="331027ED" w14:textId="77777777" w:rsidR="00B653C2" w:rsidRPr="00CC47A7" w:rsidRDefault="00B653C2" w:rsidP="00B653C2">
            <w:pPr>
              <w:widowControl w:val="0"/>
              <w:autoSpaceDE w:val="0"/>
              <w:autoSpaceDN w:val="0"/>
              <w:adjustRightInd w:val="0"/>
              <w:spacing w:after="100" w:line="20" w:lineRule="atLeast"/>
              <w:jc w:val="center"/>
              <w:rPr>
                <w:b/>
                <w:bCs/>
                <w:sz w:val="14"/>
                <w:szCs w:val="14"/>
              </w:rPr>
            </w:pPr>
            <w:r>
              <w:rPr>
                <w:b/>
                <w:bCs/>
                <w:sz w:val="14"/>
                <w:szCs w:val="14"/>
              </w:rPr>
              <w:t>ba</w:t>
            </w:r>
            <w:r w:rsidRPr="00CC47A7">
              <w:rPr>
                <w:b/>
                <w:bCs/>
                <w:sz w:val="14"/>
                <w:szCs w:val="14"/>
              </w:rPr>
              <w:t>se</w:t>
            </w:r>
            <w:r>
              <w:rPr>
                <w:b/>
                <w:bCs/>
                <w:sz w:val="14"/>
                <w:szCs w:val="14"/>
              </w:rPr>
              <w:t xml:space="preserve">   </w:t>
            </w:r>
            <w:r w:rsidRPr="00CC47A7">
              <w:rPr>
                <w:b/>
                <w:bCs/>
                <w:sz w:val="14"/>
                <w:szCs w:val="14"/>
              </w:rPr>
              <w:t>=</w:t>
            </w:r>
          </w:p>
          <w:p w14:paraId="0DD88C16" w14:textId="77777777" w:rsidR="00B653C2" w:rsidRPr="00CC47A7" w:rsidRDefault="00B653C2" w:rsidP="00B653C2">
            <w:pPr>
              <w:widowControl w:val="0"/>
              <w:autoSpaceDE w:val="0"/>
              <w:autoSpaceDN w:val="0"/>
              <w:adjustRightInd w:val="0"/>
              <w:spacing w:after="100" w:line="20" w:lineRule="atLeast"/>
              <w:jc w:val="center"/>
              <w:rPr>
                <w:b/>
                <w:bCs/>
                <w:sz w:val="14"/>
                <w:szCs w:val="14"/>
              </w:rPr>
            </w:pPr>
            <w:r w:rsidRPr="00CC47A7">
              <w:rPr>
                <w:b/>
                <w:bCs/>
                <w:sz w:val="14"/>
                <w:szCs w:val="14"/>
              </w:rPr>
              <w:t>100</w:t>
            </w:r>
          </w:p>
        </w:tc>
      </w:tr>
      <w:tr w:rsidR="00B653C2" w14:paraId="03A2279F" w14:textId="77777777" w:rsidTr="00536B14">
        <w:tc>
          <w:tcPr>
            <w:tcW w:w="642" w:type="dxa"/>
            <w:tcBorders>
              <w:top w:val="single" w:sz="6" w:space="0" w:color="auto"/>
              <w:left w:val="single" w:sz="6" w:space="0" w:color="auto"/>
              <w:bottom w:val="single" w:sz="6" w:space="0" w:color="auto"/>
              <w:right w:val="single" w:sz="6" w:space="0" w:color="auto"/>
            </w:tcBorders>
          </w:tcPr>
          <w:p w14:paraId="048EA0B9" w14:textId="77777777" w:rsidR="00B653C2" w:rsidRDefault="00B653C2" w:rsidP="00B653C2">
            <w:pPr>
              <w:keepNext/>
              <w:widowControl w:val="0"/>
              <w:autoSpaceDE w:val="0"/>
              <w:autoSpaceDN w:val="0"/>
              <w:adjustRightInd w:val="0"/>
              <w:spacing w:line="20" w:lineRule="atLeast"/>
              <w:jc w:val="center"/>
              <w:rPr>
                <w:b/>
                <w:bCs/>
                <w:sz w:val="16"/>
                <w:szCs w:val="16"/>
              </w:rPr>
            </w:pPr>
            <w:r>
              <w:rPr>
                <w:b/>
                <w:bCs/>
                <w:sz w:val="16"/>
                <w:szCs w:val="16"/>
              </w:rPr>
              <w:t>1</w:t>
            </w:r>
          </w:p>
        </w:tc>
        <w:tc>
          <w:tcPr>
            <w:tcW w:w="567" w:type="dxa"/>
            <w:tcBorders>
              <w:top w:val="single" w:sz="6" w:space="0" w:color="auto"/>
              <w:left w:val="single" w:sz="6" w:space="0" w:color="auto"/>
              <w:bottom w:val="single" w:sz="6" w:space="0" w:color="auto"/>
              <w:right w:val="single" w:sz="6" w:space="0" w:color="auto"/>
            </w:tcBorders>
          </w:tcPr>
          <w:p w14:paraId="6EB890CD"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2.061</w:t>
            </w:r>
          </w:p>
        </w:tc>
        <w:tc>
          <w:tcPr>
            <w:tcW w:w="426" w:type="dxa"/>
            <w:tcBorders>
              <w:top w:val="single" w:sz="6" w:space="0" w:color="auto"/>
              <w:left w:val="single" w:sz="6" w:space="0" w:color="auto"/>
              <w:bottom w:val="single" w:sz="6" w:space="0" w:color="auto"/>
              <w:right w:val="single" w:sz="6" w:space="0" w:color="auto"/>
            </w:tcBorders>
          </w:tcPr>
          <w:p w14:paraId="39980022"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12,9</w:t>
            </w:r>
          </w:p>
        </w:tc>
        <w:tc>
          <w:tcPr>
            <w:tcW w:w="425" w:type="dxa"/>
            <w:tcBorders>
              <w:top w:val="single" w:sz="6" w:space="0" w:color="auto"/>
              <w:left w:val="single" w:sz="6" w:space="0" w:color="auto"/>
              <w:bottom w:val="single" w:sz="6" w:space="0" w:color="auto"/>
              <w:right w:val="single" w:sz="6" w:space="0" w:color="auto"/>
            </w:tcBorders>
          </w:tcPr>
          <w:p w14:paraId="1749F557"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100</w:t>
            </w:r>
          </w:p>
        </w:tc>
        <w:tc>
          <w:tcPr>
            <w:tcW w:w="567" w:type="dxa"/>
            <w:tcBorders>
              <w:top w:val="single" w:sz="6" w:space="0" w:color="auto"/>
              <w:left w:val="single" w:sz="6" w:space="0" w:color="auto"/>
              <w:bottom w:val="single" w:sz="6" w:space="0" w:color="auto"/>
              <w:right w:val="single" w:sz="6" w:space="0" w:color="auto"/>
            </w:tcBorders>
          </w:tcPr>
          <w:p w14:paraId="0B55CE0B"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3.335</w:t>
            </w:r>
          </w:p>
        </w:tc>
        <w:tc>
          <w:tcPr>
            <w:tcW w:w="567" w:type="dxa"/>
            <w:tcBorders>
              <w:top w:val="single" w:sz="6" w:space="0" w:color="auto"/>
              <w:left w:val="single" w:sz="6" w:space="0" w:color="auto"/>
              <w:bottom w:val="single" w:sz="6" w:space="0" w:color="auto"/>
              <w:right w:val="single" w:sz="6" w:space="0" w:color="auto"/>
            </w:tcBorders>
          </w:tcPr>
          <w:p w14:paraId="75CE41C0"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17,9</w:t>
            </w:r>
          </w:p>
        </w:tc>
        <w:tc>
          <w:tcPr>
            <w:tcW w:w="425" w:type="dxa"/>
            <w:tcBorders>
              <w:top w:val="single" w:sz="6" w:space="0" w:color="auto"/>
              <w:left w:val="single" w:sz="6" w:space="0" w:color="auto"/>
              <w:bottom w:val="single" w:sz="6" w:space="0" w:color="auto"/>
              <w:right w:val="single" w:sz="6" w:space="0" w:color="auto"/>
            </w:tcBorders>
          </w:tcPr>
          <w:p w14:paraId="04BD6714"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162</w:t>
            </w:r>
          </w:p>
        </w:tc>
        <w:tc>
          <w:tcPr>
            <w:tcW w:w="567" w:type="dxa"/>
            <w:tcBorders>
              <w:top w:val="single" w:sz="6" w:space="0" w:color="auto"/>
              <w:left w:val="single" w:sz="6" w:space="0" w:color="auto"/>
              <w:bottom w:val="single" w:sz="6" w:space="0" w:color="auto"/>
              <w:right w:val="single" w:sz="6" w:space="0" w:color="auto"/>
            </w:tcBorders>
          </w:tcPr>
          <w:p w14:paraId="71281559"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4.101</w:t>
            </w:r>
          </w:p>
        </w:tc>
        <w:tc>
          <w:tcPr>
            <w:tcW w:w="425" w:type="dxa"/>
            <w:tcBorders>
              <w:top w:val="single" w:sz="6" w:space="0" w:color="auto"/>
              <w:left w:val="single" w:sz="6" w:space="0" w:color="auto"/>
              <w:bottom w:val="single" w:sz="6" w:space="0" w:color="auto"/>
              <w:right w:val="single" w:sz="6" w:space="0" w:color="auto"/>
            </w:tcBorders>
          </w:tcPr>
          <w:p w14:paraId="29C7E22E"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20,6</w:t>
            </w:r>
          </w:p>
        </w:tc>
        <w:tc>
          <w:tcPr>
            <w:tcW w:w="426" w:type="dxa"/>
            <w:tcBorders>
              <w:top w:val="single" w:sz="6" w:space="0" w:color="auto"/>
              <w:left w:val="single" w:sz="6" w:space="0" w:color="auto"/>
              <w:bottom w:val="single" w:sz="6" w:space="0" w:color="auto"/>
              <w:right w:val="single" w:sz="6" w:space="0" w:color="auto"/>
            </w:tcBorders>
          </w:tcPr>
          <w:p w14:paraId="743CD972"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199</w:t>
            </w:r>
          </w:p>
        </w:tc>
        <w:tc>
          <w:tcPr>
            <w:tcW w:w="567" w:type="dxa"/>
            <w:tcBorders>
              <w:top w:val="single" w:sz="6" w:space="0" w:color="auto"/>
              <w:left w:val="single" w:sz="6" w:space="0" w:color="auto"/>
              <w:bottom w:val="single" w:sz="6" w:space="0" w:color="auto"/>
              <w:right w:val="single" w:sz="6" w:space="0" w:color="auto"/>
            </w:tcBorders>
          </w:tcPr>
          <w:p w14:paraId="5D6EE957"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5.421</w:t>
            </w:r>
          </w:p>
        </w:tc>
        <w:tc>
          <w:tcPr>
            <w:tcW w:w="425" w:type="dxa"/>
            <w:tcBorders>
              <w:top w:val="single" w:sz="6" w:space="0" w:color="auto"/>
              <w:left w:val="single" w:sz="6" w:space="0" w:color="auto"/>
              <w:bottom w:val="single" w:sz="6" w:space="0" w:color="auto"/>
              <w:right w:val="single" w:sz="6" w:space="0" w:color="auto"/>
            </w:tcBorders>
          </w:tcPr>
          <w:p w14:paraId="02FAA36C"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24.9</w:t>
            </w:r>
          </w:p>
        </w:tc>
        <w:tc>
          <w:tcPr>
            <w:tcW w:w="425" w:type="dxa"/>
            <w:tcBorders>
              <w:top w:val="single" w:sz="6" w:space="0" w:color="auto"/>
              <w:left w:val="single" w:sz="6" w:space="0" w:color="auto"/>
              <w:bottom w:val="single" w:sz="6" w:space="0" w:color="auto"/>
              <w:right w:val="single" w:sz="6" w:space="0" w:color="auto"/>
            </w:tcBorders>
          </w:tcPr>
          <w:p w14:paraId="645C2087"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263</w:t>
            </w:r>
          </w:p>
        </w:tc>
        <w:tc>
          <w:tcPr>
            <w:tcW w:w="567" w:type="dxa"/>
            <w:tcBorders>
              <w:top w:val="single" w:sz="6" w:space="0" w:color="auto"/>
              <w:left w:val="single" w:sz="6" w:space="0" w:color="auto"/>
              <w:bottom w:val="single" w:sz="6" w:space="0" w:color="auto"/>
              <w:right w:val="single" w:sz="6" w:space="0" w:color="auto"/>
            </w:tcBorders>
          </w:tcPr>
          <w:p w14:paraId="3D58C106"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7.196</w:t>
            </w:r>
          </w:p>
        </w:tc>
        <w:tc>
          <w:tcPr>
            <w:tcW w:w="425" w:type="dxa"/>
            <w:tcBorders>
              <w:top w:val="single" w:sz="6" w:space="0" w:color="auto"/>
              <w:left w:val="single" w:sz="6" w:space="0" w:color="auto"/>
              <w:bottom w:val="single" w:sz="6" w:space="0" w:color="auto"/>
              <w:right w:val="single" w:sz="6" w:space="0" w:color="auto"/>
            </w:tcBorders>
          </w:tcPr>
          <w:p w14:paraId="10F1D5D4"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29,4</w:t>
            </w:r>
          </w:p>
        </w:tc>
        <w:tc>
          <w:tcPr>
            <w:tcW w:w="426" w:type="dxa"/>
            <w:tcBorders>
              <w:top w:val="single" w:sz="6" w:space="0" w:color="auto"/>
              <w:left w:val="single" w:sz="6" w:space="0" w:color="auto"/>
              <w:bottom w:val="single" w:sz="6" w:space="0" w:color="auto"/>
              <w:right w:val="single" w:sz="6" w:space="0" w:color="auto"/>
            </w:tcBorders>
          </w:tcPr>
          <w:p w14:paraId="28A4E6E8"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349</w:t>
            </w:r>
          </w:p>
        </w:tc>
        <w:tc>
          <w:tcPr>
            <w:tcW w:w="567" w:type="dxa"/>
            <w:tcBorders>
              <w:top w:val="single" w:sz="6" w:space="0" w:color="auto"/>
              <w:left w:val="single" w:sz="6" w:space="0" w:color="auto"/>
              <w:bottom w:val="single" w:sz="6" w:space="0" w:color="auto"/>
              <w:right w:val="single" w:sz="6" w:space="0" w:color="auto"/>
            </w:tcBorders>
          </w:tcPr>
          <w:p w14:paraId="593B114B"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8.491</w:t>
            </w:r>
          </w:p>
        </w:tc>
        <w:tc>
          <w:tcPr>
            <w:tcW w:w="425" w:type="dxa"/>
            <w:tcBorders>
              <w:top w:val="single" w:sz="6" w:space="0" w:color="auto"/>
              <w:left w:val="single" w:sz="6" w:space="0" w:color="auto"/>
              <w:bottom w:val="single" w:sz="6" w:space="0" w:color="auto"/>
              <w:right w:val="single" w:sz="6" w:space="0" w:color="auto"/>
            </w:tcBorders>
          </w:tcPr>
          <w:p w14:paraId="4A13613B"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33,2</w:t>
            </w:r>
          </w:p>
        </w:tc>
        <w:tc>
          <w:tcPr>
            <w:tcW w:w="425" w:type="dxa"/>
            <w:tcBorders>
              <w:top w:val="single" w:sz="6" w:space="0" w:color="auto"/>
              <w:left w:val="single" w:sz="6" w:space="0" w:color="auto"/>
              <w:bottom w:val="single" w:sz="6" w:space="0" w:color="auto"/>
              <w:right w:val="single" w:sz="6" w:space="0" w:color="auto"/>
            </w:tcBorders>
          </w:tcPr>
          <w:p w14:paraId="6485FF5B"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412</w:t>
            </w:r>
          </w:p>
        </w:tc>
      </w:tr>
      <w:tr w:rsidR="00B653C2" w14:paraId="1E88EE28" w14:textId="77777777" w:rsidTr="00536B14">
        <w:tc>
          <w:tcPr>
            <w:tcW w:w="642" w:type="dxa"/>
            <w:tcBorders>
              <w:top w:val="single" w:sz="6" w:space="0" w:color="auto"/>
              <w:left w:val="single" w:sz="6" w:space="0" w:color="auto"/>
              <w:bottom w:val="single" w:sz="6" w:space="0" w:color="auto"/>
              <w:right w:val="single" w:sz="6" w:space="0" w:color="auto"/>
            </w:tcBorders>
          </w:tcPr>
          <w:p w14:paraId="7ED69EE7" w14:textId="77777777" w:rsidR="00B653C2" w:rsidRDefault="00B653C2" w:rsidP="00B653C2">
            <w:pPr>
              <w:widowControl w:val="0"/>
              <w:autoSpaceDE w:val="0"/>
              <w:autoSpaceDN w:val="0"/>
              <w:adjustRightInd w:val="0"/>
              <w:spacing w:line="20" w:lineRule="atLeast"/>
              <w:jc w:val="center"/>
              <w:rPr>
                <w:b/>
                <w:bCs/>
              </w:rPr>
            </w:pPr>
            <w:r>
              <w:rPr>
                <w:b/>
                <w:bCs/>
              </w:rPr>
              <w:t>2</w:t>
            </w:r>
          </w:p>
        </w:tc>
        <w:tc>
          <w:tcPr>
            <w:tcW w:w="567" w:type="dxa"/>
            <w:tcBorders>
              <w:top w:val="single" w:sz="6" w:space="0" w:color="auto"/>
              <w:left w:val="single" w:sz="6" w:space="0" w:color="auto"/>
              <w:bottom w:val="single" w:sz="6" w:space="0" w:color="auto"/>
              <w:right w:val="single" w:sz="6" w:space="0" w:color="auto"/>
            </w:tcBorders>
          </w:tcPr>
          <w:p w14:paraId="0A9B0134"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3.516</w:t>
            </w:r>
          </w:p>
        </w:tc>
        <w:tc>
          <w:tcPr>
            <w:tcW w:w="426" w:type="dxa"/>
            <w:tcBorders>
              <w:top w:val="single" w:sz="6" w:space="0" w:color="auto"/>
              <w:left w:val="single" w:sz="6" w:space="0" w:color="auto"/>
              <w:bottom w:val="single" w:sz="6" w:space="0" w:color="auto"/>
              <w:right w:val="single" w:sz="6" w:space="0" w:color="auto"/>
            </w:tcBorders>
          </w:tcPr>
          <w:p w14:paraId="7789CFF9"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22,0</w:t>
            </w:r>
          </w:p>
        </w:tc>
        <w:tc>
          <w:tcPr>
            <w:tcW w:w="425" w:type="dxa"/>
            <w:tcBorders>
              <w:top w:val="single" w:sz="6" w:space="0" w:color="auto"/>
              <w:left w:val="single" w:sz="6" w:space="0" w:color="auto"/>
              <w:bottom w:val="single" w:sz="6" w:space="0" w:color="auto"/>
              <w:right w:val="single" w:sz="6" w:space="0" w:color="auto"/>
            </w:tcBorders>
          </w:tcPr>
          <w:p w14:paraId="7CFC8A79" w14:textId="77777777" w:rsidR="00B653C2" w:rsidRPr="00260720" w:rsidRDefault="00B653C2" w:rsidP="00B653C2">
            <w:pPr>
              <w:widowControl w:val="0"/>
              <w:autoSpaceDE w:val="0"/>
              <w:autoSpaceDN w:val="0"/>
              <w:adjustRightInd w:val="0"/>
              <w:spacing w:line="20" w:lineRule="atLeast"/>
              <w:jc w:val="center"/>
              <w:rPr>
                <w:b/>
                <w:bCs/>
                <w:sz w:val="16"/>
                <w:szCs w:val="16"/>
              </w:rPr>
            </w:pPr>
            <w:r>
              <w:rPr>
                <w:b/>
                <w:bCs/>
                <w:sz w:val="16"/>
                <w:szCs w:val="16"/>
              </w:rPr>
              <w:t>“</w:t>
            </w:r>
          </w:p>
        </w:tc>
        <w:tc>
          <w:tcPr>
            <w:tcW w:w="567" w:type="dxa"/>
            <w:tcBorders>
              <w:top w:val="single" w:sz="6" w:space="0" w:color="auto"/>
              <w:left w:val="single" w:sz="6" w:space="0" w:color="auto"/>
              <w:bottom w:val="single" w:sz="6" w:space="0" w:color="auto"/>
              <w:right w:val="single" w:sz="6" w:space="0" w:color="auto"/>
            </w:tcBorders>
          </w:tcPr>
          <w:p w14:paraId="7F595072"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4.397</w:t>
            </w:r>
          </w:p>
        </w:tc>
        <w:tc>
          <w:tcPr>
            <w:tcW w:w="567" w:type="dxa"/>
            <w:tcBorders>
              <w:top w:val="single" w:sz="6" w:space="0" w:color="auto"/>
              <w:left w:val="single" w:sz="6" w:space="0" w:color="auto"/>
              <w:bottom w:val="single" w:sz="6" w:space="0" w:color="auto"/>
              <w:right w:val="single" w:sz="6" w:space="0" w:color="auto"/>
            </w:tcBorders>
          </w:tcPr>
          <w:p w14:paraId="2070156F"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23,6</w:t>
            </w:r>
          </w:p>
        </w:tc>
        <w:tc>
          <w:tcPr>
            <w:tcW w:w="425" w:type="dxa"/>
            <w:tcBorders>
              <w:top w:val="single" w:sz="6" w:space="0" w:color="auto"/>
              <w:left w:val="single" w:sz="6" w:space="0" w:color="auto"/>
              <w:bottom w:val="single" w:sz="6" w:space="0" w:color="auto"/>
              <w:right w:val="single" w:sz="6" w:space="0" w:color="auto"/>
            </w:tcBorders>
          </w:tcPr>
          <w:p w14:paraId="06F30C15"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125</w:t>
            </w:r>
          </w:p>
        </w:tc>
        <w:tc>
          <w:tcPr>
            <w:tcW w:w="567" w:type="dxa"/>
            <w:tcBorders>
              <w:top w:val="single" w:sz="6" w:space="0" w:color="auto"/>
              <w:left w:val="single" w:sz="6" w:space="0" w:color="auto"/>
              <w:bottom w:val="single" w:sz="6" w:space="0" w:color="auto"/>
              <w:right w:val="single" w:sz="6" w:space="0" w:color="auto"/>
            </w:tcBorders>
          </w:tcPr>
          <w:p w14:paraId="3523436B"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4.917</w:t>
            </w:r>
          </w:p>
        </w:tc>
        <w:tc>
          <w:tcPr>
            <w:tcW w:w="425" w:type="dxa"/>
            <w:tcBorders>
              <w:top w:val="single" w:sz="6" w:space="0" w:color="auto"/>
              <w:left w:val="single" w:sz="6" w:space="0" w:color="auto"/>
              <w:bottom w:val="single" w:sz="6" w:space="0" w:color="auto"/>
              <w:right w:val="single" w:sz="6" w:space="0" w:color="auto"/>
            </w:tcBorders>
          </w:tcPr>
          <w:p w14:paraId="24DE25C8"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24,7</w:t>
            </w:r>
          </w:p>
        </w:tc>
        <w:tc>
          <w:tcPr>
            <w:tcW w:w="426" w:type="dxa"/>
            <w:tcBorders>
              <w:top w:val="single" w:sz="6" w:space="0" w:color="auto"/>
              <w:left w:val="single" w:sz="6" w:space="0" w:color="auto"/>
              <w:bottom w:val="single" w:sz="6" w:space="0" w:color="auto"/>
              <w:right w:val="single" w:sz="6" w:space="0" w:color="auto"/>
            </w:tcBorders>
          </w:tcPr>
          <w:p w14:paraId="795C2F30"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140</w:t>
            </w:r>
          </w:p>
        </w:tc>
        <w:tc>
          <w:tcPr>
            <w:tcW w:w="567" w:type="dxa"/>
            <w:tcBorders>
              <w:top w:val="single" w:sz="6" w:space="0" w:color="auto"/>
              <w:left w:val="single" w:sz="6" w:space="0" w:color="auto"/>
              <w:bottom w:val="single" w:sz="6" w:space="0" w:color="auto"/>
              <w:right w:val="single" w:sz="6" w:space="0" w:color="auto"/>
            </w:tcBorders>
          </w:tcPr>
          <w:p w14:paraId="608B33DB"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5.910</w:t>
            </w:r>
          </w:p>
        </w:tc>
        <w:tc>
          <w:tcPr>
            <w:tcW w:w="425" w:type="dxa"/>
            <w:tcBorders>
              <w:top w:val="single" w:sz="6" w:space="0" w:color="auto"/>
              <w:left w:val="single" w:sz="6" w:space="0" w:color="auto"/>
              <w:bottom w:val="single" w:sz="6" w:space="0" w:color="auto"/>
              <w:right w:val="single" w:sz="6" w:space="0" w:color="auto"/>
            </w:tcBorders>
          </w:tcPr>
          <w:p w14:paraId="5751364B" w14:textId="77777777"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27,1</w:t>
            </w:r>
          </w:p>
        </w:tc>
        <w:tc>
          <w:tcPr>
            <w:tcW w:w="425" w:type="dxa"/>
            <w:tcBorders>
              <w:top w:val="single" w:sz="6" w:space="0" w:color="auto"/>
              <w:left w:val="single" w:sz="6" w:space="0" w:color="auto"/>
              <w:bottom w:val="single" w:sz="6" w:space="0" w:color="auto"/>
              <w:right w:val="single" w:sz="6" w:space="0" w:color="auto"/>
            </w:tcBorders>
          </w:tcPr>
          <w:p w14:paraId="619CBE00"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168</w:t>
            </w:r>
          </w:p>
        </w:tc>
        <w:tc>
          <w:tcPr>
            <w:tcW w:w="567" w:type="dxa"/>
            <w:tcBorders>
              <w:top w:val="single" w:sz="6" w:space="0" w:color="auto"/>
              <w:left w:val="single" w:sz="6" w:space="0" w:color="auto"/>
              <w:bottom w:val="single" w:sz="6" w:space="0" w:color="auto"/>
              <w:right w:val="single" w:sz="6" w:space="0" w:color="auto"/>
            </w:tcBorders>
          </w:tcPr>
          <w:p w14:paraId="5531EF46"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6.732</w:t>
            </w:r>
          </w:p>
        </w:tc>
        <w:tc>
          <w:tcPr>
            <w:tcW w:w="425" w:type="dxa"/>
            <w:tcBorders>
              <w:top w:val="single" w:sz="6" w:space="0" w:color="auto"/>
              <w:left w:val="single" w:sz="6" w:space="0" w:color="auto"/>
              <w:bottom w:val="single" w:sz="6" w:space="0" w:color="auto"/>
              <w:right w:val="single" w:sz="6" w:space="0" w:color="auto"/>
            </w:tcBorders>
          </w:tcPr>
          <w:p w14:paraId="77B53222"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27,5</w:t>
            </w:r>
          </w:p>
        </w:tc>
        <w:tc>
          <w:tcPr>
            <w:tcW w:w="426" w:type="dxa"/>
            <w:tcBorders>
              <w:top w:val="single" w:sz="6" w:space="0" w:color="auto"/>
              <w:left w:val="single" w:sz="6" w:space="0" w:color="auto"/>
              <w:bottom w:val="single" w:sz="6" w:space="0" w:color="auto"/>
              <w:right w:val="single" w:sz="6" w:space="0" w:color="auto"/>
            </w:tcBorders>
          </w:tcPr>
          <w:p w14:paraId="7D513D28"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191</w:t>
            </w:r>
          </w:p>
        </w:tc>
        <w:tc>
          <w:tcPr>
            <w:tcW w:w="567" w:type="dxa"/>
            <w:tcBorders>
              <w:top w:val="single" w:sz="6" w:space="0" w:color="auto"/>
              <w:left w:val="single" w:sz="6" w:space="0" w:color="auto"/>
              <w:bottom w:val="single" w:sz="6" w:space="0" w:color="auto"/>
              <w:right w:val="single" w:sz="6" w:space="0" w:color="auto"/>
            </w:tcBorders>
          </w:tcPr>
          <w:p w14:paraId="30A41CA5"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7.094</w:t>
            </w:r>
          </w:p>
        </w:tc>
        <w:tc>
          <w:tcPr>
            <w:tcW w:w="425" w:type="dxa"/>
            <w:tcBorders>
              <w:top w:val="single" w:sz="6" w:space="0" w:color="auto"/>
              <w:left w:val="single" w:sz="6" w:space="0" w:color="auto"/>
              <w:bottom w:val="single" w:sz="6" w:space="0" w:color="auto"/>
              <w:right w:val="single" w:sz="6" w:space="0" w:color="auto"/>
            </w:tcBorders>
          </w:tcPr>
          <w:p w14:paraId="22EBBC30"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27,7</w:t>
            </w:r>
          </w:p>
        </w:tc>
        <w:tc>
          <w:tcPr>
            <w:tcW w:w="425" w:type="dxa"/>
            <w:tcBorders>
              <w:top w:val="single" w:sz="6" w:space="0" w:color="auto"/>
              <w:left w:val="single" w:sz="6" w:space="0" w:color="auto"/>
              <w:bottom w:val="single" w:sz="6" w:space="0" w:color="auto"/>
              <w:right w:val="single" w:sz="6" w:space="0" w:color="auto"/>
            </w:tcBorders>
          </w:tcPr>
          <w:p w14:paraId="489F3389" w14:textId="77777777" w:rsidR="00B653C2" w:rsidRDefault="00B653C2" w:rsidP="00B653C2">
            <w:pPr>
              <w:widowControl w:val="0"/>
              <w:autoSpaceDE w:val="0"/>
              <w:autoSpaceDN w:val="0"/>
              <w:adjustRightInd w:val="0"/>
              <w:spacing w:line="20" w:lineRule="atLeast"/>
              <w:jc w:val="center"/>
              <w:rPr>
                <w:b/>
                <w:bCs/>
                <w:sz w:val="16"/>
                <w:szCs w:val="16"/>
              </w:rPr>
            </w:pPr>
            <w:r>
              <w:rPr>
                <w:b/>
                <w:bCs/>
                <w:sz w:val="16"/>
                <w:szCs w:val="16"/>
              </w:rPr>
              <w:t>201</w:t>
            </w:r>
          </w:p>
        </w:tc>
      </w:tr>
      <w:tr w:rsidR="00B653C2" w14:paraId="32313363" w14:textId="77777777" w:rsidTr="00536B14">
        <w:tc>
          <w:tcPr>
            <w:tcW w:w="642" w:type="dxa"/>
            <w:tcBorders>
              <w:top w:val="single" w:sz="6" w:space="0" w:color="auto"/>
              <w:left w:val="single" w:sz="6" w:space="0" w:color="auto"/>
              <w:bottom w:val="single" w:sz="6" w:space="0" w:color="auto"/>
              <w:right w:val="single" w:sz="6" w:space="0" w:color="auto"/>
            </w:tcBorders>
          </w:tcPr>
          <w:p w14:paraId="062530C7" w14:textId="77777777" w:rsidR="00B653C2" w:rsidRDefault="00B653C2" w:rsidP="00B653C2">
            <w:pPr>
              <w:keepNext/>
              <w:widowControl w:val="0"/>
              <w:autoSpaceDE w:val="0"/>
              <w:autoSpaceDN w:val="0"/>
              <w:adjustRightInd w:val="0"/>
              <w:spacing w:after="100"/>
              <w:jc w:val="center"/>
              <w:rPr>
                <w:b/>
                <w:bCs/>
                <w:sz w:val="16"/>
                <w:szCs w:val="16"/>
              </w:rPr>
            </w:pPr>
            <w:r>
              <w:rPr>
                <w:b/>
                <w:bCs/>
                <w:sz w:val="16"/>
                <w:szCs w:val="16"/>
              </w:rPr>
              <w:t>3</w:t>
            </w:r>
          </w:p>
        </w:tc>
        <w:tc>
          <w:tcPr>
            <w:tcW w:w="567" w:type="dxa"/>
            <w:tcBorders>
              <w:top w:val="single" w:sz="6" w:space="0" w:color="auto"/>
              <w:left w:val="single" w:sz="6" w:space="0" w:color="auto"/>
              <w:bottom w:val="single" w:sz="6" w:space="0" w:color="auto"/>
              <w:right w:val="single" w:sz="6" w:space="0" w:color="auto"/>
            </w:tcBorders>
          </w:tcPr>
          <w:p w14:paraId="5BCCF744"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3.580</w:t>
            </w:r>
          </w:p>
        </w:tc>
        <w:tc>
          <w:tcPr>
            <w:tcW w:w="426" w:type="dxa"/>
            <w:tcBorders>
              <w:top w:val="single" w:sz="6" w:space="0" w:color="auto"/>
              <w:left w:val="single" w:sz="6" w:space="0" w:color="auto"/>
              <w:bottom w:val="single" w:sz="6" w:space="0" w:color="auto"/>
              <w:right w:val="single" w:sz="6" w:space="0" w:color="auto"/>
            </w:tcBorders>
          </w:tcPr>
          <w:p w14:paraId="6136D5A6"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22,4</w:t>
            </w:r>
          </w:p>
        </w:tc>
        <w:tc>
          <w:tcPr>
            <w:tcW w:w="425" w:type="dxa"/>
            <w:tcBorders>
              <w:top w:val="single" w:sz="6" w:space="0" w:color="auto"/>
              <w:left w:val="single" w:sz="6" w:space="0" w:color="auto"/>
              <w:bottom w:val="single" w:sz="6" w:space="0" w:color="auto"/>
              <w:right w:val="single" w:sz="6" w:space="0" w:color="auto"/>
            </w:tcBorders>
          </w:tcPr>
          <w:p w14:paraId="0FAF3B5E" w14:textId="77777777" w:rsidR="00B653C2" w:rsidRPr="00260720" w:rsidRDefault="00B653C2" w:rsidP="00B653C2">
            <w:pPr>
              <w:widowControl w:val="0"/>
              <w:autoSpaceDE w:val="0"/>
              <w:autoSpaceDN w:val="0"/>
              <w:adjustRightInd w:val="0"/>
              <w:spacing w:after="100"/>
              <w:jc w:val="center"/>
              <w:rPr>
                <w:b/>
                <w:bCs/>
                <w:sz w:val="16"/>
                <w:szCs w:val="16"/>
              </w:rPr>
            </w:pPr>
            <w:r>
              <w:rPr>
                <w:b/>
                <w:bCs/>
                <w:sz w:val="16"/>
                <w:szCs w:val="16"/>
              </w:rPr>
              <w:t>“</w:t>
            </w:r>
          </w:p>
        </w:tc>
        <w:tc>
          <w:tcPr>
            <w:tcW w:w="567" w:type="dxa"/>
            <w:tcBorders>
              <w:top w:val="single" w:sz="6" w:space="0" w:color="auto"/>
              <w:left w:val="single" w:sz="6" w:space="0" w:color="auto"/>
              <w:bottom w:val="single" w:sz="6" w:space="0" w:color="auto"/>
              <w:right w:val="single" w:sz="6" w:space="0" w:color="auto"/>
            </w:tcBorders>
          </w:tcPr>
          <w:p w14:paraId="50853481"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4.118</w:t>
            </w:r>
          </w:p>
        </w:tc>
        <w:tc>
          <w:tcPr>
            <w:tcW w:w="567" w:type="dxa"/>
            <w:tcBorders>
              <w:top w:val="single" w:sz="6" w:space="0" w:color="auto"/>
              <w:left w:val="single" w:sz="6" w:space="0" w:color="auto"/>
              <w:bottom w:val="single" w:sz="6" w:space="0" w:color="auto"/>
              <w:right w:val="single" w:sz="6" w:space="0" w:color="auto"/>
            </w:tcBorders>
          </w:tcPr>
          <w:p w14:paraId="213C0AE9"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22,1</w:t>
            </w:r>
          </w:p>
        </w:tc>
        <w:tc>
          <w:tcPr>
            <w:tcW w:w="425" w:type="dxa"/>
            <w:tcBorders>
              <w:top w:val="single" w:sz="6" w:space="0" w:color="auto"/>
              <w:left w:val="single" w:sz="6" w:space="0" w:color="auto"/>
              <w:bottom w:val="single" w:sz="6" w:space="0" w:color="auto"/>
              <w:right w:val="single" w:sz="6" w:space="0" w:color="auto"/>
            </w:tcBorders>
          </w:tcPr>
          <w:p w14:paraId="177B6284"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115</w:t>
            </w:r>
          </w:p>
        </w:tc>
        <w:tc>
          <w:tcPr>
            <w:tcW w:w="567" w:type="dxa"/>
            <w:tcBorders>
              <w:top w:val="single" w:sz="6" w:space="0" w:color="auto"/>
              <w:left w:val="single" w:sz="6" w:space="0" w:color="auto"/>
              <w:bottom w:val="single" w:sz="6" w:space="0" w:color="auto"/>
              <w:right w:val="single" w:sz="6" w:space="0" w:color="auto"/>
            </w:tcBorders>
          </w:tcPr>
          <w:p w14:paraId="737F1B92"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4.420</w:t>
            </w:r>
          </w:p>
        </w:tc>
        <w:tc>
          <w:tcPr>
            <w:tcW w:w="425" w:type="dxa"/>
            <w:tcBorders>
              <w:top w:val="single" w:sz="6" w:space="0" w:color="auto"/>
              <w:left w:val="single" w:sz="6" w:space="0" w:color="auto"/>
              <w:bottom w:val="single" w:sz="6" w:space="0" w:color="auto"/>
              <w:right w:val="single" w:sz="6" w:space="0" w:color="auto"/>
            </w:tcBorders>
          </w:tcPr>
          <w:p w14:paraId="6E51A407"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22,2</w:t>
            </w:r>
          </w:p>
        </w:tc>
        <w:tc>
          <w:tcPr>
            <w:tcW w:w="426" w:type="dxa"/>
            <w:tcBorders>
              <w:top w:val="single" w:sz="6" w:space="0" w:color="auto"/>
              <w:left w:val="single" w:sz="6" w:space="0" w:color="auto"/>
              <w:bottom w:val="single" w:sz="6" w:space="0" w:color="auto"/>
              <w:right w:val="single" w:sz="6" w:space="0" w:color="auto"/>
            </w:tcBorders>
          </w:tcPr>
          <w:p w14:paraId="4D0E8146"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123</w:t>
            </w:r>
          </w:p>
        </w:tc>
        <w:tc>
          <w:tcPr>
            <w:tcW w:w="567" w:type="dxa"/>
            <w:tcBorders>
              <w:top w:val="single" w:sz="6" w:space="0" w:color="auto"/>
              <w:left w:val="single" w:sz="6" w:space="0" w:color="auto"/>
              <w:bottom w:val="single" w:sz="6" w:space="0" w:color="auto"/>
              <w:right w:val="single" w:sz="6" w:space="0" w:color="auto"/>
            </w:tcBorders>
          </w:tcPr>
          <w:p w14:paraId="40824773"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4.711</w:t>
            </w:r>
          </w:p>
        </w:tc>
        <w:tc>
          <w:tcPr>
            <w:tcW w:w="425" w:type="dxa"/>
            <w:tcBorders>
              <w:top w:val="single" w:sz="6" w:space="0" w:color="auto"/>
              <w:left w:val="single" w:sz="6" w:space="0" w:color="auto"/>
              <w:bottom w:val="single" w:sz="6" w:space="0" w:color="auto"/>
              <w:right w:val="single" w:sz="6" w:space="0" w:color="auto"/>
            </w:tcBorders>
          </w:tcPr>
          <w:p w14:paraId="60FBEBA1"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21,6</w:t>
            </w:r>
          </w:p>
        </w:tc>
        <w:tc>
          <w:tcPr>
            <w:tcW w:w="425" w:type="dxa"/>
            <w:tcBorders>
              <w:top w:val="single" w:sz="6" w:space="0" w:color="auto"/>
              <w:left w:val="single" w:sz="6" w:space="0" w:color="auto"/>
              <w:bottom w:val="single" w:sz="6" w:space="0" w:color="auto"/>
              <w:right w:val="single" w:sz="6" w:space="0" w:color="auto"/>
            </w:tcBorders>
          </w:tcPr>
          <w:p w14:paraId="3B8B6C0F" w14:textId="77777777" w:rsidR="00B653C2" w:rsidRDefault="00B653C2" w:rsidP="00B653C2">
            <w:pPr>
              <w:widowControl w:val="0"/>
              <w:autoSpaceDE w:val="0"/>
              <w:autoSpaceDN w:val="0"/>
              <w:adjustRightInd w:val="0"/>
              <w:jc w:val="center"/>
              <w:rPr>
                <w:b/>
                <w:bCs/>
                <w:sz w:val="16"/>
                <w:szCs w:val="16"/>
              </w:rPr>
            </w:pPr>
            <w:r>
              <w:rPr>
                <w:b/>
                <w:bCs/>
                <w:sz w:val="16"/>
                <w:szCs w:val="16"/>
              </w:rPr>
              <w:t>131</w:t>
            </w:r>
          </w:p>
        </w:tc>
        <w:tc>
          <w:tcPr>
            <w:tcW w:w="567" w:type="dxa"/>
            <w:tcBorders>
              <w:top w:val="single" w:sz="6" w:space="0" w:color="auto"/>
              <w:left w:val="single" w:sz="6" w:space="0" w:color="auto"/>
              <w:bottom w:val="single" w:sz="6" w:space="0" w:color="auto"/>
              <w:right w:val="single" w:sz="6" w:space="0" w:color="auto"/>
            </w:tcBorders>
          </w:tcPr>
          <w:p w14:paraId="6EBD5CDA" w14:textId="77777777" w:rsidR="00B653C2" w:rsidRDefault="00B653C2" w:rsidP="00B653C2">
            <w:pPr>
              <w:widowControl w:val="0"/>
              <w:autoSpaceDE w:val="0"/>
              <w:autoSpaceDN w:val="0"/>
              <w:adjustRightInd w:val="0"/>
              <w:jc w:val="center"/>
              <w:rPr>
                <w:b/>
                <w:bCs/>
                <w:sz w:val="16"/>
                <w:szCs w:val="16"/>
              </w:rPr>
            </w:pPr>
            <w:r>
              <w:rPr>
                <w:b/>
                <w:bCs/>
                <w:sz w:val="16"/>
                <w:szCs w:val="16"/>
              </w:rPr>
              <w:t>5.003</w:t>
            </w:r>
          </w:p>
        </w:tc>
        <w:tc>
          <w:tcPr>
            <w:tcW w:w="425" w:type="dxa"/>
            <w:tcBorders>
              <w:top w:val="single" w:sz="6" w:space="0" w:color="auto"/>
              <w:left w:val="single" w:sz="6" w:space="0" w:color="auto"/>
              <w:bottom w:val="single" w:sz="6" w:space="0" w:color="auto"/>
              <w:right w:val="single" w:sz="6" w:space="0" w:color="auto"/>
            </w:tcBorders>
          </w:tcPr>
          <w:p w14:paraId="71A01C7D" w14:textId="77777777" w:rsidR="00B653C2" w:rsidRDefault="00B653C2" w:rsidP="00B653C2">
            <w:pPr>
              <w:widowControl w:val="0"/>
              <w:autoSpaceDE w:val="0"/>
              <w:autoSpaceDN w:val="0"/>
              <w:adjustRightInd w:val="0"/>
              <w:jc w:val="center"/>
              <w:rPr>
                <w:b/>
                <w:bCs/>
                <w:sz w:val="16"/>
                <w:szCs w:val="16"/>
              </w:rPr>
            </w:pPr>
            <w:r>
              <w:rPr>
                <w:b/>
                <w:bCs/>
                <w:sz w:val="16"/>
                <w:szCs w:val="16"/>
              </w:rPr>
              <w:t>20,4</w:t>
            </w:r>
          </w:p>
        </w:tc>
        <w:tc>
          <w:tcPr>
            <w:tcW w:w="426" w:type="dxa"/>
            <w:tcBorders>
              <w:top w:val="single" w:sz="6" w:space="0" w:color="auto"/>
              <w:left w:val="single" w:sz="6" w:space="0" w:color="auto"/>
              <w:bottom w:val="single" w:sz="6" w:space="0" w:color="auto"/>
              <w:right w:val="single" w:sz="6" w:space="0" w:color="auto"/>
            </w:tcBorders>
          </w:tcPr>
          <w:p w14:paraId="2671ED02" w14:textId="77777777" w:rsidR="00B653C2" w:rsidRDefault="00B653C2" w:rsidP="00B653C2">
            <w:pPr>
              <w:widowControl w:val="0"/>
              <w:autoSpaceDE w:val="0"/>
              <w:autoSpaceDN w:val="0"/>
              <w:adjustRightInd w:val="0"/>
              <w:jc w:val="center"/>
              <w:rPr>
                <w:b/>
                <w:bCs/>
                <w:sz w:val="16"/>
                <w:szCs w:val="16"/>
              </w:rPr>
            </w:pPr>
            <w:r>
              <w:rPr>
                <w:b/>
                <w:bCs/>
                <w:sz w:val="16"/>
                <w:szCs w:val="16"/>
              </w:rPr>
              <w:t>140</w:t>
            </w:r>
          </w:p>
        </w:tc>
        <w:tc>
          <w:tcPr>
            <w:tcW w:w="567" w:type="dxa"/>
            <w:tcBorders>
              <w:top w:val="single" w:sz="6" w:space="0" w:color="auto"/>
              <w:left w:val="single" w:sz="6" w:space="0" w:color="auto"/>
              <w:bottom w:val="single" w:sz="6" w:space="0" w:color="auto"/>
              <w:right w:val="single" w:sz="6" w:space="0" w:color="auto"/>
            </w:tcBorders>
          </w:tcPr>
          <w:p w14:paraId="7B9E3A78" w14:textId="77777777" w:rsidR="00B653C2" w:rsidRDefault="00B653C2" w:rsidP="00B653C2">
            <w:pPr>
              <w:widowControl w:val="0"/>
              <w:autoSpaceDE w:val="0"/>
              <w:autoSpaceDN w:val="0"/>
              <w:adjustRightInd w:val="0"/>
              <w:jc w:val="center"/>
              <w:rPr>
                <w:b/>
                <w:bCs/>
                <w:sz w:val="16"/>
                <w:szCs w:val="16"/>
              </w:rPr>
            </w:pPr>
            <w:r>
              <w:rPr>
                <w:b/>
                <w:bCs/>
                <w:sz w:val="16"/>
                <w:szCs w:val="16"/>
              </w:rPr>
              <w:t>4.834</w:t>
            </w:r>
          </w:p>
        </w:tc>
        <w:tc>
          <w:tcPr>
            <w:tcW w:w="425" w:type="dxa"/>
            <w:tcBorders>
              <w:top w:val="single" w:sz="6" w:space="0" w:color="auto"/>
              <w:left w:val="single" w:sz="6" w:space="0" w:color="auto"/>
              <w:bottom w:val="single" w:sz="6" w:space="0" w:color="auto"/>
              <w:right w:val="single" w:sz="6" w:space="0" w:color="auto"/>
            </w:tcBorders>
          </w:tcPr>
          <w:p w14:paraId="0035F825" w14:textId="77777777" w:rsidR="00B653C2" w:rsidRDefault="00B653C2" w:rsidP="00B653C2">
            <w:pPr>
              <w:widowControl w:val="0"/>
              <w:autoSpaceDE w:val="0"/>
              <w:autoSpaceDN w:val="0"/>
              <w:adjustRightInd w:val="0"/>
              <w:jc w:val="center"/>
              <w:rPr>
                <w:b/>
                <w:bCs/>
                <w:sz w:val="16"/>
                <w:szCs w:val="16"/>
              </w:rPr>
            </w:pPr>
            <w:r>
              <w:rPr>
                <w:b/>
                <w:bCs/>
                <w:sz w:val="16"/>
                <w:szCs w:val="16"/>
              </w:rPr>
              <w:t>18,9</w:t>
            </w:r>
          </w:p>
        </w:tc>
        <w:tc>
          <w:tcPr>
            <w:tcW w:w="425" w:type="dxa"/>
            <w:tcBorders>
              <w:top w:val="single" w:sz="6" w:space="0" w:color="auto"/>
              <w:left w:val="single" w:sz="6" w:space="0" w:color="auto"/>
              <w:bottom w:val="single" w:sz="6" w:space="0" w:color="auto"/>
              <w:right w:val="single" w:sz="6" w:space="0" w:color="auto"/>
            </w:tcBorders>
          </w:tcPr>
          <w:p w14:paraId="317D624F" w14:textId="77777777" w:rsidR="00B653C2" w:rsidRDefault="00B653C2" w:rsidP="00B653C2">
            <w:pPr>
              <w:widowControl w:val="0"/>
              <w:autoSpaceDE w:val="0"/>
              <w:autoSpaceDN w:val="0"/>
              <w:adjustRightInd w:val="0"/>
              <w:jc w:val="center"/>
              <w:rPr>
                <w:b/>
                <w:bCs/>
                <w:sz w:val="16"/>
                <w:szCs w:val="16"/>
              </w:rPr>
            </w:pPr>
            <w:r>
              <w:rPr>
                <w:b/>
                <w:bCs/>
                <w:sz w:val="16"/>
                <w:szCs w:val="16"/>
              </w:rPr>
              <w:t>135</w:t>
            </w:r>
          </w:p>
        </w:tc>
      </w:tr>
      <w:tr w:rsidR="00B653C2" w14:paraId="6ABDB88B" w14:textId="77777777" w:rsidTr="00536B14">
        <w:tc>
          <w:tcPr>
            <w:tcW w:w="642" w:type="dxa"/>
            <w:tcBorders>
              <w:top w:val="single" w:sz="6" w:space="0" w:color="auto"/>
              <w:left w:val="single" w:sz="6" w:space="0" w:color="auto"/>
              <w:bottom w:val="single" w:sz="6" w:space="0" w:color="auto"/>
              <w:right w:val="single" w:sz="6" w:space="0" w:color="auto"/>
            </w:tcBorders>
          </w:tcPr>
          <w:p w14:paraId="248D3828" w14:textId="77777777" w:rsidR="00B653C2" w:rsidRDefault="00B653C2" w:rsidP="00B653C2">
            <w:pPr>
              <w:keepNext/>
              <w:widowControl w:val="0"/>
              <w:autoSpaceDE w:val="0"/>
              <w:autoSpaceDN w:val="0"/>
              <w:adjustRightInd w:val="0"/>
              <w:spacing w:after="100"/>
              <w:jc w:val="center"/>
              <w:rPr>
                <w:b/>
                <w:bCs/>
                <w:sz w:val="16"/>
                <w:szCs w:val="16"/>
              </w:rPr>
            </w:pPr>
            <w:r>
              <w:rPr>
                <w:b/>
                <w:bCs/>
                <w:sz w:val="16"/>
                <w:szCs w:val="16"/>
              </w:rPr>
              <w:t>4</w:t>
            </w:r>
          </w:p>
        </w:tc>
        <w:tc>
          <w:tcPr>
            <w:tcW w:w="567" w:type="dxa"/>
            <w:tcBorders>
              <w:top w:val="single" w:sz="6" w:space="0" w:color="auto"/>
              <w:left w:val="single" w:sz="6" w:space="0" w:color="auto"/>
              <w:bottom w:val="single" w:sz="6" w:space="0" w:color="auto"/>
              <w:right w:val="single" w:sz="6" w:space="0" w:color="auto"/>
            </w:tcBorders>
          </w:tcPr>
          <w:p w14:paraId="58B00C2E"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3.388</w:t>
            </w:r>
          </w:p>
        </w:tc>
        <w:tc>
          <w:tcPr>
            <w:tcW w:w="426" w:type="dxa"/>
            <w:tcBorders>
              <w:top w:val="single" w:sz="6" w:space="0" w:color="auto"/>
              <w:left w:val="single" w:sz="6" w:space="0" w:color="auto"/>
              <w:bottom w:val="single" w:sz="6" w:space="0" w:color="auto"/>
              <w:right w:val="single" w:sz="6" w:space="0" w:color="auto"/>
            </w:tcBorders>
          </w:tcPr>
          <w:p w14:paraId="74D01CA5"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21,2</w:t>
            </w:r>
          </w:p>
        </w:tc>
        <w:tc>
          <w:tcPr>
            <w:tcW w:w="425" w:type="dxa"/>
            <w:tcBorders>
              <w:top w:val="single" w:sz="6" w:space="0" w:color="auto"/>
              <w:left w:val="single" w:sz="6" w:space="0" w:color="auto"/>
              <w:bottom w:val="single" w:sz="6" w:space="0" w:color="auto"/>
              <w:right w:val="single" w:sz="6" w:space="0" w:color="auto"/>
            </w:tcBorders>
          </w:tcPr>
          <w:p w14:paraId="6EE7E145" w14:textId="77777777" w:rsidR="00B653C2" w:rsidRPr="00260720" w:rsidRDefault="00B653C2" w:rsidP="00B653C2">
            <w:pPr>
              <w:widowControl w:val="0"/>
              <w:autoSpaceDE w:val="0"/>
              <w:autoSpaceDN w:val="0"/>
              <w:adjustRightInd w:val="0"/>
              <w:spacing w:after="100"/>
              <w:jc w:val="center"/>
              <w:rPr>
                <w:b/>
                <w:bCs/>
                <w:sz w:val="16"/>
                <w:szCs w:val="16"/>
              </w:rPr>
            </w:pPr>
            <w:r>
              <w:rPr>
                <w:b/>
                <w:bCs/>
                <w:sz w:val="16"/>
                <w:szCs w:val="16"/>
              </w:rPr>
              <w:t>“</w:t>
            </w:r>
          </w:p>
        </w:tc>
        <w:tc>
          <w:tcPr>
            <w:tcW w:w="567" w:type="dxa"/>
            <w:tcBorders>
              <w:top w:val="single" w:sz="6" w:space="0" w:color="auto"/>
              <w:left w:val="single" w:sz="6" w:space="0" w:color="auto"/>
              <w:bottom w:val="single" w:sz="6" w:space="0" w:color="auto"/>
              <w:right w:val="single" w:sz="6" w:space="0" w:color="auto"/>
            </w:tcBorders>
          </w:tcPr>
          <w:p w14:paraId="50BA13AB"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4.006</w:t>
            </w:r>
          </w:p>
        </w:tc>
        <w:tc>
          <w:tcPr>
            <w:tcW w:w="567" w:type="dxa"/>
            <w:tcBorders>
              <w:top w:val="single" w:sz="6" w:space="0" w:color="auto"/>
              <w:left w:val="single" w:sz="6" w:space="0" w:color="auto"/>
              <w:bottom w:val="single" w:sz="6" w:space="0" w:color="auto"/>
              <w:right w:val="single" w:sz="6" w:space="0" w:color="auto"/>
            </w:tcBorders>
          </w:tcPr>
          <w:p w14:paraId="0D916DDA"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21,2</w:t>
            </w:r>
          </w:p>
        </w:tc>
        <w:tc>
          <w:tcPr>
            <w:tcW w:w="425" w:type="dxa"/>
            <w:tcBorders>
              <w:top w:val="single" w:sz="6" w:space="0" w:color="auto"/>
              <w:left w:val="single" w:sz="6" w:space="0" w:color="auto"/>
              <w:bottom w:val="single" w:sz="6" w:space="0" w:color="auto"/>
              <w:right w:val="single" w:sz="6" w:space="0" w:color="auto"/>
            </w:tcBorders>
          </w:tcPr>
          <w:p w14:paraId="1F2FF8CC"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118</w:t>
            </w:r>
          </w:p>
        </w:tc>
        <w:tc>
          <w:tcPr>
            <w:tcW w:w="567" w:type="dxa"/>
            <w:tcBorders>
              <w:top w:val="single" w:sz="6" w:space="0" w:color="auto"/>
              <w:left w:val="single" w:sz="6" w:space="0" w:color="auto"/>
              <w:bottom w:val="single" w:sz="6" w:space="0" w:color="auto"/>
              <w:right w:val="single" w:sz="6" w:space="0" w:color="auto"/>
            </w:tcBorders>
          </w:tcPr>
          <w:p w14:paraId="0E687138"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4.220</w:t>
            </w:r>
          </w:p>
        </w:tc>
        <w:tc>
          <w:tcPr>
            <w:tcW w:w="425" w:type="dxa"/>
            <w:tcBorders>
              <w:top w:val="single" w:sz="6" w:space="0" w:color="auto"/>
              <w:left w:val="single" w:sz="6" w:space="0" w:color="auto"/>
              <w:bottom w:val="single" w:sz="6" w:space="0" w:color="auto"/>
              <w:right w:val="single" w:sz="6" w:space="0" w:color="auto"/>
            </w:tcBorders>
          </w:tcPr>
          <w:p w14:paraId="57CC3348"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21,2</w:t>
            </w:r>
          </w:p>
        </w:tc>
        <w:tc>
          <w:tcPr>
            <w:tcW w:w="426" w:type="dxa"/>
            <w:tcBorders>
              <w:top w:val="single" w:sz="6" w:space="0" w:color="auto"/>
              <w:left w:val="single" w:sz="6" w:space="0" w:color="auto"/>
              <w:bottom w:val="single" w:sz="6" w:space="0" w:color="auto"/>
              <w:right w:val="single" w:sz="6" w:space="0" w:color="auto"/>
            </w:tcBorders>
          </w:tcPr>
          <w:p w14:paraId="4FD82500"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124</w:t>
            </w:r>
          </w:p>
        </w:tc>
        <w:tc>
          <w:tcPr>
            <w:tcW w:w="567" w:type="dxa"/>
            <w:tcBorders>
              <w:top w:val="single" w:sz="6" w:space="0" w:color="auto"/>
              <w:left w:val="single" w:sz="6" w:space="0" w:color="auto"/>
              <w:bottom w:val="single" w:sz="6" w:space="0" w:color="auto"/>
              <w:right w:val="single" w:sz="6" w:space="0" w:color="auto"/>
            </w:tcBorders>
          </w:tcPr>
          <w:p w14:paraId="321054A8"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4.134</w:t>
            </w:r>
          </w:p>
        </w:tc>
        <w:tc>
          <w:tcPr>
            <w:tcW w:w="425" w:type="dxa"/>
            <w:tcBorders>
              <w:top w:val="single" w:sz="6" w:space="0" w:color="auto"/>
              <w:left w:val="single" w:sz="6" w:space="0" w:color="auto"/>
              <w:bottom w:val="single" w:sz="6" w:space="0" w:color="auto"/>
              <w:right w:val="single" w:sz="6" w:space="0" w:color="auto"/>
            </w:tcBorders>
          </w:tcPr>
          <w:p w14:paraId="378C7AD6"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19,0</w:t>
            </w:r>
          </w:p>
        </w:tc>
        <w:tc>
          <w:tcPr>
            <w:tcW w:w="425" w:type="dxa"/>
            <w:tcBorders>
              <w:top w:val="single" w:sz="6" w:space="0" w:color="auto"/>
              <w:left w:val="single" w:sz="6" w:space="0" w:color="auto"/>
              <w:bottom w:val="single" w:sz="6" w:space="0" w:color="auto"/>
              <w:right w:val="single" w:sz="6" w:space="0" w:color="auto"/>
            </w:tcBorders>
          </w:tcPr>
          <w:p w14:paraId="23513A5D" w14:textId="77777777" w:rsidR="00B653C2" w:rsidRDefault="00B653C2" w:rsidP="00B653C2">
            <w:pPr>
              <w:widowControl w:val="0"/>
              <w:autoSpaceDE w:val="0"/>
              <w:autoSpaceDN w:val="0"/>
              <w:adjustRightInd w:val="0"/>
              <w:jc w:val="center"/>
              <w:rPr>
                <w:b/>
                <w:bCs/>
                <w:sz w:val="16"/>
                <w:szCs w:val="16"/>
              </w:rPr>
            </w:pPr>
            <w:r>
              <w:rPr>
                <w:b/>
                <w:bCs/>
                <w:sz w:val="16"/>
                <w:szCs w:val="16"/>
              </w:rPr>
              <w:t>122</w:t>
            </w:r>
          </w:p>
        </w:tc>
        <w:tc>
          <w:tcPr>
            <w:tcW w:w="567" w:type="dxa"/>
            <w:tcBorders>
              <w:top w:val="single" w:sz="6" w:space="0" w:color="auto"/>
              <w:left w:val="single" w:sz="6" w:space="0" w:color="auto"/>
              <w:bottom w:val="single" w:sz="6" w:space="0" w:color="auto"/>
              <w:right w:val="single" w:sz="6" w:space="0" w:color="auto"/>
            </w:tcBorders>
          </w:tcPr>
          <w:p w14:paraId="7E38B45C" w14:textId="77777777" w:rsidR="00B653C2" w:rsidRDefault="00B653C2" w:rsidP="00B653C2">
            <w:pPr>
              <w:widowControl w:val="0"/>
              <w:autoSpaceDE w:val="0"/>
              <w:autoSpaceDN w:val="0"/>
              <w:adjustRightInd w:val="0"/>
              <w:jc w:val="center"/>
              <w:rPr>
                <w:b/>
                <w:bCs/>
                <w:sz w:val="16"/>
                <w:szCs w:val="16"/>
              </w:rPr>
            </w:pPr>
            <w:r>
              <w:rPr>
                <w:b/>
                <w:bCs/>
                <w:sz w:val="16"/>
                <w:szCs w:val="16"/>
              </w:rPr>
              <w:t>4.204</w:t>
            </w:r>
          </w:p>
        </w:tc>
        <w:tc>
          <w:tcPr>
            <w:tcW w:w="425" w:type="dxa"/>
            <w:tcBorders>
              <w:top w:val="single" w:sz="6" w:space="0" w:color="auto"/>
              <w:left w:val="single" w:sz="6" w:space="0" w:color="auto"/>
              <w:bottom w:val="single" w:sz="6" w:space="0" w:color="auto"/>
              <w:right w:val="single" w:sz="6" w:space="0" w:color="auto"/>
            </w:tcBorders>
          </w:tcPr>
          <w:p w14:paraId="606C1E90" w14:textId="77777777" w:rsidR="00B653C2" w:rsidRDefault="00B653C2" w:rsidP="00B653C2">
            <w:pPr>
              <w:widowControl w:val="0"/>
              <w:autoSpaceDE w:val="0"/>
              <w:autoSpaceDN w:val="0"/>
              <w:adjustRightInd w:val="0"/>
              <w:jc w:val="center"/>
              <w:rPr>
                <w:b/>
                <w:bCs/>
                <w:sz w:val="16"/>
                <w:szCs w:val="16"/>
              </w:rPr>
            </w:pPr>
            <w:r>
              <w:rPr>
                <w:b/>
                <w:bCs/>
                <w:sz w:val="16"/>
                <w:szCs w:val="16"/>
              </w:rPr>
              <w:t>17,1</w:t>
            </w:r>
          </w:p>
        </w:tc>
        <w:tc>
          <w:tcPr>
            <w:tcW w:w="426" w:type="dxa"/>
            <w:tcBorders>
              <w:top w:val="single" w:sz="6" w:space="0" w:color="auto"/>
              <w:left w:val="single" w:sz="6" w:space="0" w:color="auto"/>
              <w:bottom w:val="single" w:sz="6" w:space="0" w:color="auto"/>
              <w:right w:val="single" w:sz="6" w:space="0" w:color="auto"/>
            </w:tcBorders>
          </w:tcPr>
          <w:p w14:paraId="2EDD5EF1" w14:textId="77777777" w:rsidR="00B653C2" w:rsidRDefault="00B653C2" w:rsidP="00B653C2">
            <w:pPr>
              <w:widowControl w:val="0"/>
              <w:autoSpaceDE w:val="0"/>
              <w:autoSpaceDN w:val="0"/>
              <w:adjustRightInd w:val="0"/>
              <w:jc w:val="center"/>
              <w:rPr>
                <w:b/>
                <w:bCs/>
                <w:sz w:val="16"/>
                <w:szCs w:val="16"/>
              </w:rPr>
            </w:pPr>
            <w:r>
              <w:rPr>
                <w:b/>
                <w:bCs/>
                <w:sz w:val="16"/>
                <w:szCs w:val="16"/>
              </w:rPr>
              <w:t>124</w:t>
            </w:r>
          </w:p>
        </w:tc>
        <w:tc>
          <w:tcPr>
            <w:tcW w:w="567" w:type="dxa"/>
            <w:tcBorders>
              <w:top w:val="single" w:sz="6" w:space="0" w:color="auto"/>
              <w:left w:val="single" w:sz="6" w:space="0" w:color="auto"/>
              <w:bottom w:val="single" w:sz="6" w:space="0" w:color="auto"/>
              <w:right w:val="single" w:sz="6" w:space="0" w:color="auto"/>
            </w:tcBorders>
          </w:tcPr>
          <w:p w14:paraId="7D901B37" w14:textId="77777777" w:rsidR="00B653C2" w:rsidRDefault="00B653C2" w:rsidP="00B653C2">
            <w:pPr>
              <w:widowControl w:val="0"/>
              <w:autoSpaceDE w:val="0"/>
              <w:autoSpaceDN w:val="0"/>
              <w:adjustRightInd w:val="0"/>
              <w:jc w:val="center"/>
              <w:rPr>
                <w:b/>
                <w:bCs/>
                <w:sz w:val="16"/>
                <w:szCs w:val="16"/>
              </w:rPr>
            </w:pPr>
            <w:r>
              <w:rPr>
                <w:b/>
                <w:bCs/>
                <w:sz w:val="16"/>
                <w:szCs w:val="16"/>
              </w:rPr>
              <w:t>3.878</w:t>
            </w:r>
          </w:p>
        </w:tc>
        <w:tc>
          <w:tcPr>
            <w:tcW w:w="425" w:type="dxa"/>
            <w:tcBorders>
              <w:top w:val="single" w:sz="6" w:space="0" w:color="auto"/>
              <w:left w:val="single" w:sz="6" w:space="0" w:color="auto"/>
              <w:bottom w:val="single" w:sz="6" w:space="0" w:color="auto"/>
              <w:right w:val="single" w:sz="6" w:space="0" w:color="auto"/>
            </w:tcBorders>
          </w:tcPr>
          <w:p w14:paraId="1C70FAC1" w14:textId="77777777" w:rsidR="00B653C2" w:rsidRDefault="00B653C2" w:rsidP="00B653C2">
            <w:pPr>
              <w:widowControl w:val="0"/>
              <w:autoSpaceDE w:val="0"/>
              <w:autoSpaceDN w:val="0"/>
              <w:adjustRightInd w:val="0"/>
              <w:jc w:val="center"/>
              <w:rPr>
                <w:b/>
                <w:bCs/>
                <w:sz w:val="16"/>
                <w:szCs w:val="16"/>
              </w:rPr>
            </w:pPr>
            <w:r>
              <w:rPr>
                <w:b/>
                <w:bCs/>
                <w:sz w:val="16"/>
                <w:szCs w:val="16"/>
              </w:rPr>
              <w:t>15,2</w:t>
            </w:r>
          </w:p>
        </w:tc>
        <w:tc>
          <w:tcPr>
            <w:tcW w:w="425" w:type="dxa"/>
            <w:tcBorders>
              <w:top w:val="single" w:sz="6" w:space="0" w:color="auto"/>
              <w:left w:val="single" w:sz="6" w:space="0" w:color="auto"/>
              <w:bottom w:val="single" w:sz="6" w:space="0" w:color="auto"/>
              <w:right w:val="single" w:sz="6" w:space="0" w:color="auto"/>
            </w:tcBorders>
          </w:tcPr>
          <w:p w14:paraId="355075A3" w14:textId="77777777" w:rsidR="00B653C2" w:rsidRDefault="00B653C2" w:rsidP="00B653C2">
            <w:pPr>
              <w:widowControl w:val="0"/>
              <w:autoSpaceDE w:val="0"/>
              <w:autoSpaceDN w:val="0"/>
              <w:adjustRightInd w:val="0"/>
              <w:jc w:val="center"/>
              <w:rPr>
                <w:b/>
                <w:bCs/>
                <w:sz w:val="16"/>
                <w:szCs w:val="16"/>
              </w:rPr>
            </w:pPr>
            <w:r>
              <w:rPr>
                <w:b/>
                <w:bCs/>
                <w:sz w:val="16"/>
                <w:szCs w:val="16"/>
              </w:rPr>
              <w:t>114</w:t>
            </w:r>
          </w:p>
        </w:tc>
      </w:tr>
      <w:tr w:rsidR="00B653C2" w14:paraId="71A1FF04" w14:textId="77777777" w:rsidTr="00536B14">
        <w:tc>
          <w:tcPr>
            <w:tcW w:w="642" w:type="dxa"/>
            <w:tcBorders>
              <w:top w:val="single" w:sz="6" w:space="0" w:color="auto"/>
              <w:left w:val="single" w:sz="6" w:space="0" w:color="auto"/>
              <w:bottom w:val="single" w:sz="6" w:space="0" w:color="auto"/>
              <w:right w:val="single" w:sz="6" w:space="0" w:color="auto"/>
            </w:tcBorders>
          </w:tcPr>
          <w:p w14:paraId="0B5D8D88" w14:textId="77777777" w:rsidR="00B653C2" w:rsidRDefault="00B653C2" w:rsidP="00B653C2">
            <w:pPr>
              <w:keepNext/>
              <w:widowControl w:val="0"/>
              <w:autoSpaceDE w:val="0"/>
              <w:autoSpaceDN w:val="0"/>
              <w:adjustRightInd w:val="0"/>
              <w:spacing w:after="100"/>
              <w:jc w:val="center"/>
              <w:rPr>
                <w:b/>
                <w:bCs/>
                <w:sz w:val="16"/>
                <w:szCs w:val="16"/>
              </w:rPr>
            </w:pPr>
            <w:r>
              <w:rPr>
                <w:b/>
                <w:bCs/>
                <w:sz w:val="16"/>
                <w:szCs w:val="16"/>
              </w:rPr>
              <w:t>5</w:t>
            </w:r>
          </w:p>
        </w:tc>
        <w:tc>
          <w:tcPr>
            <w:tcW w:w="567" w:type="dxa"/>
            <w:tcBorders>
              <w:top w:val="single" w:sz="6" w:space="0" w:color="auto"/>
              <w:left w:val="single" w:sz="6" w:space="0" w:color="auto"/>
              <w:bottom w:val="single" w:sz="6" w:space="0" w:color="auto"/>
              <w:right w:val="single" w:sz="6" w:space="0" w:color="auto"/>
            </w:tcBorders>
          </w:tcPr>
          <w:p w14:paraId="1F0B5680"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1886</w:t>
            </w:r>
          </w:p>
        </w:tc>
        <w:tc>
          <w:tcPr>
            <w:tcW w:w="426" w:type="dxa"/>
            <w:tcBorders>
              <w:top w:val="single" w:sz="6" w:space="0" w:color="auto"/>
              <w:left w:val="single" w:sz="6" w:space="0" w:color="auto"/>
              <w:bottom w:val="single" w:sz="6" w:space="0" w:color="auto"/>
              <w:right w:val="single" w:sz="6" w:space="0" w:color="auto"/>
            </w:tcBorders>
          </w:tcPr>
          <w:p w14:paraId="110239E7"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11,8</w:t>
            </w:r>
          </w:p>
        </w:tc>
        <w:tc>
          <w:tcPr>
            <w:tcW w:w="425" w:type="dxa"/>
            <w:tcBorders>
              <w:top w:val="single" w:sz="6" w:space="0" w:color="auto"/>
              <w:left w:val="single" w:sz="6" w:space="0" w:color="auto"/>
              <w:bottom w:val="single" w:sz="6" w:space="0" w:color="auto"/>
              <w:right w:val="single" w:sz="6" w:space="0" w:color="auto"/>
            </w:tcBorders>
          </w:tcPr>
          <w:p w14:paraId="1D741EBF" w14:textId="77777777" w:rsidR="00B653C2" w:rsidRPr="00260720" w:rsidRDefault="00B653C2" w:rsidP="00B653C2">
            <w:pPr>
              <w:widowControl w:val="0"/>
              <w:autoSpaceDE w:val="0"/>
              <w:autoSpaceDN w:val="0"/>
              <w:adjustRightInd w:val="0"/>
              <w:spacing w:after="100"/>
              <w:jc w:val="center"/>
              <w:rPr>
                <w:b/>
                <w:bCs/>
                <w:sz w:val="16"/>
                <w:szCs w:val="16"/>
              </w:rPr>
            </w:pPr>
            <w:r>
              <w:rPr>
                <w:b/>
                <w:bCs/>
                <w:sz w:val="16"/>
                <w:szCs w:val="16"/>
              </w:rPr>
              <w:t>“</w:t>
            </w:r>
          </w:p>
        </w:tc>
        <w:tc>
          <w:tcPr>
            <w:tcW w:w="567" w:type="dxa"/>
            <w:tcBorders>
              <w:top w:val="single" w:sz="6" w:space="0" w:color="auto"/>
              <w:left w:val="single" w:sz="6" w:space="0" w:color="auto"/>
              <w:bottom w:val="single" w:sz="6" w:space="0" w:color="auto"/>
              <w:right w:val="single" w:sz="6" w:space="0" w:color="auto"/>
            </w:tcBorders>
          </w:tcPr>
          <w:p w14:paraId="0ACC5856"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1.770</w:t>
            </w:r>
          </w:p>
        </w:tc>
        <w:tc>
          <w:tcPr>
            <w:tcW w:w="567" w:type="dxa"/>
            <w:tcBorders>
              <w:top w:val="single" w:sz="6" w:space="0" w:color="auto"/>
              <w:left w:val="single" w:sz="6" w:space="0" w:color="auto"/>
              <w:bottom w:val="single" w:sz="6" w:space="0" w:color="auto"/>
              <w:right w:val="single" w:sz="6" w:space="0" w:color="auto"/>
            </w:tcBorders>
          </w:tcPr>
          <w:p w14:paraId="5C6591A4" w14:textId="79133B55" w:rsidR="00B653C2" w:rsidRPr="00260720" w:rsidRDefault="00B653C2" w:rsidP="00B653C2">
            <w:pPr>
              <w:widowControl w:val="0"/>
              <w:autoSpaceDE w:val="0"/>
              <w:autoSpaceDN w:val="0"/>
              <w:adjustRightInd w:val="0"/>
              <w:spacing w:line="20" w:lineRule="atLeast"/>
              <w:jc w:val="center"/>
              <w:rPr>
                <w:b/>
                <w:bCs/>
                <w:sz w:val="16"/>
                <w:szCs w:val="16"/>
              </w:rPr>
            </w:pPr>
            <w:r w:rsidRPr="00260720">
              <w:rPr>
                <w:b/>
                <w:bCs/>
                <w:sz w:val="16"/>
                <w:szCs w:val="16"/>
              </w:rPr>
              <w:t>9,5</w:t>
            </w:r>
          </w:p>
        </w:tc>
        <w:tc>
          <w:tcPr>
            <w:tcW w:w="425" w:type="dxa"/>
            <w:tcBorders>
              <w:top w:val="single" w:sz="6" w:space="0" w:color="auto"/>
              <w:left w:val="single" w:sz="6" w:space="0" w:color="auto"/>
              <w:bottom w:val="single" w:sz="6" w:space="0" w:color="auto"/>
              <w:right w:val="single" w:sz="6" w:space="0" w:color="auto"/>
            </w:tcBorders>
          </w:tcPr>
          <w:p w14:paraId="3F911579"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93</w:t>
            </w:r>
          </w:p>
        </w:tc>
        <w:tc>
          <w:tcPr>
            <w:tcW w:w="567" w:type="dxa"/>
            <w:tcBorders>
              <w:top w:val="single" w:sz="6" w:space="0" w:color="auto"/>
              <w:left w:val="single" w:sz="6" w:space="0" w:color="auto"/>
              <w:bottom w:val="single" w:sz="6" w:space="0" w:color="auto"/>
              <w:right w:val="single" w:sz="6" w:space="0" w:color="auto"/>
            </w:tcBorders>
          </w:tcPr>
          <w:p w14:paraId="3BF19514"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1.583</w:t>
            </w:r>
          </w:p>
        </w:tc>
        <w:tc>
          <w:tcPr>
            <w:tcW w:w="425" w:type="dxa"/>
            <w:tcBorders>
              <w:top w:val="single" w:sz="6" w:space="0" w:color="auto"/>
              <w:left w:val="single" w:sz="6" w:space="0" w:color="auto"/>
              <w:bottom w:val="single" w:sz="6" w:space="0" w:color="auto"/>
              <w:right w:val="single" w:sz="6" w:space="0" w:color="auto"/>
            </w:tcBorders>
          </w:tcPr>
          <w:p w14:paraId="3DF0FD1A"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7,9</w:t>
            </w:r>
          </w:p>
        </w:tc>
        <w:tc>
          <w:tcPr>
            <w:tcW w:w="426" w:type="dxa"/>
            <w:tcBorders>
              <w:top w:val="single" w:sz="6" w:space="0" w:color="auto"/>
              <w:left w:val="single" w:sz="6" w:space="0" w:color="auto"/>
              <w:bottom w:val="single" w:sz="6" w:space="0" w:color="auto"/>
              <w:right w:val="single" w:sz="6" w:space="0" w:color="auto"/>
            </w:tcBorders>
          </w:tcPr>
          <w:p w14:paraId="612AAA4E"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83</w:t>
            </w:r>
          </w:p>
        </w:tc>
        <w:tc>
          <w:tcPr>
            <w:tcW w:w="567" w:type="dxa"/>
            <w:tcBorders>
              <w:top w:val="single" w:sz="6" w:space="0" w:color="auto"/>
              <w:left w:val="single" w:sz="6" w:space="0" w:color="auto"/>
              <w:bottom w:val="single" w:sz="6" w:space="0" w:color="auto"/>
              <w:right w:val="single" w:sz="6" w:space="0" w:color="auto"/>
            </w:tcBorders>
          </w:tcPr>
          <w:p w14:paraId="3CD466B3"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1.265</w:t>
            </w:r>
          </w:p>
        </w:tc>
        <w:tc>
          <w:tcPr>
            <w:tcW w:w="425" w:type="dxa"/>
            <w:tcBorders>
              <w:top w:val="single" w:sz="6" w:space="0" w:color="auto"/>
              <w:left w:val="single" w:sz="6" w:space="0" w:color="auto"/>
              <w:bottom w:val="single" w:sz="6" w:space="0" w:color="auto"/>
              <w:right w:val="single" w:sz="6" w:space="0" w:color="auto"/>
            </w:tcBorders>
          </w:tcPr>
          <w:p w14:paraId="3B74BE3D"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7,9</w:t>
            </w:r>
          </w:p>
        </w:tc>
        <w:tc>
          <w:tcPr>
            <w:tcW w:w="425" w:type="dxa"/>
            <w:tcBorders>
              <w:top w:val="single" w:sz="6" w:space="0" w:color="auto"/>
              <w:left w:val="single" w:sz="6" w:space="0" w:color="auto"/>
              <w:bottom w:val="single" w:sz="6" w:space="0" w:color="auto"/>
              <w:right w:val="single" w:sz="6" w:space="0" w:color="auto"/>
            </w:tcBorders>
          </w:tcPr>
          <w:p w14:paraId="08B30281" w14:textId="77777777" w:rsidR="00B653C2" w:rsidRDefault="00B653C2" w:rsidP="00B653C2">
            <w:pPr>
              <w:widowControl w:val="0"/>
              <w:autoSpaceDE w:val="0"/>
              <w:autoSpaceDN w:val="0"/>
              <w:adjustRightInd w:val="0"/>
              <w:jc w:val="center"/>
              <w:rPr>
                <w:b/>
                <w:bCs/>
                <w:sz w:val="16"/>
                <w:szCs w:val="16"/>
              </w:rPr>
            </w:pPr>
            <w:r>
              <w:rPr>
                <w:b/>
                <w:bCs/>
                <w:sz w:val="16"/>
                <w:szCs w:val="16"/>
              </w:rPr>
              <w:t>67</w:t>
            </w:r>
          </w:p>
        </w:tc>
        <w:tc>
          <w:tcPr>
            <w:tcW w:w="567" w:type="dxa"/>
            <w:tcBorders>
              <w:top w:val="single" w:sz="6" w:space="0" w:color="auto"/>
              <w:left w:val="single" w:sz="6" w:space="0" w:color="auto"/>
              <w:bottom w:val="single" w:sz="6" w:space="0" w:color="auto"/>
              <w:right w:val="single" w:sz="6" w:space="0" w:color="auto"/>
            </w:tcBorders>
          </w:tcPr>
          <w:p w14:paraId="5673C842" w14:textId="77777777" w:rsidR="00B653C2" w:rsidRDefault="00B653C2" w:rsidP="00B653C2">
            <w:pPr>
              <w:widowControl w:val="0"/>
              <w:autoSpaceDE w:val="0"/>
              <w:autoSpaceDN w:val="0"/>
              <w:adjustRightInd w:val="0"/>
              <w:jc w:val="center"/>
              <w:rPr>
                <w:b/>
                <w:bCs/>
                <w:sz w:val="16"/>
                <w:szCs w:val="16"/>
              </w:rPr>
            </w:pPr>
            <w:r>
              <w:rPr>
                <w:b/>
                <w:bCs/>
                <w:sz w:val="16"/>
                <w:szCs w:val="16"/>
              </w:rPr>
              <w:t>1.059</w:t>
            </w:r>
          </w:p>
        </w:tc>
        <w:tc>
          <w:tcPr>
            <w:tcW w:w="425" w:type="dxa"/>
            <w:tcBorders>
              <w:top w:val="single" w:sz="6" w:space="0" w:color="auto"/>
              <w:left w:val="single" w:sz="6" w:space="0" w:color="auto"/>
              <w:bottom w:val="single" w:sz="6" w:space="0" w:color="auto"/>
              <w:right w:val="single" w:sz="6" w:space="0" w:color="auto"/>
            </w:tcBorders>
          </w:tcPr>
          <w:p w14:paraId="32D66B10" w14:textId="77777777" w:rsidR="00B653C2" w:rsidRDefault="00B653C2" w:rsidP="00B653C2">
            <w:pPr>
              <w:widowControl w:val="0"/>
              <w:autoSpaceDE w:val="0"/>
              <w:autoSpaceDN w:val="0"/>
              <w:adjustRightInd w:val="0"/>
              <w:jc w:val="center"/>
              <w:rPr>
                <w:b/>
                <w:bCs/>
                <w:sz w:val="16"/>
                <w:szCs w:val="16"/>
              </w:rPr>
            </w:pPr>
            <w:r>
              <w:rPr>
                <w:b/>
                <w:bCs/>
                <w:sz w:val="16"/>
                <w:szCs w:val="16"/>
              </w:rPr>
              <w:t>4,3</w:t>
            </w:r>
          </w:p>
        </w:tc>
        <w:tc>
          <w:tcPr>
            <w:tcW w:w="426" w:type="dxa"/>
            <w:tcBorders>
              <w:top w:val="single" w:sz="6" w:space="0" w:color="auto"/>
              <w:left w:val="single" w:sz="6" w:space="0" w:color="auto"/>
              <w:bottom w:val="single" w:sz="6" w:space="0" w:color="auto"/>
              <w:right w:val="single" w:sz="6" w:space="0" w:color="auto"/>
            </w:tcBorders>
          </w:tcPr>
          <w:p w14:paraId="66D60B8B" w14:textId="77777777" w:rsidR="00B653C2" w:rsidRDefault="00B653C2" w:rsidP="00B653C2">
            <w:pPr>
              <w:widowControl w:val="0"/>
              <w:autoSpaceDE w:val="0"/>
              <w:autoSpaceDN w:val="0"/>
              <w:adjustRightInd w:val="0"/>
              <w:jc w:val="center"/>
              <w:rPr>
                <w:b/>
                <w:bCs/>
                <w:sz w:val="16"/>
                <w:szCs w:val="16"/>
              </w:rPr>
            </w:pPr>
            <w:r>
              <w:rPr>
                <w:b/>
                <w:bCs/>
                <w:sz w:val="16"/>
                <w:szCs w:val="16"/>
              </w:rPr>
              <w:t>56</w:t>
            </w:r>
          </w:p>
        </w:tc>
        <w:tc>
          <w:tcPr>
            <w:tcW w:w="567" w:type="dxa"/>
            <w:tcBorders>
              <w:top w:val="single" w:sz="6" w:space="0" w:color="auto"/>
              <w:left w:val="single" w:sz="6" w:space="0" w:color="auto"/>
              <w:bottom w:val="single" w:sz="6" w:space="0" w:color="auto"/>
              <w:right w:val="single" w:sz="6" w:space="0" w:color="auto"/>
            </w:tcBorders>
          </w:tcPr>
          <w:p w14:paraId="3C85BF52" w14:textId="77777777" w:rsidR="00B653C2" w:rsidRDefault="00B653C2" w:rsidP="00B653C2">
            <w:pPr>
              <w:widowControl w:val="0"/>
              <w:autoSpaceDE w:val="0"/>
              <w:autoSpaceDN w:val="0"/>
              <w:adjustRightInd w:val="0"/>
              <w:jc w:val="center"/>
              <w:rPr>
                <w:b/>
                <w:bCs/>
                <w:sz w:val="16"/>
                <w:szCs w:val="16"/>
              </w:rPr>
            </w:pPr>
            <w:r>
              <w:rPr>
                <w:b/>
                <w:bCs/>
                <w:sz w:val="16"/>
                <w:szCs w:val="16"/>
              </w:rPr>
              <w:t>997</w:t>
            </w:r>
          </w:p>
        </w:tc>
        <w:tc>
          <w:tcPr>
            <w:tcW w:w="425" w:type="dxa"/>
            <w:tcBorders>
              <w:top w:val="single" w:sz="6" w:space="0" w:color="auto"/>
              <w:left w:val="single" w:sz="6" w:space="0" w:color="auto"/>
              <w:bottom w:val="single" w:sz="6" w:space="0" w:color="auto"/>
              <w:right w:val="single" w:sz="6" w:space="0" w:color="auto"/>
            </w:tcBorders>
          </w:tcPr>
          <w:p w14:paraId="72096EE0" w14:textId="77777777" w:rsidR="00B653C2" w:rsidRDefault="00B653C2" w:rsidP="00B653C2">
            <w:pPr>
              <w:widowControl w:val="0"/>
              <w:autoSpaceDE w:val="0"/>
              <w:autoSpaceDN w:val="0"/>
              <w:adjustRightInd w:val="0"/>
              <w:jc w:val="center"/>
              <w:rPr>
                <w:b/>
                <w:bCs/>
                <w:sz w:val="16"/>
                <w:szCs w:val="16"/>
              </w:rPr>
            </w:pPr>
            <w:r>
              <w:rPr>
                <w:b/>
                <w:bCs/>
                <w:sz w:val="16"/>
                <w:szCs w:val="16"/>
              </w:rPr>
              <w:t>3,9</w:t>
            </w:r>
          </w:p>
        </w:tc>
        <w:tc>
          <w:tcPr>
            <w:tcW w:w="425" w:type="dxa"/>
            <w:tcBorders>
              <w:top w:val="single" w:sz="6" w:space="0" w:color="auto"/>
              <w:left w:val="single" w:sz="6" w:space="0" w:color="auto"/>
              <w:bottom w:val="single" w:sz="6" w:space="0" w:color="auto"/>
              <w:right w:val="single" w:sz="6" w:space="0" w:color="auto"/>
            </w:tcBorders>
          </w:tcPr>
          <w:p w14:paraId="6EEF6927" w14:textId="77777777" w:rsidR="00B653C2" w:rsidRDefault="00B653C2" w:rsidP="00B653C2">
            <w:pPr>
              <w:widowControl w:val="0"/>
              <w:autoSpaceDE w:val="0"/>
              <w:autoSpaceDN w:val="0"/>
              <w:adjustRightInd w:val="0"/>
              <w:jc w:val="center"/>
              <w:rPr>
                <w:b/>
                <w:bCs/>
                <w:sz w:val="16"/>
                <w:szCs w:val="16"/>
              </w:rPr>
            </w:pPr>
            <w:r>
              <w:rPr>
                <w:b/>
                <w:bCs/>
                <w:sz w:val="16"/>
                <w:szCs w:val="16"/>
              </w:rPr>
              <w:t>53</w:t>
            </w:r>
          </w:p>
        </w:tc>
      </w:tr>
      <w:tr w:rsidR="00B653C2" w14:paraId="0E3B3E5B" w14:textId="77777777" w:rsidTr="00536B14">
        <w:tc>
          <w:tcPr>
            <w:tcW w:w="642" w:type="dxa"/>
            <w:tcBorders>
              <w:top w:val="single" w:sz="6" w:space="0" w:color="auto"/>
              <w:left w:val="single" w:sz="6" w:space="0" w:color="auto"/>
              <w:bottom w:val="single" w:sz="6" w:space="0" w:color="auto"/>
              <w:right w:val="single" w:sz="6" w:space="0" w:color="auto"/>
            </w:tcBorders>
          </w:tcPr>
          <w:p w14:paraId="6EC13469" w14:textId="77777777" w:rsidR="00B653C2" w:rsidRDefault="00B653C2" w:rsidP="00B653C2">
            <w:pPr>
              <w:keepNext/>
              <w:widowControl w:val="0"/>
              <w:autoSpaceDE w:val="0"/>
              <w:autoSpaceDN w:val="0"/>
              <w:adjustRightInd w:val="0"/>
              <w:spacing w:after="100"/>
              <w:jc w:val="center"/>
              <w:rPr>
                <w:b/>
                <w:bCs/>
                <w:sz w:val="16"/>
                <w:szCs w:val="16"/>
              </w:rPr>
            </w:pPr>
            <w:r>
              <w:rPr>
                <w:b/>
                <w:bCs/>
                <w:sz w:val="16"/>
                <w:szCs w:val="16"/>
              </w:rPr>
              <w:t>6&lt;</w:t>
            </w:r>
          </w:p>
        </w:tc>
        <w:tc>
          <w:tcPr>
            <w:tcW w:w="567" w:type="dxa"/>
            <w:tcBorders>
              <w:top w:val="single" w:sz="6" w:space="0" w:color="auto"/>
              <w:left w:val="single" w:sz="6" w:space="0" w:color="auto"/>
              <w:bottom w:val="single" w:sz="6" w:space="0" w:color="auto"/>
              <w:right w:val="single" w:sz="6" w:space="0" w:color="auto"/>
            </w:tcBorders>
          </w:tcPr>
          <w:p w14:paraId="05049902"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1.55</w:t>
            </w:r>
            <w:r>
              <w:rPr>
                <w:b/>
                <w:bCs/>
                <w:sz w:val="16"/>
                <w:szCs w:val="16"/>
              </w:rPr>
              <w:t>0</w:t>
            </w:r>
          </w:p>
        </w:tc>
        <w:tc>
          <w:tcPr>
            <w:tcW w:w="426" w:type="dxa"/>
            <w:tcBorders>
              <w:top w:val="single" w:sz="6" w:space="0" w:color="auto"/>
              <w:left w:val="single" w:sz="6" w:space="0" w:color="auto"/>
              <w:bottom w:val="single" w:sz="6" w:space="0" w:color="auto"/>
              <w:right w:val="single" w:sz="6" w:space="0" w:color="auto"/>
            </w:tcBorders>
          </w:tcPr>
          <w:p w14:paraId="1C6E94C1"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9,7</w:t>
            </w:r>
          </w:p>
        </w:tc>
        <w:tc>
          <w:tcPr>
            <w:tcW w:w="425" w:type="dxa"/>
            <w:tcBorders>
              <w:top w:val="single" w:sz="6" w:space="0" w:color="auto"/>
              <w:left w:val="single" w:sz="6" w:space="0" w:color="auto"/>
              <w:bottom w:val="single" w:sz="6" w:space="0" w:color="auto"/>
              <w:right w:val="single" w:sz="6" w:space="0" w:color="auto"/>
            </w:tcBorders>
          </w:tcPr>
          <w:p w14:paraId="594D7E56" w14:textId="77777777" w:rsidR="00B653C2" w:rsidRPr="00260720" w:rsidRDefault="00B653C2" w:rsidP="00B653C2">
            <w:pPr>
              <w:widowControl w:val="0"/>
              <w:autoSpaceDE w:val="0"/>
              <w:autoSpaceDN w:val="0"/>
              <w:adjustRightInd w:val="0"/>
              <w:spacing w:after="100"/>
              <w:jc w:val="center"/>
              <w:rPr>
                <w:b/>
                <w:bCs/>
                <w:sz w:val="16"/>
                <w:szCs w:val="16"/>
              </w:rPr>
            </w:pPr>
            <w:r>
              <w:rPr>
                <w:b/>
                <w:bCs/>
                <w:sz w:val="16"/>
                <w:szCs w:val="16"/>
              </w:rPr>
              <w:t>“</w:t>
            </w:r>
          </w:p>
        </w:tc>
        <w:tc>
          <w:tcPr>
            <w:tcW w:w="567" w:type="dxa"/>
            <w:tcBorders>
              <w:top w:val="single" w:sz="6" w:space="0" w:color="auto"/>
              <w:left w:val="single" w:sz="6" w:space="0" w:color="auto"/>
              <w:bottom w:val="single" w:sz="6" w:space="0" w:color="auto"/>
              <w:right w:val="single" w:sz="6" w:space="0" w:color="auto"/>
            </w:tcBorders>
          </w:tcPr>
          <w:p w14:paraId="0CF49B5D"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1.006</w:t>
            </w:r>
          </w:p>
        </w:tc>
        <w:tc>
          <w:tcPr>
            <w:tcW w:w="567" w:type="dxa"/>
            <w:tcBorders>
              <w:top w:val="single" w:sz="6" w:space="0" w:color="auto"/>
              <w:left w:val="single" w:sz="6" w:space="0" w:color="auto"/>
              <w:bottom w:val="single" w:sz="6" w:space="0" w:color="auto"/>
              <w:right w:val="single" w:sz="6" w:space="0" w:color="auto"/>
            </w:tcBorders>
          </w:tcPr>
          <w:p w14:paraId="1EF8E467"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6"/>
                <w:szCs w:val="16"/>
              </w:rPr>
              <w:t>5,4</w:t>
            </w:r>
          </w:p>
        </w:tc>
        <w:tc>
          <w:tcPr>
            <w:tcW w:w="425" w:type="dxa"/>
            <w:tcBorders>
              <w:top w:val="single" w:sz="6" w:space="0" w:color="auto"/>
              <w:left w:val="single" w:sz="6" w:space="0" w:color="auto"/>
              <w:bottom w:val="single" w:sz="6" w:space="0" w:color="auto"/>
              <w:right w:val="single" w:sz="6" w:space="0" w:color="auto"/>
            </w:tcBorders>
          </w:tcPr>
          <w:p w14:paraId="4D5EFDF0"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65</w:t>
            </w:r>
          </w:p>
        </w:tc>
        <w:tc>
          <w:tcPr>
            <w:tcW w:w="567" w:type="dxa"/>
            <w:tcBorders>
              <w:top w:val="single" w:sz="6" w:space="0" w:color="auto"/>
              <w:left w:val="single" w:sz="6" w:space="0" w:color="auto"/>
              <w:bottom w:val="single" w:sz="6" w:space="0" w:color="auto"/>
              <w:right w:val="single" w:sz="6" w:space="0" w:color="auto"/>
            </w:tcBorders>
          </w:tcPr>
          <w:p w14:paraId="5040B4B5"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678</w:t>
            </w:r>
          </w:p>
        </w:tc>
        <w:tc>
          <w:tcPr>
            <w:tcW w:w="425" w:type="dxa"/>
            <w:tcBorders>
              <w:top w:val="single" w:sz="6" w:space="0" w:color="auto"/>
              <w:left w:val="single" w:sz="6" w:space="0" w:color="auto"/>
              <w:bottom w:val="single" w:sz="6" w:space="0" w:color="auto"/>
              <w:right w:val="single" w:sz="6" w:space="0" w:color="auto"/>
            </w:tcBorders>
          </w:tcPr>
          <w:p w14:paraId="5D615965"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3,4</w:t>
            </w:r>
          </w:p>
        </w:tc>
        <w:tc>
          <w:tcPr>
            <w:tcW w:w="426" w:type="dxa"/>
            <w:tcBorders>
              <w:top w:val="single" w:sz="6" w:space="0" w:color="auto"/>
              <w:left w:val="single" w:sz="6" w:space="0" w:color="auto"/>
              <w:bottom w:val="single" w:sz="6" w:space="0" w:color="auto"/>
              <w:right w:val="single" w:sz="6" w:space="0" w:color="auto"/>
            </w:tcBorders>
          </w:tcPr>
          <w:p w14:paraId="7AAF6921"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43</w:t>
            </w:r>
          </w:p>
        </w:tc>
        <w:tc>
          <w:tcPr>
            <w:tcW w:w="567" w:type="dxa"/>
            <w:tcBorders>
              <w:top w:val="single" w:sz="6" w:space="0" w:color="auto"/>
              <w:left w:val="single" w:sz="6" w:space="0" w:color="auto"/>
              <w:bottom w:val="single" w:sz="6" w:space="0" w:color="auto"/>
              <w:right w:val="single" w:sz="6" w:space="0" w:color="auto"/>
            </w:tcBorders>
          </w:tcPr>
          <w:p w14:paraId="36611757"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370</w:t>
            </w:r>
          </w:p>
        </w:tc>
        <w:tc>
          <w:tcPr>
            <w:tcW w:w="425" w:type="dxa"/>
            <w:tcBorders>
              <w:top w:val="single" w:sz="6" w:space="0" w:color="auto"/>
              <w:left w:val="single" w:sz="6" w:space="0" w:color="auto"/>
              <w:bottom w:val="single" w:sz="6" w:space="0" w:color="auto"/>
              <w:right w:val="single" w:sz="6" w:space="0" w:color="auto"/>
            </w:tcBorders>
          </w:tcPr>
          <w:p w14:paraId="45C9444A"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1,7</w:t>
            </w:r>
          </w:p>
        </w:tc>
        <w:tc>
          <w:tcPr>
            <w:tcW w:w="425" w:type="dxa"/>
            <w:tcBorders>
              <w:top w:val="single" w:sz="6" w:space="0" w:color="auto"/>
              <w:left w:val="single" w:sz="6" w:space="0" w:color="auto"/>
              <w:bottom w:val="single" w:sz="6" w:space="0" w:color="auto"/>
              <w:right w:val="single" w:sz="6" w:space="0" w:color="auto"/>
            </w:tcBorders>
          </w:tcPr>
          <w:p w14:paraId="554DA2FF" w14:textId="77777777" w:rsidR="00B653C2" w:rsidRDefault="00B653C2" w:rsidP="00B653C2">
            <w:pPr>
              <w:widowControl w:val="0"/>
              <w:autoSpaceDE w:val="0"/>
              <w:autoSpaceDN w:val="0"/>
              <w:adjustRightInd w:val="0"/>
              <w:jc w:val="center"/>
              <w:rPr>
                <w:b/>
                <w:bCs/>
                <w:sz w:val="16"/>
                <w:szCs w:val="16"/>
              </w:rPr>
            </w:pPr>
            <w:r>
              <w:rPr>
                <w:b/>
                <w:bCs/>
                <w:sz w:val="16"/>
                <w:szCs w:val="16"/>
              </w:rPr>
              <w:t>24</w:t>
            </w:r>
          </w:p>
        </w:tc>
        <w:tc>
          <w:tcPr>
            <w:tcW w:w="567" w:type="dxa"/>
            <w:tcBorders>
              <w:top w:val="single" w:sz="6" w:space="0" w:color="auto"/>
              <w:left w:val="single" w:sz="6" w:space="0" w:color="auto"/>
              <w:bottom w:val="single" w:sz="6" w:space="0" w:color="auto"/>
              <w:right w:val="single" w:sz="6" w:space="0" w:color="auto"/>
            </w:tcBorders>
          </w:tcPr>
          <w:p w14:paraId="1E7301DB" w14:textId="77777777" w:rsidR="00B653C2" w:rsidRDefault="00B653C2" w:rsidP="00B653C2">
            <w:pPr>
              <w:widowControl w:val="0"/>
              <w:autoSpaceDE w:val="0"/>
              <w:autoSpaceDN w:val="0"/>
              <w:adjustRightInd w:val="0"/>
              <w:jc w:val="center"/>
              <w:rPr>
                <w:b/>
                <w:bCs/>
                <w:sz w:val="16"/>
                <w:szCs w:val="16"/>
              </w:rPr>
            </w:pPr>
            <w:r>
              <w:rPr>
                <w:b/>
                <w:bCs/>
                <w:sz w:val="16"/>
                <w:szCs w:val="16"/>
              </w:rPr>
              <w:t>319</w:t>
            </w:r>
          </w:p>
        </w:tc>
        <w:tc>
          <w:tcPr>
            <w:tcW w:w="425" w:type="dxa"/>
            <w:tcBorders>
              <w:top w:val="single" w:sz="6" w:space="0" w:color="auto"/>
              <w:left w:val="single" w:sz="6" w:space="0" w:color="auto"/>
              <w:bottom w:val="single" w:sz="6" w:space="0" w:color="auto"/>
              <w:right w:val="single" w:sz="6" w:space="0" w:color="auto"/>
            </w:tcBorders>
          </w:tcPr>
          <w:p w14:paraId="3D1AF3A5" w14:textId="77777777" w:rsidR="00B653C2" w:rsidRDefault="00B653C2" w:rsidP="00B653C2">
            <w:pPr>
              <w:widowControl w:val="0"/>
              <w:autoSpaceDE w:val="0"/>
              <w:autoSpaceDN w:val="0"/>
              <w:adjustRightInd w:val="0"/>
              <w:jc w:val="center"/>
              <w:rPr>
                <w:b/>
                <w:bCs/>
                <w:sz w:val="16"/>
                <w:szCs w:val="16"/>
              </w:rPr>
            </w:pPr>
            <w:r>
              <w:rPr>
                <w:b/>
                <w:bCs/>
                <w:sz w:val="16"/>
                <w:szCs w:val="16"/>
              </w:rPr>
              <w:t>1,3</w:t>
            </w:r>
          </w:p>
        </w:tc>
        <w:tc>
          <w:tcPr>
            <w:tcW w:w="426" w:type="dxa"/>
            <w:tcBorders>
              <w:top w:val="single" w:sz="6" w:space="0" w:color="auto"/>
              <w:left w:val="single" w:sz="6" w:space="0" w:color="auto"/>
              <w:bottom w:val="single" w:sz="6" w:space="0" w:color="auto"/>
              <w:right w:val="single" w:sz="6" w:space="0" w:color="auto"/>
            </w:tcBorders>
          </w:tcPr>
          <w:p w14:paraId="4E01C68D" w14:textId="77777777" w:rsidR="00B653C2" w:rsidRDefault="00B653C2" w:rsidP="00B653C2">
            <w:pPr>
              <w:widowControl w:val="0"/>
              <w:autoSpaceDE w:val="0"/>
              <w:autoSpaceDN w:val="0"/>
              <w:adjustRightInd w:val="0"/>
              <w:jc w:val="center"/>
              <w:rPr>
                <w:b/>
                <w:bCs/>
                <w:sz w:val="16"/>
                <w:szCs w:val="16"/>
              </w:rPr>
            </w:pPr>
            <w:r>
              <w:rPr>
                <w:b/>
                <w:bCs/>
                <w:sz w:val="16"/>
                <w:szCs w:val="16"/>
              </w:rPr>
              <w:t>20</w:t>
            </w:r>
          </w:p>
        </w:tc>
        <w:tc>
          <w:tcPr>
            <w:tcW w:w="567" w:type="dxa"/>
            <w:tcBorders>
              <w:top w:val="single" w:sz="6" w:space="0" w:color="auto"/>
              <w:left w:val="single" w:sz="6" w:space="0" w:color="auto"/>
              <w:bottom w:val="single" w:sz="6" w:space="0" w:color="auto"/>
              <w:right w:val="single" w:sz="6" w:space="0" w:color="auto"/>
            </w:tcBorders>
          </w:tcPr>
          <w:p w14:paraId="352ADF3F" w14:textId="77777777" w:rsidR="00B653C2" w:rsidRDefault="00B653C2" w:rsidP="00B653C2">
            <w:pPr>
              <w:widowControl w:val="0"/>
              <w:autoSpaceDE w:val="0"/>
              <w:autoSpaceDN w:val="0"/>
              <w:adjustRightInd w:val="0"/>
              <w:jc w:val="center"/>
              <w:rPr>
                <w:b/>
                <w:bCs/>
                <w:sz w:val="16"/>
                <w:szCs w:val="16"/>
              </w:rPr>
            </w:pPr>
            <w:r>
              <w:rPr>
                <w:b/>
                <w:bCs/>
                <w:sz w:val="16"/>
                <w:szCs w:val="16"/>
              </w:rPr>
              <w:t>308</w:t>
            </w:r>
          </w:p>
        </w:tc>
        <w:tc>
          <w:tcPr>
            <w:tcW w:w="425" w:type="dxa"/>
            <w:tcBorders>
              <w:top w:val="single" w:sz="6" w:space="0" w:color="auto"/>
              <w:left w:val="single" w:sz="6" w:space="0" w:color="auto"/>
              <w:bottom w:val="single" w:sz="6" w:space="0" w:color="auto"/>
              <w:right w:val="single" w:sz="6" w:space="0" w:color="auto"/>
            </w:tcBorders>
          </w:tcPr>
          <w:p w14:paraId="48C34D6D" w14:textId="77777777" w:rsidR="00B653C2" w:rsidRDefault="00B653C2" w:rsidP="00B653C2">
            <w:pPr>
              <w:widowControl w:val="0"/>
              <w:autoSpaceDE w:val="0"/>
              <w:autoSpaceDN w:val="0"/>
              <w:adjustRightInd w:val="0"/>
              <w:jc w:val="center"/>
              <w:rPr>
                <w:b/>
                <w:bCs/>
                <w:sz w:val="16"/>
                <w:szCs w:val="16"/>
              </w:rPr>
            </w:pPr>
            <w:r>
              <w:rPr>
                <w:b/>
                <w:bCs/>
                <w:sz w:val="16"/>
                <w:szCs w:val="16"/>
              </w:rPr>
              <w:t>1,2</w:t>
            </w:r>
          </w:p>
        </w:tc>
        <w:tc>
          <w:tcPr>
            <w:tcW w:w="425" w:type="dxa"/>
            <w:tcBorders>
              <w:top w:val="single" w:sz="6" w:space="0" w:color="auto"/>
              <w:left w:val="single" w:sz="6" w:space="0" w:color="auto"/>
              <w:bottom w:val="single" w:sz="6" w:space="0" w:color="auto"/>
              <w:right w:val="single" w:sz="6" w:space="0" w:color="auto"/>
            </w:tcBorders>
          </w:tcPr>
          <w:p w14:paraId="077E2AC3" w14:textId="77777777" w:rsidR="00B653C2" w:rsidRDefault="00B653C2" w:rsidP="00B653C2">
            <w:pPr>
              <w:widowControl w:val="0"/>
              <w:autoSpaceDE w:val="0"/>
              <w:autoSpaceDN w:val="0"/>
              <w:adjustRightInd w:val="0"/>
              <w:jc w:val="center"/>
              <w:rPr>
                <w:b/>
                <w:bCs/>
                <w:sz w:val="16"/>
                <w:szCs w:val="16"/>
              </w:rPr>
            </w:pPr>
            <w:r>
              <w:rPr>
                <w:b/>
                <w:bCs/>
                <w:sz w:val="16"/>
                <w:szCs w:val="16"/>
              </w:rPr>
              <w:t>20</w:t>
            </w:r>
          </w:p>
        </w:tc>
      </w:tr>
      <w:tr w:rsidR="00B653C2" w14:paraId="3D5CEFE3" w14:textId="77777777" w:rsidTr="00536B14">
        <w:tc>
          <w:tcPr>
            <w:tcW w:w="642" w:type="dxa"/>
            <w:tcBorders>
              <w:top w:val="single" w:sz="6" w:space="0" w:color="auto"/>
              <w:left w:val="single" w:sz="6" w:space="0" w:color="auto"/>
              <w:bottom w:val="single" w:sz="6" w:space="0" w:color="auto"/>
              <w:right w:val="single" w:sz="6" w:space="0" w:color="auto"/>
            </w:tcBorders>
          </w:tcPr>
          <w:p w14:paraId="11D3CF6D" w14:textId="71D82B67" w:rsidR="00B653C2" w:rsidRDefault="00B653C2" w:rsidP="00B653C2">
            <w:pPr>
              <w:keepNext/>
              <w:widowControl w:val="0"/>
              <w:autoSpaceDE w:val="0"/>
              <w:autoSpaceDN w:val="0"/>
              <w:adjustRightInd w:val="0"/>
              <w:spacing w:after="100"/>
              <w:jc w:val="center"/>
              <w:rPr>
                <w:b/>
                <w:bCs/>
                <w:sz w:val="16"/>
                <w:szCs w:val="16"/>
              </w:rPr>
            </w:pPr>
            <w:r>
              <w:rPr>
                <w:b/>
                <w:bCs/>
                <w:sz w:val="16"/>
                <w:szCs w:val="16"/>
              </w:rPr>
              <w:t>Totale</w:t>
            </w:r>
          </w:p>
        </w:tc>
        <w:tc>
          <w:tcPr>
            <w:tcW w:w="567" w:type="dxa"/>
            <w:tcBorders>
              <w:top w:val="single" w:sz="6" w:space="0" w:color="auto"/>
              <w:left w:val="single" w:sz="6" w:space="0" w:color="auto"/>
              <w:bottom w:val="single" w:sz="6" w:space="0" w:color="auto"/>
              <w:right w:val="single" w:sz="6" w:space="0" w:color="auto"/>
            </w:tcBorders>
          </w:tcPr>
          <w:p w14:paraId="05C93C14" w14:textId="77777777" w:rsidR="00B653C2" w:rsidRPr="00260720" w:rsidRDefault="00B653C2" w:rsidP="00B653C2">
            <w:pPr>
              <w:widowControl w:val="0"/>
              <w:autoSpaceDE w:val="0"/>
              <w:autoSpaceDN w:val="0"/>
              <w:adjustRightInd w:val="0"/>
              <w:spacing w:after="100"/>
              <w:jc w:val="center"/>
              <w:rPr>
                <w:b/>
                <w:bCs/>
                <w:sz w:val="14"/>
                <w:szCs w:val="14"/>
              </w:rPr>
            </w:pPr>
            <w:r w:rsidRPr="00260720">
              <w:rPr>
                <w:b/>
                <w:bCs/>
                <w:sz w:val="14"/>
                <w:szCs w:val="14"/>
              </w:rPr>
              <w:t>15.981</w:t>
            </w:r>
          </w:p>
        </w:tc>
        <w:tc>
          <w:tcPr>
            <w:tcW w:w="426" w:type="dxa"/>
            <w:tcBorders>
              <w:top w:val="single" w:sz="6" w:space="0" w:color="auto"/>
              <w:left w:val="single" w:sz="6" w:space="0" w:color="auto"/>
              <w:bottom w:val="single" w:sz="6" w:space="0" w:color="auto"/>
              <w:right w:val="single" w:sz="6" w:space="0" w:color="auto"/>
            </w:tcBorders>
          </w:tcPr>
          <w:p w14:paraId="14127694" w14:textId="77777777" w:rsidR="00B653C2" w:rsidRPr="00260720" w:rsidRDefault="00B653C2" w:rsidP="00B653C2">
            <w:pPr>
              <w:widowControl w:val="0"/>
              <w:autoSpaceDE w:val="0"/>
              <w:autoSpaceDN w:val="0"/>
              <w:adjustRightInd w:val="0"/>
              <w:spacing w:after="100"/>
              <w:jc w:val="center"/>
              <w:rPr>
                <w:b/>
                <w:bCs/>
                <w:sz w:val="12"/>
                <w:szCs w:val="12"/>
              </w:rPr>
            </w:pPr>
            <w:r w:rsidRPr="00260720">
              <w:rPr>
                <w:b/>
                <w:bCs/>
                <w:sz w:val="12"/>
                <w:szCs w:val="12"/>
              </w:rPr>
              <w:t>100,0</w:t>
            </w:r>
          </w:p>
        </w:tc>
        <w:tc>
          <w:tcPr>
            <w:tcW w:w="425" w:type="dxa"/>
            <w:tcBorders>
              <w:top w:val="single" w:sz="6" w:space="0" w:color="auto"/>
              <w:left w:val="single" w:sz="6" w:space="0" w:color="auto"/>
              <w:bottom w:val="single" w:sz="6" w:space="0" w:color="auto"/>
              <w:right w:val="single" w:sz="6" w:space="0" w:color="auto"/>
            </w:tcBorders>
          </w:tcPr>
          <w:p w14:paraId="235BBECB" w14:textId="77777777" w:rsidR="00B653C2" w:rsidRPr="00260720" w:rsidRDefault="00B653C2" w:rsidP="00B653C2">
            <w:pPr>
              <w:widowControl w:val="0"/>
              <w:autoSpaceDE w:val="0"/>
              <w:autoSpaceDN w:val="0"/>
              <w:adjustRightInd w:val="0"/>
              <w:spacing w:after="100"/>
              <w:jc w:val="center"/>
              <w:rPr>
                <w:b/>
                <w:bCs/>
                <w:sz w:val="16"/>
                <w:szCs w:val="16"/>
              </w:rPr>
            </w:pPr>
          </w:p>
        </w:tc>
        <w:tc>
          <w:tcPr>
            <w:tcW w:w="567" w:type="dxa"/>
            <w:tcBorders>
              <w:top w:val="single" w:sz="6" w:space="0" w:color="auto"/>
              <w:left w:val="single" w:sz="6" w:space="0" w:color="auto"/>
              <w:bottom w:val="single" w:sz="6" w:space="0" w:color="auto"/>
              <w:right w:val="single" w:sz="6" w:space="0" w:color="auto"/>
            </w:tcBorders>
          </w:tcPr>
          <w:p w14:paraId="11B33FF9" w14:textId="77777777" w:rsidR="00B653C2" w:rsidRPr="00260720" w:rsidRDefault="00B653C2" w:rsidP="00B653C2">
            <w:pPr>
              <w:widowControl w:val="0"/>
              <w:autoSpaceDE w:val="0"/>
              <w:autoSpaceDN w:val="0"/>
              <w:adjustRightInd w:val="0"/>
              <w:spacing w:after="100"/>
              <w:jc w:val="center"/>
              <w:rPr>
                <w:b/>
                <w:bCs/>
                <w:sz w:val="14"/>
                <w:szCs w:val="14"/>
              </w:rPr>
            </w:pPr>
            <w:r w:rsidRPr="00260720">
              <w:rPr>
                <w:b/>
                <w:bCs/>
                <w:sz w:val="14"/>
                <w:szCs w:val="14"/>
              </w:rPr>
              <w:t>18.632</w:t>
            </w:r>
          </w:p>
        </w:tc>
        <w:tc>
          <w:tcPr>
            <w:tcW w:w="567" w:type="dxa"/>
            <w:tcBorders>
              <w:top w:val="single" w:sz="6" w:space="0" w:color="auto"/>
              <w:left w:val="single" w:sz="6" w:space="0" w:color="auto"/>
              <w:bottom w:val="single" w:sz="6" w:space="0" w:color="auto"/>
              <w:right w:val="single" w:sz="6" w:space="0" w:color="auto"/>
            </w:tcBorders>
          </w:tcPr>
          <w:p w14:paraId="24A9FF36" w14:textId="77777777" w:rsidR="00B653C2" w:rsidRPr="00260720" w:rsidRDefault="00B653C2" w:rsidP="00B653C2">
            <w:pPr>
              <w:widowControl w:val="0"/>
              <w:autoSpaceDE w:val="0"/>
              <w:autoSpaceDN w:val="0"/>
              <w:adjustRightInd w:val="0"/>
              <w:spacing w:after="100"/>
              <w:jc w:val="center"/>
              <w:rPr>
                <w:b/>
                <w:bCs/>
                <w:sz w:val="16"/>
                <w:szCs w:val="16"/>
              </w:rPr>
            </w:pPr>
            <w:r w:rsidRPr="00260720">
              <w:rPr>
                <w:b/>
                <w:bCs/>
                <w:sz w:val="12"/>
                <w:szCs w:val="12"/>
              </w:rPr>
              <w:t>100,0</w:t>
            </w:r>
          </w:p>
        </w:tc>
        <w:tc>
          <w:tcPr>
            <w:tcW w:w="425" w:type="dxa"/>
            <w:tcBorders>
              <w:top w:val="single" w:sz="6" w:space="0" w:color="auto"/>
              <w:left w:val="single" w:sz="6" w:space="0" w:color="auto"/>
              <w:bottom w:val="single" w:sz="6" w:space="0" w:color="auto"/>
              <w:right w:val="single" w:sz="6" w:space="0" w:color="auto"/>
            </w:tcBorders>
          </w:tcPr>
          <w:p w14:paraId="28B08699"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116</w:t>
            </w:r>
          </w:p>
        </w:tc>
        <w:tc>
          <w:tcPr>
            <w:tcW w:w="567" w:type="dxa"/>
            <w:tcBorders>
              <w:top w:val="single" w:sz="6" w:space="0" w:color="auto"/>
              <w:left w:val="single" w:sz="6" w:space="0" w:color="auto"/>
              <w:bottom w:val="single" w:sz="6" w:space="0" w:color="auto"/>
              <w:right w:val="single" w:sz="6" w:space="0" w:color="auto"/>
            </w:tcBorders>
          </w:tcPr>
          <w:p w14:paraId="1728561B" w14:textId="77777777" w:rsidR="00B653C2" w:rsidRPr="00260720" w:rsidRDefault="00B653C2" w:rsidP="00B653C2">
            <w:pPr>
              <w:widowControl w:val="0"/>
              <w:autoSpaceDE w:val="0"/>
              <w:autoSpaceDN w:val="0"/>
              <w:adjustRightInd w:val="0"/>
              <w:jc w:val="center"/>
              <w:rPr>
                <w:b/>
                <w:bCs/>
                <w:sz w:val="14"/>
                <w:szCs w:val="14"/>
              </w:rPr>
            </w:pPr>
            <w:r w:rsidRPr="00260720">
              <w:rPr>
                <w:b/>
                <w:bCs/>
                <w:sz w:val="14"/>
                <w:szCs w:val="14"/>
              </w:rPr>
              <w:t>19.909</w:t>
            </w:r>
          </w:p>
        </w:tc>
        <w:tc>
          <w:tcPr>
            <w:tcW w:w="425" w:type="dxa"/>
            <w:tcBorders>
              <w:top w:val="single" w:sz="6" w:space="0" w:color="auto"/>
              <w:left w:val="single" w:sz="6" w:space="0" w:color="auto"/>
              <w:bottom w:val="single" w:sz="6" w:space="0" w:color="auto"/>
              <w:right w:val="single" w:sz="6" w:space="0" w:color="auto"/>
            </w:tcBorders>
          </w:tcPr>
          <w:p w14:paraId="017BF7F8" w14:textId="77777777" w:rsidR="00B653C2" w:rsidRPr="00260720" w:rsidRDefault="00B653C2" w:rsidP="00B653C2">
            <w:pPr>
              <w:widowControl w:val="0"/>
              <w:autoSpaceDE w:val="0"/>
              <w:autoSpaceDN w:val="0"/>
              <w:adjustRightInd w:val="0"/>
              <w:jc w:val="center"/>
              <w:rPr>
                <w:b/>
                <w:bCs/>
                <w:sz w:val="16"/>
                <w:szCs w:val="16"/>
              </w:rPr>
            </w:pPr>
            <w:r w:rsidRPr="00260720">
              <w:rPr>
                <w:b/>
                <w:bCs/>
                <w:sz w:val="12"/>
                <w:szCs w:val="12"/>
              </w:rPr>
              <w:t>100,0</w:t>
            </w:r>
          </w:p>
        </w:tc>
        <w:tc>
          <w:tcPr>
            <w:tcW w:w="426" w:type="dxa"/>
            <w:tcBorders>
              <w:top w:val="single" w:sz="6" w:space="0" w:color="auto"/>
              <w:left w:val="single" w:sz="6" w:space="0" w:color="auto"/>
              <w:bottom w:val="single" w:sz="6" w:space="0" w:color="auto"/>
              <w:right w:val="single" w:sz="6" w:space="0" w:color="auto"/>
            </w:tcBorders>
          </w:tcPr>
          <w:p w14:paraId="0BE49461" w14:textId="77777777" w:rsidR="00B653C2" w:rsidRPr="00260720" w:rsidRDefault="00B653C2" w:rsidP="00B653C2">
            <w:pPr>
              <w:widowControl w:val="0"/>
              <w:autoSpaceDE w:val="0"/>
              <w:autoSpaceDN w:val="0"/>
              <w:adjustRightInd w:val="0"/>
              <w:jc w:val="center"/>
              <w:rPr>
                <w:b/>
                <w:bCs/>
                <w:sz w:val="16"/>
                <w:szCs w:val="16"/>
              </w:rPr>
            </w:pPr>
            <w:r w:rsidRPr="00260720">
              <w:rPr>
                <w:b/>
                <w:bCs/>
                <w:sz w:val="16"/>
                <w:szCs w:val="16"/>
              </w:rPr>
              <w:t>124</w:t>
            </w:r>
          </w:p>
        </w:tc>
        <w:tc>
          <w:tcPr>
            <w:tcW w:w="567" w:type="dxa"/>
            <w:tcBorders>
              <w:top w:val="single" w:sz="6" w:space="0" w:color="auto"/>
              <w:left w:val="single" w:sz="6" w:space="0" w:color="auto"/>
              <w:bottom w:val="single" w:sz="6" w:space="0" w:color="auto"/>
              <w:right w:val="single" w:sz="6" w:space="0" w:color="auto"/>
            </w:tcBorders>
          </w:tcPr>
          <w:p w14:paraId="5B1CF1F4" w14:textId="77777777" w:rsidR="00B653C2" w:rsidRPr="0004040B" w:rsidRDefault="00B653C2" w:rsidP="00B653C2">
            <w:pPr>
              <w:widowControl w:val="0"/>
              <w:autoSpaceDE w:val="0"/>
              <w:autoSpaceDN w:val="0"/>
              <w:adjustRightInd w:val="0"/>
              <w:jc w:val="center"/>
              <w:rPr>
                <w:b/>
                <w:bCs/>
                <w:sz w:val="14"/>
                <w:szCs w:val="14"/>
              </w:rPr>
            </w:pPr>
            <w:r w:rsidRPr="0004040B">
              <w:rPr>
                <w:b/>
                <w:bCs/>
                <w:sz w:val="14"/>
                <w:szCs w:val="14"/>
              </w:rPr>
              <w:t>21.811</w:t>
            </w:r>
          </w:p>
        </w:tc>
        <w:tc>
          <w:tcPr>
            <w:tcW w:w="425" w:type="dxa"/>
            <w:tcBorders>
              <w:top w:val="single" w:sz="6" w:space="0" w:color="auto"/>
              <w:left w:val="single" w:sz="6" w:space="0" w:color="auto"/>
              <w:bottom w:val="single" w:sz="6" w:space="0" w:color="auto"/>
              <w:right w:val="single" w:sz="6" w:space="0" w:color="auto"/>
            </w:tcBorders>
          </w:tcPr>
          <w:p w14:paraId="007B0323" w14:textId="77777777" w:rsidR="00B653C2" w:rsidRPr="00260720" w:rsidRDefault="00B653C2" w:rsidP="00B653C2">
            <w:pPr>
              <w:widowControl w:val="0"/>
              <w:autoSpaceDE w:val="0"/>
              <w:autoSpaceDN w:val="0"/>
              <w:adjustRightInd w:val="0"/>
              <w:jc w:val="center"/>
              <w:rPr>
                <w:b/>
                <w:bCs/>
                <w:sz w:val="16"/>
                <w:szCs w:val="16"/>
              </w:rPr>
            </w:pPr>
            <w:r w:rsidRPr="00260720">
              <w:rPr>
                <w:b/>
                <w:bCs/>
                <w:sz w:val="12"/>
                <w:szCs w:val="12"/>
              </w:rPr>
              <w:t>100,0</w:t>
            </w:r>
          </w:p>
        </w:tc>
        <w:tc>
          <w:tcPr>
            <w:tcW w:w="425" w:type="dxa"/>
            <w:tcBorders>
              <w:top w:val="single" w:sz="6" w:space="0" w:color="auto"/>
              <w:left w:val="single" w:sz="6" w:space="0" w:color="auto"/>
              <w:bottom w:val="single" w:sz="6" w:space="0" w:color="auto"/>
              <w:right w:val="single" w:sz="6" w:space="0" w:color="auto"/>
            </w:tcBorders>
          </w:tcPr>
          <w:p w14:paraId="0A33F749" w14:textId="77777777" w:rsidR="00B653C2" w:rsidRDefault="00B653C2" w:rsidP="00B653C2">
            <w:pPr>
              <w:widowControl w:val="0"/>
              <w:autoSpaceDE w:val="0"/>
              <w:autoSpaceDN w:val="0"/>
              <w:adjustRightInd w:val="0"/>
              <w:jc w:val="center"/>
              <w:rPr>
                <w:b/>
                <w:bCs/>
                <w:sz w:val="16"/>
                <w:szCs w:val="16"/>
              </w:rPr>
            </w:pPr>
            <w:r>
              <w:rPr>
                <w:b/>
                <w:bCs/>
                <w:sz w:val="16"/>
                <w:szCs w:val="16"/>
              </w:rPr>
              <w:t>136</w:t>
            </w:r>
          </w:p>
        </w:tc>
        <w:tc>
          <w:tcPr>
            <w:tcW w:w="567" w:type="dxa"/>
            <w:tcBorders>
              <w:top w:val="single" w:sz="6" w:space="0" w:color="auto"/>
              <w:left w:val="single" w:sz="6" w:space="0" w:color="auto"/>
              <w:bottom w:val="single" w:sz="6" w:space="0" w:color="auto"/>
              <w:right w:val="single" w:sz="6" w:space="0" w:color="auto"/>
            </w:tcBorders>
          </w:tcPr>
          <w:p w14:paraId="06A26D63" w14:textId="77777777" w:rsidR="00B653C2" w:rsidRPr="0004040B" w:rsidRDefault="00B653C2" w:rsidP="00B653C2">
            <w:pPr>
              <w:widowControl w:val="0"/>
              <w:autoSpaceDE w:val="0"/>
              <w:autoSpaceDN w:val="0"/>
              <w:adjustRightInd w:val="0"/>
              <w:jc w:val="center"/>
              <w:rPr>
                <w:b/>
                <w:bCs/>
                <w:sz w:val="14"/>
                <w:szCs w:val="14"/>
              </w:rPr>
            </w:pPr>
            <w:r w:rsidRPr="0004040B">
              <w:rPr>
                <w:b/>
                <w:bCs/>
                <w:sz w:val="14"/>
                <w:szCs w:val="14"/>
              </w:rPr>
              <w:t>24.512</w:t>
            </w:r>
          </w:p>
        </w:tc>
        <w:tc>
          <w:tcPr>
            <w:tcW w:w="425" w:type="dxa"/>
            <w:tcBorders>
              <w:top w:val="single" w:sz="6" w:space="0" w:color="auto"/>
              <w:left w:val="single" w:sz="6" w:space="0" w:color="auto"/>
              <w:bottom w:val="single" w:sz="6" w:space="0" w:color="auto"/>
              <w:right w:val="single" w:sz="6" w:space="0" w:color="auto"/>
            </w:tcBorders>
          </w:tcPr>
          <w:p w14:paraId="204B20FB" w14:textId="77777777" w:rsidR="00B653C2" w:rsidRPr="0004040B" w:rsidRDefault="00B653C2" w:rsidP="00B653C2">
            <w:pPr>
              <w:widowControl w:val="0"/>
              <w:autoSpaceDE w:val="0"/>
              <w:autoSpaceDN w:val="0"/>
              <w:adjustRightInd w:val="0"/>
              <w:jc w:val="center"/>
              <w:rPr>
                <w:b/>
                <w:bCs/>
                <w:sz w:val="14"/>
                <w:szCs w:val="14"/>
              </w:rPr>
            </w:pPr>
            <w:r w:rsidRPr="00260720">
              <w:rPr>
                <w:b/>
                <w:bCs/>
                <w:sz w:val="12"/>
                <w:szCs w:val="12"/>
              </w:rPr>
              <w:t>100,0</w:t>
            </w:r>
          </w:p>
        </w:tc>
        <w:tc>
          <w:tcPr>
            <w:tcW w:w="426" w:type="dxa"/>
            <w:tcBorders>
              <w:top w:val="single" w:sz="6" w:space="0" w:color="auto"/>
              <w:left w:val="single" w:sz="6" w:space="0" w:color="auto"/>
              <w:bottom w:val="single" w:sz="6" w:space="0" w:color="auto"/>
              <w:right w:val="single" w:sz="6" w:space="0" w:color="auto"/>
            </w:tcBorders>
          </w:tcPr>
          <w:p w14:paraId="7D3D0D3E" w14:textId="77777777" w:rsidR="00B653C2" w:rsidRPr="0004040B" w:rsidRDefault="00B653C2" w:rsidP="00B653C2">
            <w:pPr>
              <w:widowControl w:val="0"/>
              <w:autoSpaceDE w:val="0"/>
              <w:autoSpaceDN w:val="0"/>
              <w:adjustRightInd w:val="0"/>
              <w:jc w:val="center"/>
              <w:rPr>
                <w:b/>
                <w:bCs/>
                <w:sz w:val="14"/>
                <w:szCs w:val="14"/>
              </w:rPr>
            </w:pPr>
            <w:r>
              <w:rPr>
                <w:b/>
                <w:bCs/>
                <w:sz w:val="14"/>
                <w:szCs w:val="14"/>
              </w:rPr>
              <w:t>153</w:t>
            </w:r>
          </w:p>
        </w:tc>
        <w:tc>
          <w:tcPr>
            <w:tcW w:w="567" w:type="dxa"/>
            <w:tcBorders>
              <w:top w:val="single" w:sz="6" w:space="0" w:color="auto"/>
              <w:left w:val="single" w:sz="6" w:space="0" w:color="auto"/>
              <w:bottom w:val="single" w:sz="6" w:space="0" w:color="auto"/>
              <w:right w:val="single" w:sz="6" w:space="0" w:color="auto"/>
            </w:tcBorders>
          </w:tcPr>
          <w:p w14:paraId="2A31F3BB" w14:textId="77777777" w:rsidR="00B653C2" w:rsidRDefault="00B653C2" w:rsidP="00B653C2">
            <w:pPr>
              <w:widowControl w:val="0"/>
              <w:autoSpaceDE w:val="0"/>
              <w:autoSpaceDN w:val="0"/>
              <w:adjustRightInd w:val="0"/>
              <w:jc w:val="center"/>
              <w:rPr>
                <w:b/>
                <w:bCs/>
                <w:sz w:val="14"/>
                <w:szCs w:val="14"/>
              </w:rPr>
            </w:pPr>
            <w:r>
              <w:rPr>
                <w:b/>
                <w:bCs/>
                <w:sz w:val="14"/>
                <w:szCs w:val="14"/>
              </w:rPr>
              <w:t>25.594</w:t>
            </w:r>
          </w:p>
        </w:tc>
        <w:tc>
          <w:tcPr>
            <w:tcW w:w="425" w:type="dxa"/>
            <w:tcBorders>
              <w:top w:val="single" w:sz="6" w:space="0" w:color="auto"/>
              <w:left w:val="single" w:sz="6" w:space="0" w:color="auto"/>
              <w:bottom w:val="single" w:sz="6" w:space="0" w:color="auto"/>
              <w:right w:val="single" w:sz="6" w:space="0" w:color="auto"/>
            </w:tcBorders>
          </w:tcPr>
          <w:p w14:paraId="596013E4" w14:textId="77777777" w:rsidR="00B653C2" w:rsidRDefault="00B653C2" w:rsidP="00B653C2">
            <w:pPr>
              <w:widowControl w:val="0"/>
              <w:autoSpaceDE w:val="0"/>
              <w:autoSpaceDN w:val="0"/>
              <w:adjustRightInd w:val="0"/>
              <w:jc w:val="center"/>
              <w:rPr>
                <w:b/>
                <w:bCs/>
                <w:sz w:val="14"/>
                <w:szCs w:val="14"/>
              </w:rPr>
            </w:pPr>
            <w:r w:rsidRPr="00260720">
              <w:rPr>
                <w:b/>
                <w:bCs/>
                <w:sz w:val="12"/>
                <w:szCs w:val="12"/>
              </w:rPr>
              <w:t>100,0</w:t>
            </w:r>
          </w:p>
        </w:tc>
        <w:tc>
          <w:tcPr>
            <w:tcW w:w="425" w:type="dxa"/>
            <w:tcBorders>
              <w:top w:val="single" w:sz="6" w:space="0" w:color="auto"/>
              <w:left w:val="single" w:sz="6" w:space="0" w:color="auto"/>
              <w:bottom w:val="single" w:sz="6" w:space="0" w:color="auto"/>
              <w:right w:val="single" w:sz="6" w:space="0" w:color="auto"/>
            </w:tcBorders>
          </w:tcPr>
          <w:p w14:paraId="55E7EC31" w14:textId="77777777" w:rsidR="00B653C2" w:rsidRDefault="00B653C2" w:rsidP="00B653C2">
            <w:pPr>
              <w:widowControl w:val="0"/>
              <w:autoSpaceDE w:val="0"/>
              <w:autoSpaceDN w:val="0"/>
              <w:adjustRightInd w:val="0"/>
              <w:jc w:val="center"/>
              <w:rPr>
                <w:b/>
                <w:bCs/>
                <w:sz w:val="14"/>
                <w:szCs w:val="14"/>
              </w:rPr>
            </w:pPr>
            <w:r>
              <w:rPr>
                <w:b/>
                <w:bCs/>
                <w:sz w:val="14"/>
                <w:szCs w:val="14"/>
              </w:rPr>
              <w:t>160</w:t>
            </w:r>
          </w:p>
        </w:tc>
      </w:tr>
    </w:tbl>
    <w:p w14:paraId="684ABEB8" w14:textId="77777777" w:rsidR="00B653C2" w:rsidRDefault="00B653C2" w:rsidP="00105B78">
      <w:pPr>
        <w:jc w:val="both"/>
        <w:rPr>
          <w:b/>
          <w:sz w:val="16"/>
        </w:rPr>
      </w:pPr>
    </w:p>
    <w:p w14:paraId="4D7CE21B" w14:textId="77777777" w:rsidR="00B653C2" w:rsidRDefault="00B653C2" w:rsidP="00105B78">
      <w:pPr>
        <w:jc w:val="both"/>
        <w:rPr>
          <w:b/>
          <w:sz w:val="16"/>
        </w:rPr>
      </w:pPr>
    </w:p>
    <w:bookmarkEnd w:id="0"/>
    <w:p w14:paraId="05F2F4EF" w14:textId="77777777" w:rsidR="00105B78" w:rsidRDefault="00105B78" w:rsidP="00105B78">
      <w:pPr>
        <w:ind w:left="360"/>
        <w:jc w:val="both"/>
      </w:pPr>
    </w:p>
    <w:p w14:paraId="54AB37E2" w14:textId="77777777" w:rsidR="00105B78" w:rsidRDefault="00105B78" w:rsidP="00105B78">
      <w:pPr>
        <w:ind w:left="360"/>
        <w:jc w:val="both"/>
        <w:rPr>
          <w:sz w:val="16"/>
        </w:rPr>
      </w:pPr>
    </w:p>
    <w:p w14:paraId="478BC8BF" w14:textId="0DF38974" w:rsidR="00105B78" w:rsidRPr="00C0320B" w:rsidRDefault="00105B78" w:rsidP="00105B78">
      <w:pPr>
        <w:ind w:left="360"/>
        <w:jc w:val="both"/>
        <w:rPr>
          <w:b/>
          <w:bCs/>
        </w:rPr>
      </w:pPr>
      <w:r w:rsidRPr="00C0320B">
        <w:rPr>
          <w:b/>
          <w:bCs/>
        </w:rPr>
        <w:t xml:space="preserve">§ </w:t>
      </w:r>
      <w:r w:rsidR="00187A93">
        <w:rPr>
          <w:b/>
          <w:bCs/>
        </w:rPr>
        <w:t xml:space="preserve">Le </w:t>
      </w:r>
      <w:r w:rsidRPr="00C0320B">
        <w:rPr>
          <w:b/>
          <w:bCs/>
        </w:rPr>
        <w:t>Tabell</w:t>
      </w:r>
      <w:r w:rsidR="00187A93">
        <w:rPr>
          <w:b/>
          <w:bCs/>
        </w:rPr>
        <w:t xml:space="preserve">e sono </w:t>
      </w:r>
      <w:r w:rsidRPr="00C0320B">
        <w:rPr>
          <w:b/>
          <w:bCs/>
        </w:rPr>
        <w:t xml:space="preserve"> elaborat</w:t>
      </w:r>
      <w:r w:rsidR="00187A93">
        <w:rPr>
          <w:b/>
          <w:bCs/>
        </w:rPr>
        <w:t>e</w:t>
      </w:r>
      <w:r w:rsidRPr="00C0320B">
        <w:rPr>
          <w:b/>
          <w:bCs/>
        </w:rPr>
        <w:t xml:space="preserve"> dall’autore su dati ISTAT</w:t>
      </w:r>
    </w:p>
    <w:p w14:paraId="37321D74" w14:textId="77777777" w:rsidR="00105B78" w:rsidRDefault="00105B78" w:rsidP="005D15AA">
      <w:pPr>
        <w:jc w:val="both"/>
        <w:rPr>
          <w:sz w:val="24"/>
        </w:rPr>
      </w:pPr>
    </w:p>
    <w:p w14:paraId="09F61DEC" w14:textId="68D8CD17" w:rsidR="008D3C85" w:rsidRDefault="005212AC" w:rsidP="008D3C85">
      <w:pPr>
        <w:pStyle w:val="Corpodeltesto3"/>
        <w:jc w:val="both"/>
        <w:rPr>
          <w:b/>
          <w:u w:val="single"/>
        </w:rPr>
      </w:pPr>
      <w:r w:rsidRPr="00C0320B">
        <w:rPr>
          <w:b/>
          <w:bCs/>
        </w:rPr>
        <w:t>Il dato relativo allo stato della  popolazione ai censimenti che intercorrono dal 1971 al 2021, correlato ai dati relativi al numero delle famiglie, mette ancor più in evidenza l’aumento delle famiglie (a fronte della diminuzione media dei componenti) rispetto alla media di aumento della popolazione nel suo complesso, come si evince dalla tabella seguente.</w:t>
      </w:r>
    </w:p>
    <w:p w14:paraId="069982BF" w14:textId="77777777" w:rsidR="00B653C2" w:rsidRDefault="00B653C2" w:rsidP="00105B78">
      <w:pPr>
        <w:jc w:val="both"/>
        <w:rPr>
          <w:b/>
          <w:u w:val="single"/>
        </w:rPr>
      </w:pPr>
    </w:p>
    <w:p w14:paraId="1D4B070C" w14:textId="77777777" w:rsidR="00B653C2" w:rsidRDefault="00B653C2" w:rsidP="00105B78">
      <w:pPr>
        <w:jc w:val="both"/>
        <w:rPr>
          <w:b/>
          <w:u w:val="single"/>
        </w:rPr>
      </w:pPr>
    </w:p>
    <w:p w14:paraId="32D48B9F" w14:textId="77777777" w:rsidR="00B653C2" w:rsidRDefault="00B653C2" w:rsidP="00105B78">
      <w:pPr>
        <w:jc w:val="both"/>
        <w:rPr>
          <w:b/>
          <w:u w:val="single"/>
        </w:rPr>
      </w:pPr>
    </w:p>
    <w:p w14:paraId="7279980B" w14:textId="77777777" w:rsidR="00B653C2" w:rsidRDefault="00B653C2" w:rsidP="00105B78">
      <w:pPr>
        <w:jc w:val="both"/>
        <w:rPr>
          <w:b/>
          <w:u w:val="single"/>
        </w:rPr>
      </w:pPr>
    </w:p>
    <w:p w14:paraId="2AF499B0" w14:textId="77777777" w:rsidR="00B653C2" w:rsidRDefault="00B653C2" w:rsidP="00105B78">
      <w:pPr>
        <w:jc w:val="both"/>
        <w:rPr>
          <w:b/>
          <w:u w:val="single"/>
        </w:rPr>
      </w:pPr>
    </w:p>
    <w:p w14:paraId="48374326" w14:textId="3DCADFB3" w:rsidR="00105B78" w:rsidRDefault="00105B78" w:rsidP="00105B78">
      <w:pPr>
        <w:jc w:val="both"/>
        <w:rPr>
          <w:b/>
          <w:u w:val="single"/>
        </w:rPr>
      </w:pPr>
      <w:r>
        <w:rPr>
          <w:b/>
          <w:u w:val="single"/>
        </w:rPr>
        <w:lastRenderedPageBreak/>
        <w:t xml:space="preserve">TAB 2 </w:t>
      </w:r>
    </w:p>
    <w:p w14:paraId="0B17D3F6" w14:textId="77777777" w:rsidR="00105B78" w:rsidRDefault="00105B78" w:rsidP="00105B78">
      <w:pPr>
        <w:jc w:val="both"/>
        <w:rPr>
          <w:b/>
          <w:u w:val="single"/>
        </w:rPr>
      </w:pPr>
    </w:p>
    <w:p w14:paraId="2C2B3EF6" w14:textId="76871114" w:rsidR="00105B78" w:rsidRDefault="00105B78" w:rsidP="008D3C85">
      <w:pPr>
        <w:spacing w:line="20" w:lineRule="atLeast"/>
        <w:jc w:val="both"/>
        <w:rPr>
          <w:b/>
          <w:u w:val="single"/>
        </w:rPr>
      </w:pPr>
      <w:bookmarkStart w:id="1" w:name="_Hlk105062816"/>
      <w:r>
        <w:rPr>
          <w:b/>
          <w:u w:val="single"/>
        </w:rPr>
        <w:t>Popolazione residente ai censimenti 1971-2021 e  numero delle famiglie</w:t>
      </w:r>
      <w:r w:rsidR="009D3C51">
        <w:rPr>
          <w:b/>
          <w:u w:val="single"/>
        </w:rPr>
        <w:t xml:space="preserve"> (in migliaia)</w:t>
      </w:r>
    </w:p>
    <w:p w14:paraId="3A472915" w14:textId="77777777" w:rsidR="00105B78" w:rsidRPr="00C0320B" w:rsidRDefault="00105B78" w:rsidP="008D3C85">
      <w:pPr>
        <w:spacing w:line="20" w:lineRule="atLeast"/>
        <w:jc w:val="both"/>
        <w:rPr>
          <w:b/>
          <w:bCs/>
          <w:u w:val="single"/>
        </w:rPr>
      </w:pPr>
      <w:r w:rsidRPr="00C0320B">
        <w:rPr>
          <w:b/>
          <w:bCs/>
        </w:rPr>
        <w:t xml:space="preserve">       </w:t>
      </w:r>
      <w:r w:rsidRPr="00C0320B">
        <w:rPr>
          <w:b/>
          <w:bCs/>
          <w:u w:val="single"/>
        </w:rPr>
        <w:t>popolazione    numero indice     famiglie  numero indice</w:t>
      </w:r>
    </w:p>
    <w:p w14:paraId="56FFD615" w14:textId="77777777" w:rsidR="00105B78" w:rsidRPr="00C0320B" w:rsidRDefault="00105B78" w:rsidP="00105B78">
      <w:pPr>
        <w:jc w:val="both"/>
        <w:rPr>
          <w:b/>
          <w:bCs/>
          <w:u w:val="single"/>
        </w:rPr>
      </w:pPr>
      <w:r w:rsidRPr="00C0320B">
        <w:rPr>
          <w:b/>
          <w:bCs/>
          <w:u w:val="single"/>
        </w:rPr>
        <w:t xml:space="preserve">                               1971=100                           1971=100      </w:t>
      </w:r>
    </w:p>
    <w:p w14:paraId="29241C16" w14:textId="77777777" w:rsidR="00105B78" w:rsidRPr="00C0320B" w:rsidRDefault="00105B78" w:rsidP="00105B78">
      <w:pPr>
        <w:jc w:val="both"/>
        <w:rPr>
          <w:rFonts w:asciiTheme="minorHAnsi" w:hAnsiTheme="minorHAnsi" w:cstheme="minorHAnsi"/>
          <w:b/>
          <w:bCs/>
          <w:sz w:val="22"/>
          <w:szCs w:val="22"/>
          <w:u w:val="single"/>
        </w:rPr>
      </w:pPr>
      <w:bookmarkStart w:id="2" w:name="_Hlk103856402"/>
      <w:r w:rsidRPr="00C0320B">
        <w:rPr>
          <w:rFonts w:asciiTheme="minorHAnsi" w:hAnsiTheme="minorHAnsi" w:cstheme="minorHAnsi"/>
          <w:b/>
          <w:bCs/>
          <w:sz w:val="22"/>
          <w:szCs w:val="22"/>
          <w:u w:val="single"/>
        </w:rPr>
        <w:t>1971      54.137          100                  15.981        100</w:t>
      </w:r>
    </w:p>
    <w:p w14:paraId="69564B03" w14:textId="77777777" w:rsidR="00105B78" w:rsidRPr="00C0320B" w:rsidRDefault="00105B78" w:rsidP="00105B78">
      <w:pPr>
        <w:jc w:val="both"/>
        <w:rPr>
          <w:rFonts w:asciiTheme="minorHAnsi" w:hAnsiTheme="minorHAnsi" w:cstheme="minorHAnsi"/>
          <w:b/>
          <w:bCs/>
          <w:sz w:val="22"/>
          <w:szCs w:val="22"/>
          <w:u w:val="single"/>
        </w:rPr>
      </w:pPr>
      <w:r w:rsidRPr="00C0320B">
        <w:rPr>
          <w:rFonts w:asciiTheme="minorHAnsi" w:hAnsiTheme="minorHAnsi" w:cstheme="minorHAnsi"/>
          <w:b/>
          <w:bCs/>
          <w:sz w:val="22"/>
          <w:szCs w:val="22"/>
          <w:u w:val="single"/>
        </w:rPr>
        <w:t>1981      56.557          104                  18.632        116</w:t>
      </w:r>
    </w:p>
    <w:p w14:paraId="2E8895D2" w14:textId="77777777" w:rsidR="00105B78" w:rsidRPr="00C0320B" w:rsidRDefault="00105B78" w:rsidP="00105B78">
      <w:pPr>
        <w:jc w:val="both"/>
        <w:rPr>
          <w:rFonts w:asciiTheme="minorHAnsi" w:hAnsiTheme="minorHAnsi" w:cstheme="minorHAnsi"/>
          <w:b/>
          <w:bCs/>
          <w:sz w:val="22"/>
          <w:szCs w:val="22"/>
          <w:u w:val="single"/>
        </w:rPr>
      </w:pPr>
      <w:r w:rsidRPr="00C0320B">
        <w:rPr>
          <w:rFonts w:asciiTheme="minorHAnsi" w:hAnsiTheme="minorHAnsi" w:cstheme="minorHAnsi"/>
          <w:b/>
          <w:bCs/>
          <w:sz w:val="22"/>
          <w:szCs w:val="22"/>
          <w:u w:val="single"/>
        </w:rPr>
        <w:t>1991      56.778          104                 19.909         124</w:t>
      </w:r>
    </w:p>
    <w:p w14:paraId="48E86A10" w14:textId="77777777" w:rsidR="00105B78" w:rsidRPr="00C0320B" w:rsidRDefault="00105B78" w:rsidP="00105B78">
      <w:pPr>
        <w:jc w:val="both"/>
        <w:rPr>
          <w:rFonts w:asciiTheme="minorHAnsi" w:hAnsiTheme="minorHAnsi" w:cstheme="minorHAnsi"/>
          <w:b/>
          <w:bCs/>
          <w:sz w:val="22"/>
          <w:szCs w:val="22"/>
          <w:u w:val="single"/>
        </w:rPr>
      </w:pPr>
      <w:r w:rsidRPr="00C0320B">
        <w:rPr>
          <w:rFonts w:asciiTheme="minorHAnsi" w:hAnsiTheme="minorHAnsi" w:cstheme="minorHAnsi"/>
          <w:b/>
          <w:bCs/>
          <w:sz w:val="22"/>
          <w:szCs w:val="22"/>
          <w:u w:val="single"/>
        </w:rPr>
        <w:t>2001      56.996          105                 21.811         136</w:t>
      </w:r>
    </w:p>
    <w:p w14:paraId="1739BA50" w14:textId="77777777" w:rsidR="00105B78" w:rsidRPr="00C0320B" w:rsidRDefault="00105B78" w:rsidP="00105B78">
      <w:pPr>
        <w:jc w:val="both"/>
        <w:rPr>
          <w:rFonts w:asciiTheme="minorHAnsi" w:hAnsiTheme="minorHAnsi" w:cstheme="minorHAnsi"/>
          <w:b/>
          <w:bCs/>
          <w:sz w:val="22"/>
          <w:szCs w:val="22"/>
        </w:rPr>
      </w:pPr>
      <w:r w:rsidRPr="00C0320B">
        <w:rPr>
          <w:rFonts w:asciiTheme="minorHAnsi" w:hAnsiTheme="minorHAnsi" w:cstheme="minorHAnsi"/>
          <w:b/>
          <w:bCs/>
          <w:sz w:val="22"/>
          <w:szCs w:val="22"/>
          <w:u w:val="single"/>
        </w:rPr>
        <w:t xml:space="preserve">2011      </w:t>
      </w:r>
      <w:r w:rsidRPr="00C0320B">
        <w:rPr>
          <w:rFonts w:asciiTheme="minorHAnsi" w:hAnsiTheme="minorHAnsi" w:cstheme="minorHAnsi"/>
          <w:b/>
          <w:bCs/>
          <w:color w:val="333333"/>
          <w:sz w:val="22"/>
          <w:szCs w:val="22"/>
          <w:shd w:val="clear" w:color="auto" w:fill="FFFFFF"/>
        </w:rPr>
        <w:t xml:space="preserve">59.433          109                 </w:t>
      </w:r>
      <w:r w:rsidRPr="00C0320B">
        <w:rPr>
          <w:rFonts w:asciiTheme="minorHAnsi" w:hAnsiTheme="minorHAnsi" w:cstheme="minorHAnsi"/>
          <w:b/>
          <w:bCs/>
          <w:sz w:val="22"/>
          <w:szCs w:val="22"/>
        </w:rPr>
        <w:t>24.512         153</w:t>
      </w:r>
    </w:p>
    <w:p w14:paraId="1CAD4204" w14:textId="77777777" w:rsidR="00105B78" w:rsidRPr="00C0320B" w:rsidRDefault="00105B78" w:rsidP="00105B78">
      <w:pPr>
        <w:jc w:val="both"/>
        <w:rPr>
          <w:rFonts w:asciiTheme="minorHAnsi" w:hAnsiTheme="minorHAnsi" w:cstheme="minorHAnsi"/>
          <w:b/>
          <w:bCs/>
          <w:sz w:val="22"/>
          <w:szCs w:val="22"/>
          <w:u w:val="single"/>
        </w:rPr>
      </w:pPr>
      <w:r w:rsidRPr="00C0320B">
        <w:rPr>
          <w:rFonts w:asciiTheme="minorHAnsi" w:hAnsiTheme="minorHAnsi" w:cstheme="minorHAnsi"/>
          <w:b/>
          <w:bCs/>
          <w:sz w:val="22"/>
          <w:szCs w:val="22"/>
        </w:rPr>
        <w:t xml:space="preserve">2021      58.983   </w:t>
      </w:r>
      <w:r w:rsidRPr="00C0320B">
        <w:rPr>
          <w:rFonts w:asciiTheme="minorHAnsi" w:hAnsiTheme="minorHAnsi" w:cstheme="minorHAnsi"/>
          <w:b/>
          <w:bCs/>
          <w:color w:val="333333"/>
          <w:sz w:val="22"/>
          <w:szCs w:val="22"/>
          <w:shd w:val="clear" w:color="auto" w:fill="FFFFFF"/>
        </w:rPr>
        <w:t xml:space="preserve">       108                 </w:t>
      </w:r>
      <w:r w:rsidRPr="00C0320B">
        <w:rPr>
          <w:rFonts w:asciiTheme="minorHAnsi" w:hAnsiTheme="minorHAnsi" w:cstheme="minorHAnsi"/>
          <w:b/>
          <w:bCs/>
          <w:sz w:val="22"/>
          <w:szCs w:val="22"/>
        </w:rPr>
        <w:t>25.594         160</w:t>
      </w:r>
      <w:bookmarkEnd w:id="2"/>
    </w:p>
    <w:bookmarkEnd w:id="1"/>
    <w:p w14:paraId="3DCA5AB6" w14:textId="77777777" w:rsidR="00105B78" w:rsidRDefault="00105B78" w:rsidP="00105B78">
      <w:pPr>
        <w:jc w:val="both"/>
        <w:rPr>
          <w:u w:val="single"/>
        </w:rPr>
      </w:pPr>
    </w:p>
    <w:p w14:paraId="62175EEA" w14:textId="77777777" w:rsidR="00B653C2" w:rsidRPr="00C0320B" w:rsidRDefault="00B653C2" w:rsidP="00B653C2">
      <w:pPr>
        <w:ind w:left="360"/>
        <w:jc w:val="both"/>
        <w:rPr>
          <w:b/>
          <w:bCs/>
        </w:rPr>
      </w:pPr>
      <w:r w:rsidRPr="00C0320B">
        <w:rPr>
          <w:b/>
          <w:bCs/>
        </w:rPr>
        <w:t xml:space="preserve">§ </w:t>
      </w:r>
      <w:r>
        <w:rPr>
          <w:b/>
          <w:bCs/>
        </w:rPr>
        <w:t xml:space="preserve">Le </w:t>
      </w:r>
      <w:r w:rsidRPr="00C0320B">
        <w:rPr>
          <w:b/>
          <w:bCs/>
        </w:rPr>
        <w:t>Tabell</w:t>
      </w:r>
      <w:r>
        <w:rPr>
          <w:b/>
          <w:bCs/>
        </w:rPr>
        <w:t xml:space="preserve">e sono </w:t>
      </w:r>
      <w:r w:rsidRPr="00C0320B">
        <w:rPr>
          <w:b/>
          <w:bCs/>
        </w:rPr>
        <w:t xml:space="preserve"> elaborat</w:t>
      </w:r>
      <w:r>
        <w:rPr>
          <w:b/>
          <w:bCs/>
        </w:rPr>
        <w:t>e</w:t>
      </w:r>
      <w:r w:rsidRPr="00C0320B">
        <w:rPr>
          <w:b/>
          <w:bCs/>
        </w:rPr>
        <w:t xml:space="preserve"> dall’autore su dati ISTAT</w:t>
      </w:r>
    </w:p>
    <w:p w14:paraId="35A12FB8" w14:textId="77777777" w:rsidR="00B653C2" w:rsidRDefault="00B653C2" w:rsidP="00B653C2">
      <w:pPr>
        <w:jc w:val="both"/>
        <w:rPr>
          <w:sz w:val="24"/>
        </w:rPr>
      </w:pPr>
    </w:p>
    <w:p w14:paraId="1706C7FE" w14:textId="77777777" w:rsidR="00105B78" w:rsidRDefault="00105B78" w:rsidP="00105B78">
      <w:pPr>
        <w:ind w:left="120"/>
        <w:jc w:val="both"/>
      </w:pPr>
    </w:p>
    <w:p w14:paraId="30DD18B7" w14:textId="2D09FB06" w:rsidR="009D3C51" w:rsidRDefault="009D3C51" w:rsidP="00105B78">
      <w:pPr>
        <w:ind w:left="120"/>
        <w:jc w:val="both"/>
        <w:rPr>
          <w:sz w:val="16"/>
        </w:rPr>
      </w:pPr>
    </w:p>
    <w:p w14:paraId="72EFE726" w14:textId="78839210" w:rsidR="009D3C51" w:rsidRDefault="009D3C51" w:rsidP="00105B78">
      <w:pPr>
        <w:ind w:left="120"/>
        <w:jc w:val="both"/>
        <w:rPr>
          <w:sz w:val="16"/>
        </w:rPr>
      </w:pPr>
    </w:p>
    <w:p w14:paraId="5352E865" w14:textId="2AFAD777" w:rsidR="005212AC" w:rsidRPr="00C0320B" w:rsidRDefault="009D3C51" w:rsidP="009D3C51">
      <w:pPr>
        <w:pStyle w:val="Paragrafoelenco"/>
        <w:numPr>
          <w:ilvl w:val="0"/>
          <w:numId w:val="11"/>
        </w:numPr>
        <w:jc w:val="both"/>
        <w:rPr>
          <w:rFonts w:asciiTheme="minorHAnsi" w:hAnsiTheme="minorHAnsi" w:cstheme="minorHAnsi"/>
          <w:b/>
          <w:bCs/>
          <w:sz w:val="24"/>
          <w:szCs w:val="24"/>
        </w:rPr>
      </w:pPr>
      <w:r w:rsidRPr="00C0320B">
        <w:rPr>
          <w:rFonts w:asciiTheme="minorHAnsi" w:hAnsiTheme="minorHAnsi" w:cstheme="minorHAnsi"/>
          <w:b/>
          <w:bCs/>
          <w:sz w:val="24"/>
          <w:szCs w:val="24"/>
        </w:rPr>
        <w:t xml:space="preserve">La popolazione italiana, nel corso di cinquanta anni è cresciuta dell’8%. </w:t>
      </w:r>
      <w:r w:rsidR="00C0320B">
        <w:rPr>
          <w:rFonts w:asciiTheme="minorHAnsi" w:hAnsiTheme="minorHAnsi" w:cstheme="minorHAnsi"/>
          <w:b/>
          <w:bCs/>
          <w:sz w:val="24"/>
          <w:szCs w:val="24"/>
        </w:rPr>
        <w:t>Rispetto al 2011 si registra un preoccupante calo di 450 mila unità.</w:t>
      </w:r>
    </w:p>
    <w:p w14:paraId="546A4EB5" w14:textId="0D5A5C1C" w:rsidR="005212AC" w:rsidRDefault="005212AC" w:rsidP="00105B78">
      <w:pPr>
        <w:ind w:left="120"/>
        <w:jc w:val="both"/>
        <w:rPr>
          <w:sz w:val="16"/>
        </w:rPr>
      </w:pPr>
    </w:p>
    <w:p w14:paraId="5E8C564B" w14:textId="48D756F5" w:rsidR="005212AC" w:rsidRDefault="005212AC" w:rsidP="00105B78">
      <w:pPr>
        <w:ind w:left="120"/>
        <w:jc w:val="both"/>
        <w:rPr>
          <w:sz w:val="16"/>
        </w:rPr>
      </w:pPr>
      <w:r>
        <w:rPr>
          <w:noProof/>
        </w:rPr>
        <w:drawing>
          <wp:inline distT="0" distB="0" distL="0" distR="0" wp14:anchorId="082FDB6F" wp14:editId="0B76DE91">
            <wp:extent cx="5486400" cy="3200400"/>
            <wp:effectExtent l="0" t="0" r="0" b="0"/>
            <wp:docPr id="12" name="Grafico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76743C8" w14:textId="77777777" w:rsidR="00105B78" w:rsidRDefault="00105B78" w:rsidP="00105B78">
      <w:pPr>
        <w:ind w:left="120"/>
        <w:jc w:val="both"/>
        <w:rPr>
          <w:sz w:val="16"/>
        </w:rPr>
      </w:pPr>
    </w:p>
    <w:p w14:paraId="6FA0126A" w14:textId="77777777" w:rsidR="00105B78" w:rsidRDefault="00105B78" w:rsidP="00105B78">
      <w:pPr>
        <w:ind w:left="120"/>
        <w:jc w:val="both"/>
        <w:rPr>
          <w:sz w:val="16"/>
        </w:rPr>
      </w:pPr>
    </w:p>
    <w:p w14:paraId="6AEF66A3" w14:textId="77777777" w:rsidR="00105B78" w:rsidRDefault="00105B78" w:rsidP="00105B78">
      <w:pPr>
        <w:jc w:val="both"/>
        <w:rPr>
          <w:sz w:val="24"/>
        </w:rPr>
      </w:pPr>
    </w:p>
    <w:p w14:paraId="024B2176" w14:textId="3DA4CA5A" w:rsidR="001B1C19" w:rsidRPr="00C0320B" w:rsidRDefault="001B1C19" w:rsidP="001B1C19">
      <w:pPr>
        <w:ind w:left="360"/>
        <w:jc w:val="both"/>
        <w:rPr>
          <w:b/>
          <w:bCs/>
        </w:rPr>
      </w:pPr>
      <w:r w:rsidRPr="00C0320B">
        <w:rPr>
          <w:b/>
          <w:bCs/>
        </w:rPr>
        <w:t xml:space="preserve">§ </w:t>
      </w:r>
      <w:r>
        <w:rPr>
          <w:b/>
          <w:bCs/>
        </w:rPr>
        <w:t xml:space="preserve">I  grafici </w:t>
      </w:r>
      <w:r>
        <w:rPr>
          <w:b/>
          <w:bCs/>
        </w:rPr>
        <w:t xml:space="preserve"> sono </w:t>
      </w:r>
      <w:r w:rsidRPr="00C0320B">
        <w:rPr>
          <w:b/>
          <w:bCs/>
        </w:rPr>
        <w:t xml:space="preserve"> elaborat</w:t>
      </w:r>
      <w:r>
        <w:rPr>
          <w:b/>
          <w:bCs/>
        </w:rPr>
        <w:t>i</w:t>
      </w:r>
      <w:r w:rsidRPr="00C0320B">
        <w:rPr>
          <w:b/>
          <w:bCs/>
        </w:rPr>
        <w:t xml:space="preserve"> dall’autore su dati ISTAT</w:t>
      </w:r>
    </w:p>
    <w:p w14:paraId="7D417E69" w14:textId="77777777" w:rsidR="00105B78" w:rsidRDefault="00105B78" w:rsidP="00105B78">
      <w:pPr>
        <w:jc w:val="both"/>
        <w:rPr>
          <w:sz w:val="24"/>
        </w:rPr>
      </w:pPr>
    </w:p>
    <w:p w14:paraId="22F46735" w14:textId="77777777" w:rsidR="00B653C2" w:rsidRDefault="00B653C2" w:rsidP="005D15AA">
      <w:pPr>
        <w:jc w:val="both"/>
        <w:rPr>
          <w:b/>
          <w:bCs/>
          <w:sz w:val="24"/>
        </w:rPr>
      </w:pPr>
    </w:p>
    <w:p w14:paraId="4114FAE2" w14:textId="77777777" w:rsidR="00B653C2" w:rsidRDefault="00B653C2" w:rsidP="005D15AA">
      <w:pPr>
        <w:jc w:val="both"/>
        <w:rPr>
          <w:b/>
          <w:bCs/>
          <w:sz w:val="24"/>
        </w:rPr>
      </w:pPr>
    </w:p>
    <w:p w14:paraId="08603D14" w14:textId="77777777" w:rsidR="00B653C2" w:rsidRDefault="00B653C2" w:rsidP="005D15AA">
      <w:pPr>
        <w:jc w:val="both"/>
        <w:rPr>
          <w:b/>
          <w:bCs/>
          <w:sz w:val="24"/>
        </w:rPr>
      </w:pPr>
    </w:p>
    <w:p w14:paraId="6680499A" w14:textId="77777777" w:rsidR="00B653C2" w:rsidRDefault="00B653C2" w:rsidP="005D15AA">
      <w:pPr>
        <w:jc w:val="both"/>
        <w:rPr>
          <w:b/>
          <w:bCs/>
          <w:sz w:val="24"/>
        </w:rPr>
      </w:pPr>
    </w:p>
    <w:p w14:paraId="752F4D3D" w14:textId="77777777" w:rsidR="00B653C2" w:rsidRDefault="00B653C2" w:rsidP="005D15AA">
      <w:pPr>
        <w:jc w:val="both"/>
        <w:rPr>
          <w:b/>
          <w:bCs/>
          <w:sz w:val="24"/>
        </w:rPr>
      </w:pPr>
    </w:p>
    <w:p w14:paraId="1B6C16B1" w14:textId="77777777" w:rsidR="00B653C2" w:rsidRDefault="00B653C2" w:rsidP="005D15AA">
      <w:pPr>
        <w:jc w:val="both"/>
        <w:rPr>
          <w:b/>
          <w:bCs/>
          <w:sz w:val="24"/>
        </w:rPr>
      </w:pPr>
    </w:p>
    <w:p w14:paraId="0A856D40" w14:textId="77777777" w:rsidR="00B653C2" w:rsidRDefault="00B653C2" w:rsidP="005D15AA">
      <w:pPr>
        <w:jc w:val="both"/>
        <w:rPr>
          <w:b/>
          <w:bCs/>
          <w:sz w:val="24"/>
        </w:rPr>
      </w:pPr>
    </w:p>
    <w:p w14:paraId="5A08B644" w14:textId="77777777" w:rsidR="00B653C2" w:rsidRDefault="00B653C2" w:rsidP="005D15AA">
      <w:pPr>
        <w:jc w:val="both"/>
        <w:rPr>
          <w:b/>
          <w:bCs/>
          <w:sz w:val="24"/>
        </w:rPr>
      </w:pPr>
    </w:p>
    <w:p w14:paraId="47848A6B" w14:textId="77777777" w:rsidR="00B653C2" w:rsidRDefault="00B653C2" w:rsidP="005D15AA">
      <w:pPr>
        <w:jc w:val="both"/>
        <w:rPr>
          <w:b/>
          <w:bCs/>
          <w:sz w:val="24"/>
        </w:rPr>
      </w:pPr>
    </w:p>
    <w:p w14:paraId="3469B432" w14:textId="77777777" w:rsidR="00B653C2" w:rsidRDefault="00B653C2" w:rsidP="005D15AA">
      <w:pPr>
        <w:jc w:val="both"/>
        <w:rPr>
          <w:b/>
          <w:bCs/>
          <w:sz w:val="24"/>
        </w:rPr>
      </w:pPr>
    </w:p>
    <w:p w14:paraId="733825F9" w14:textId="77777777" w:rsidR="00B653C2" w:rsidRDefault="00B653C2" w:rsidP="005D15AA">
      <w:pPr>
        <w:jc w:val="both"/>
        <w:rPr>
          <w:b/>
          <w:bCs/>
          <w:sz w:val="24"/>
        </w:rPr>
      </w:pPr>
    </w:p>
    <w:p w14:paraId="6B842974" w14:textId="5632BAE1" w:rsidR="00105B78" w:rsidRPr="00C0320B" w:rsidRDefault="009D3C51" w:rsidP="005D15AA">
      <w:pPr>
        <w:jc w:val="both"/>
        <w:rPr>
          <w:b/>
          <w:bCs/>
          <w:sz w:val="24"/>
        </w:rPr>
      </w:pPr>
      <w:r w:rsidRPr="00C0320B">
        <w:rPr>
          <w:b/>
          <w:bCs/>
          <w:sz w:val="24"/>
        </w:rPr>
        <w:lastRenderedPageBreak/>
        <w:t>Sulla   base dell’evoluzione (o involuzione) dell’andamento del numero delle famiglie, e sulla variazione del numero dei componenti,  si prospettano si seguito le seguenti osservazioni.</w:t>
      </w:r>
    </w:p>
    <w:p w14:paraId="61067F0E" w14:textId="77777777" w:rsidR="00105B78" w:rsidRPr="00C0320B" w:rsidRDefault="00105B78" w:rsidP="00105B78">
      <w:pPr>
        <w:pStyle w:val="Paragrafoelenco"/>
        <w:ind w:left="360"/>
        <w:jc w:val="both"/>
        <w:rPr>
          <w:b/>
          <w:bCs/>
          <w:sz w:val="24"/>
        </w:rPr>
      </w:pPr>
    </w:p>
    <w:p w14:paraId="64E7F9EE" w14:textId="77777777" w:rsidR="00105B78" w:rsidRPr="00C0320B" w:rsidRDefault="00105B78" w:rsidP="00105B78">
      <w:pPr>
        <w:pStyle w:val="Paragrafoelenco"/>
        <w:ind w:left="360"/>
        <w:jc w:val="both"/>
        <w:rPr>
          <w:b/>
          <w:bCs/>
          <w:sz w:val="24"/>
        </w:rPr>
      </w:pPr>
    </w:p>
    <w:p w14:paraId="79AEB35F" w14:textId="0B7CCE63" w:rsidR="00586C68" w:rsidRPr="00187A93" w:rsidRDefault="000176E7" w:rsidP="00FA0AA1">
      <w:pPr>
        <w:pStyle w:val="Paragrafoelenco"/>
        <w:numPr>
          <w:ilvl w:val="0"/>
          <w:numId w:val="5"/>
        </w:numPr>
        <w:jc w:val="both"/>
        <w:rPr>
          <w:sz w:val="24"/>
        </w:rPr>
      </w:pPr>
      <w:r w:rsidRPr="00187A93">
        <w:rPr>
          <w:b/>
          <w:bCs/>
          <w:sz w:val="24"/>
        </w:rPr>
        <w:t xml:space="preserve">il numero complessivo delle famiglie </w:t>
      </w:r>
      <w:r w:rsidR="002148C3" w:rsidRPr="00187A93">
        <w:rPr>
          <w:b/>
          <w:bCs/>
          <w:sz w:val="24"/>
        </w:rPr>
        <w:t>è passato da 15.981 a 25.594, con un incremento, nel corso del cinquantennio, del 60%</w:t>
      </w:r>
      <w:r w:rsidR="009D3C51" w:rsidRPr="00187A93">
        <w:rPr>
          <w:b/>
          <w:bCs/>
          <w:sz w:val="24"/>
        </w:rPr>
        <w:t>, e, in termini assoluti, di 9.613.000</w:t>
      </w:r>
      <w:r w:rsidR="002671EF" w:rsidRPr="00187A93">
        <w:rPr>
          <w:b/>
          <w:bCs/>
          <w:sz w:val="24"/>
        </w:rPr>
        <w:t>.</w:t>
      </w:r>
    </w:p>
    <w:p w14:paraId="464CBC6E" w14:textId="77777777" w:rsidR="00586C68" w:rsidRPr="000D5F54" w:rsidRDefault="00586C68" w:rsidP="00586C68">
      <w:r>
        <w:rPr>
          <w:noProof/>
        </w:rPr>
        <w:drawing>
          <wp:inline distT="0" distB="0" distL="0" distR="0" wp14:anchorId="08E590DF" wp14:editId="6F7ACBF8">
            <wp:extent cx="5486400" cy="3200400"/>
            <wp:effectExtent l="0" t="0" r="0" b="0"/>
            <wp:docPr id="5" name="Gra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D000807" w14:textId="209101BD" w:rsidR="005212AC" w:rsidRDefault="005212AC" w:rsidP="00586C68">
      <w:pPr>
        <w:jc w:val="both"/>
        <w:rPr>
          <w:sz w:val="24"/>
        </w:rPr>
      </w:pPr>
    </w:p>
    <w:p w14:paraId="1F513972" w14:textId="77777777" w:rsidR="001B1C19" w:rsidRPr="00C0320B" w:rsidRDefault="001B1C19" w:rsidP="001B1C19">
      <w:pPr>
        <w:ind w:left="360"/>
        <w:jc w:val="both"/>
        <w:rPr>
          <w:b/>
          <w:bCs/>
        </w:rPr>
      </w:pPr>
      <w:r w:rsidRPr="00C0320B">
        <w:rPr>
          <w:b/>
          <w:bCs/>
        </w:rPr>
        <w:t xml:space="preserve">§ </w:t>
      </w:r>
      <w:r>
        <w:rPr>
          <w:b/>
          <w:bCs/>
        </w:rPr>
        <w:t xml:space="preserve">I  grafici  sono </w:t>
      </w:r>
      <w:r w:rsidRPr="00C0320B">
        <w:rPr>
          <w:b/>
          <w:bCs/>
        </w:rPr>
        <w:t xml:space="preserve"> elaborat</w:t>
      </w:r>
      <w:r>
        <w:rPr>
          <w:b/>
          <w:bCs/>
        </w:rPr>
        <w:t>i</w:t>
      </w:r>
      <w:r w:rsidRPr="00C0320B">
        <w:rPr>
          <w:b/>
          <w:bCs/>
        </w:rPr>
        <w:t xml:space="preserve"> dall’autore su dati ISTAT</w:t>
      </w:r>
    </w:p>
    <w:p w14:paraId="75FC7737" w14:textId="717664BA" w:rsidR="001B1C19" w:rsidRDefault="001B1C19" w:rsidP="00586C68">
      <w:pPr>
        <w:jc w:val="both"/>
        <w:rPr>
          <w:sz w:val="24"/>
        </w:rPr>
      </w:pPr>
    </w:p>
    <w:p w14:paraId="66031533" w14:textId="77777777" w:rsidR="001B1C19" w:rsidRPr="00586C68" w:rsidRDefault="001B1C19" w:rsidP="00586C68">
      <w:pPr>
        <w:jc w:val="both"/>
        <w:rPr>
          <w:sz w:val="24"/>
        </w:rPr>
      </w:pPr>
    </w:p>
    <w:p w14:paraId="76AF54FA" w14:textId="581DCF26" w:rsidR="005D15AA" w:rsidRPr="00C0320B" w:rsidRDefault="005D15AA" w:rsidP="005D15AA">
      <w:pPr>
        <w:numPr>
          <w:ilvl w:val="0"/>
          <w:numId w:val="5"/>
        </w:numPr>
        <w:jc w:val="both"/>
        <w:rPr>
          <w:b/>
          <w:bCs/>
          <w:sz w:val="24"/>
        </w:rPr>
      </w:pPr>
      <w:r w:rsidRPr="00C0320B">
        <w:rPr>
          <w:b/>
          <w:bCs/>
          <w:sz w:val="24"/>
        </w:rPr>
        <w:t xml:space="preserve">le famiglie monoparentali hanno quasi </w:t>
      </w:r>
      <w:r w:rsidR="000176E7" w:rsidRPr="00C0320B">
        <w:rPr>
          <w:b/>
          <w:bCs/>
          <w:sz w:val="24"/>
        </w:rPr>
        <w:t>quadrup</w:t>
      </w:r>
      <w:r w:rsidRPr="00C0320B">
        <w:rPr>
          <w:b/>
          <w:bCs/>
          <w:sz w:val="24"/>
        </w:rPr>
        <w:t>licato la loro consistenza</w:t>
      </w:r>
      <w:r w:rsidR="00573A69" w:rsidRPr="00C0320B">
        <w:rPr>
          <w:b/>
          <w:bCs/>
          <w:sz w:val="24"/>
        </w:rPr>
        <w:t>, costituendo ormai la maggioranza relativa del complesso delle famiglie</w:t>
      </w:r>
      <w:r w:rsidR="00C541DA" w:rsidRPr="00C0320B">
        <w:rPr>
          <w:b/>
          <w:bCs/>
          <w:sz w:val="24"/>
        </w:rPr>
        <w:t>, passando da 2.081.000 nel 1971 ad 8.491.000 nel 2021.</w:t>
      </w:r>
    </w:p>
    <w:p w14:paraId="60E8A23A" w14:textId="57A4777E" w:rsidR="00586C68" w:rsidRDefault="00586C68" w:rsidP="00586C68">
      <w:pPr>
        <w:jc w:val="both"/>
        <w:rPr>
          <w:sz w:val="24"/>
        </w:rPr>
      </w:pPr>
    </w:p>
    <w:p w14:paraId="423FE073" w14:textId="77777777" w:rsidR="00586C68" w:rsidRPr="000D5F54" w:rsidRDefault="00586C68" w:rsidP="00586C68">
      <w:bookmarkStart w:id="3" w:name="_Hlk103859396"/>
      <w:r>
        <w:rPr>
          <w:noProof/>
        </w:rPr>
        <w:drawing>
          <wp:inline distT="0" distB="0" distL="0" distR="0" wp14:anchorId="279270D3" wp14:editId="42E64E42">
            <wp:extent cx="5486400" cy="3200400"/>
            <wp:effectExtent l="0" t="0" r="0" b="0"/>
            <wp:docPr id="6" name="Gra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bookmarkEnd w:id="3"/>
    <w:p w14:paraId="117B4F01" w14:textId="77777777" w:rsidR="001B1C19" w:rsidRPr="00C0320B" w:rsidRDefault="001B1C19" w:rsidP="001B1C19">
      <w:pPr>
        <w:ind w:left="360"/>
        <w:jc w:val="both"/>
        <w:rPr>
          <w:b/>
          <w:bCs/>
        </w:rPr>
      </w:pPr>
      <w:r w:rsidRPr="00C0320B">
        <w:rPr>
          <w:b/>
          <w:bCs/>
        </w:rPr>
        <w:t xml:space="preserve">§ </w:t>
      </w:r>
      <w:r>
        <w:rPr>
          <w:b/>
          <w:bCs/>
        </w:rPr>
        <w:t xml:space="preserve">I  grafici  sono </w:t>
      </w:r>
      <w:r w:rsidRPr="00C0320B">
        <w:rPr>
          <w:b/>
          <w:bCs/>
        </w:rPr>
        <w:t xml:space="preserve"> elaborat</w:t>
      </w:r>
      <w:r>
        <w:rPr>
          <w:b/>
          <w:bCs/>
        </w:rPr>
        <w:t>i</w:t>
      </w:r>
      <w:r w:rsidRPr="00C0320B">
        <w:rPr>
          <w:b/>
          <w:bCs/>
        </w:rPr>
        <w:t xml:space="preserve"> dall’autore su dati ISTAT</w:t>
      </w:r>
    </w:p>
    <w:p w14:paraId="5B88F03E" w14:textId="0A157DD2" w:rsidR="00586C68" w:rsidRDefault="00586C68" w:rsidP="00586C68">
      <w:pPr>
        <w:jc w:val="both"/>
        <w:rPr>
          <w:sz w:val="24"/>
        </w:rPr>
      </w:pPr>
    </w:p>
    <w:p w14:paraId="758885A0" w14:textId="77777777" w:rsidR="001B1C19" w:rsidRDefault="001B1C19" w:rsidP="00586C68">
      <w:pPr>
        <w:jc w:val="both"/>
        <w:rPr>
          <w:sz w:val="24"/>
        </w:rPr>
      </w:pPr>
    </w:p>
    <w:p w14:paraId="7378AE71" w14:textId="77777777" w:rsidR="00105B78" w:rsidRDefault="00105B78" w:rsidP="005212AC">
      <w:pPr>
        <w:ind w:left="360"/>
        <w:jc w:val="both"/>
        <w:rPr>
          <w:sz w:val="24"/>
        </w:rPr>
      </w:pPr>
    </w:p>
    <w:p w14:paraId="7B9595B3" w14:textId="77777777" w:rsidR="00105B78" w:rsidRPr="00C0320B" w:rsidRDefault="00105B78" w:rsidP="005212AC">
      <w:pPr>
        <w:ind w:left="360"/>
        <w:jc w:val="both"/>
        <w:rPr>
          <w:b/>
          <w:bCs/>
          <w:sz w:val="24"/>
        </w:rPr>
      </w:pPr>
    </w:p>
    <w:p w14:paraId="3F5BE6CB" w14:textId="1B112E1C" w:rsidR="005D15AA" w:rsidRPr="00C0320B" w:rsidRDefault="005D15AA" w:rsidP="005D15AA">
      <w:pPr>
        <w:numPr>
          <w:ilvl w:val="0"/>
          <w:numId w:val="5"/>
        </w:numPr>
        <w:jc w:val="both"/>
        <w:rPr>
          <w:b/>
          <w:bCs/>
          <w:sz w:val="24"/>
        </w:rPr>
      </w:pPr>
      <w:r w:rsidRPr="00C0320B">
        <w:rPr>
          <w:b/>
          <w:bCs/>
          <w:sz w:val="24"/>
        </w:rPr>
        <w:t>le famiglie con due componenti hanno più che raddoppiato il loro numero</w:t>
      </w:r>
      <w:r w:rsidR="00C541DA" w:rsidRPr="00C0320B">
        <w:rPr>
          <w:b/>
          <w:bCs/>
          <w:sz w:val="24"/>
        </w:rPr>
        <w:t xml:space="preserve">, </w:t>
      </w:r>
      <w:r w:rsidR="00D847E1" w:rsidRPr="00C0320B">
        <w:rPr>
          <w:b/>
          <w:bCs/>
          <w:sz w:val="24"/>
        </w:rPr>
        <w:t>passando da 3.516.000 a 7.094.000, con un aumento  di 6.430.000.</w:t>
      </w:r>
    </w:p>
    <w:p w14:paraId="24545A4A" w14:textId="4456F98D" w:rsidR="00586C68" w:rsidRPr="00C0320B" w:rsidRDefault="00586C68" w:rsidP="00586C68">
      <w:pPr>
        <w:jc w:val="both"/>
        <w:rPr>
          <w:b/>
          <w:bCs/>
          <w:sz w:val="24"/>
        </w:rPr>
      </w:pPr>
    </w:p>
    <w:p w14:paraId="296B6918" w14:textId="77777777" w:rsidR="00586C68" w:rsidRPr="000D5F54" w:rsidRDefault="00586C68" w:rsidP="00586C68">
      <w:bookmarkStart w:id="4" w:name="_Hlk103860147"/>
      <w:r>
        <w:rPr>
          <w:noProof/>
        </w:rPr>
        <w:drawing>
          <wp:inline distT="0" distB="0" distL="0" distR="0" wp14:anchorId="18AB8DBF" wp14:editId="7178582B">
            <wp:extent cx="5486400" cy="3200400"/>
            <wp:effectExtent l="0" t="0" r="0" b="0"/>
            <wp:docPr id="7" name="Gra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bookmarkEnd w:id="4"/>
    <w:p w14:paraId="57B081AB" w14:textId="77777777" w:rsidR="00586C68" w:rsidRDefault="00586C68" w:rsidP="00586C68">
      <w:pPr>
        <w:jc w:val="both"/>
        <w:rPr>
          <w:sz w:val="24"/>
        </w:rPr>
      </w:pPr>
    </w:p>
    <w:p w14:paraId="429280DA" w14:textId="77777777" w:rsidR="001B1C19" w:rsidRPr="00C0320B" w:rsidRDefault="001B1C19" w:rsidP="001B1C19">
      <w:pPr>
        <w:ind w:left="360"/>
        <w:jc w:val="both"/>
        <w:rPr>
          <w:b/>
          <w:bCs/>
        </w:rPr>
      </w:pPr>
      <w:r w:rsidRPr="00C0320B">
        <w:rPr>
          <w:b/>
          <w:bCs/>
        </w:rPr>
        <w:t xml:space="preserve">§ </w:t>
      </w:r>
      <w:r>
        <w:rPr>
          <w:b/>
          <w:bCs/>
        </w:rPr>
        <w:t xml:space="preserve">I  grafici  sono </w:t>
      </w:r>
      <w:r w:rsidRPr="00C0320B">
        <w:rPr>
          <w:b/>
          <w:bCs/>
        </w:rPr>
        <w:t xml:space="preserve"> elaborat</w:t>
      </w:r>
      <w:r>
        <w:rPr>
          <w:b/>
          <w:bCs/>
        </w:rPr>
        <w:t>i</w:t>
      </w:r>
      <w:r w:rsidRPr="00C0320B">
        <w:rPr>
          <w:b/>
          <w:bCs/>
        </w:rPr>
        <w:t xml:space="preserve"> dall’autore su dati ISTAT</w:t>
      </w:r>
    </w:p>
    <w:p w14:paraId="2AABCE50" w14:textId="1C169168" w:rsidR="005212AC" w:rsidRDefault="005212AC" w:rsidP="00586C68">
      <w:pPr>
        <w:jc w:val="both"/>
        <w:rPr>
          <w:sz w:val="24"/>
        </w:rPr>
      </w:pPr>
    </w:p>
    <w:p w14:paraId="7091218C" w14:textId="3419A0B1" w:rsidR="000176E7" w:rsidRPr="00C0320B" w:rsidRDefault="005D15AA" w:rsidP="005D15AA">
      <w:pPr>
        <w:numPr>
          <w:ilvl w:val="0"/>
          <w:numId w:val="5"/>
        </w:numPr>
        <w:jc w:val="both"/>
        <w:rPr>
          <w:b/>
          <w:bCs/>
          <w:sz w:val="24"/>
        </w:rPr>
      </w:pPr>
      <w:r w:rsidRPr="00C0320B">
        <w:rPr>
          <w:b/>
          <w:bCs/>
          <w:sz w:val="24"/>
        </w:rPr>
        <w:t xml:space="preserve">le famiglie con tre componenti, </w:t>
      </w:r>
      <w:r w:rsidR="000176E7" w:rsidRPr="00C0320B">
        <w:rPr>
          <w:b/>
          <w:bCs/>
          <w:sz w:val="24"/>
        </w:rPr>
        <w:t>con un solo figlio, sono aumentate d</w:t>
      </w:r>
      <w:r w:rsidR="00D847E1" w:rsidRPr="00C0320B">
        <w:rPr>
          <w:b/>
          <w:bCs/>
          <w:sz w:val="24"/>
        </w:rPr>
        <w:t>i circa un terzo,  passando da  3.580.000 a 4.834.000, con un incremento di 1.254.000</w:t>
      </w:r>
      <w:r w:rsidR="00F747D9">
        <w:rPr>
          <w:b/>
          <w:bCs/>
          <w:sz w:val="24"/>
        </w:rPr>
        <w:t>, ma un calo di 169 mila unità rispetto al 2011.</w:t>
      </w:r>
    </w:p>
    <w:p w14:paraId="1943405D" w14:textId="091B4618" w:rsidR="00586C68" w:rsidRDefault="00586C68" w:rsidP="00586C68">
      <w:pPr>
        <w:jc w:val="both"/>
        <w:rPr>
          <w:sz w:val="24"/>
        </w:rPr>
      </w:pPr>
    </w:p>
    <w:p w14:paraId="336585DE" w14:textId="77777777" w:rsidR="00586C68" w:rsidRPr="000D5F54" w:rsidRDefault="00586C68" w:rsidP="00586C68">
      <w:bookmarkStart w:id="5" w:name="_Hlk103860326"/>
      <w:r>
        <w:rPr>
          <w:noProof/>
        </w:rPr>
        <w:drawing>
          <wp:inline distT="0" distB="0" distL="0" distR="0" wp14:anchorId="58CD6752" wp14:editId="6C2ABBF4">
            <wp:extent cx="5486400" cy="3200400"/>
            <wp:effectExtent l="0" t="0" r="0" b="0"/>
            <wp:docPr id="8" name="Gra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bookmarkEnd w:id="5"/>
    <w:p w14:paraId="0965FA79" w14:textId="77777777" w:rsidR="001B1C19" w:rsidRPr="00C0320B" w:rsidRDefault="001B1C19" w:rsidP="001B1C19">
      <w:pPr>
        <w:ind w:left="360"/>
        <w:jc w:val="both"/>
        <w:rPr>
          <w:b/>
          <w:bCs/>
        </w:rPr>
      </w:pPr>
      <w:r w:rsidRPr="00C0320B">
        <w:rPr>
          <w:b/>
          <w:bCs/>
        </w:rPr>
        <w:t xml:space="preserve">§ </w:t>
      </w:r>
      <w:r>
        <w:rPr>
          <w:b/>
          <w:bCs/>
        </w:rPr>
        <w:t xml:space="preserve">I  grafici  sono </w:t>
      </w:r>
      <w:r w:rsidRPr="00C0320B">
        <w:rPr>
          <w:b/>
          <w:bCs/>
        </w:rPr>
        <w:t xml:space="preserve"> elaborat</w:t>
      </w:r>
      <w:r>
        <w:rPr>
          <w:b/>
          <w:bCs/>
        </w:rPr>
        <w:t>i</w:t>
      </w:r>
      <w:r w:rsidRPr="00C0320B">
        <w:rPr>
          <w:b/>
          <w:bCs/>
        </w:rPr>
        <w:t xml:space="preserve"> dall’autore su dati ISTAT</w:t>
      </w:r>
    </w:p>
    <w:p w14:paraId="3A805C71" w14:textId="77777777" w:rsidR="00C0320B" w:rsidRPr="00C0320B" w:rsidRDefault="00C0320B" w:rsidP="00C0320B">
      <w:pPr>
        <w:ind w:left="360"/>
        <w:jc w:val="both"/>
      </w:pPr>
    </w:p>
    <w:p w14:paraId="2C47E784" w14:textId="5F86F69A" w:rsidR="00F747D9" w:rsidRPr="00F747D9" w:rsidRDefault="00105B78" w:rsidP="002D1730">
      <w:pPr>
        <w:numPr>
          <w:ilvl w:val="0"/>
          <w:numId w:val="5"/>
        </w:numPr>
        <w:jc w:val="both"/>
      </w:pPr>
      <w:r w:rsidRPr="00C0320B">
        <w:rPr>
          <w:b/>
          <w:bCs/>
          <w:sz w:val="24"/>
        </w:rPr>
        <w:t>Le famiglie  con quattro componenti, hanno denotato un aumento di circa il  14%,rispetto al 1971,</w:t>
      </w:r>
      <w:r w:rsidR="00F747D9">
        <w:rPr>
          <w:b/>
          <w:bCs/>
          <w:sz w:val="24"/>
        </w:rPr>
        <w:t xml:space="preserve"> e quindi un aumento di 490.000 unità, </w:t>
      </w:r>
      <w:r w:rsidRPr="00C0320B">
        <w:rPr>
          <w:b/>
          <w:bCs/>
          <w:sz w:val="24"/>
        </w:rPr>
        <w:t xml:space="preserve"> ma un calo  del 7,8% rispetto al 2011</w:t>
      </w:r>
      <w:r w:rsidR="00F747D9">
        <w:rPr>
          <w:b/>
          <w:bCs/>
          <w:sz w:val="24"/>
        </w:rPr>
        <w:t>.</w:t>
      </w:r>
    </w:p>
    <w:p w14:paraId="6B7EA0B0" w14:textId="3BB1BA61" w:rsidR="00586C68" w:rsidRPr="000D5F54" w:rsidRDefault="00586C68" w:rsidP="002D1730">
      <w:pPr>
        <w:numPr>
          <w:ilvl w:val="0"/>
          <w:numId w:val="5"/>
        </w:numPr>
        <w:jc w:val="both"/>
      </w:pPr>
      <w:r>
        <w:rPr>
          <w:noProof/>
        </w:rPr>
        <w:drawing>
          <wp:inline distT="0" distB="0" distL="0" distR="0" wp14:anchorId="12A49CD5" wp14:editId="76EA0E8C">
            <wp:extent cx="5486400" cy="3200400"/>
            <wp:effectExtent l="0" t="0" r="0" b="0"/>
            <wp:docPr id="9" name="Gra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3E77C9E" w14:textId="77777777" w:rsidR="00586C68" w:rsidRDefault="00586C68" w:rsidP="00586C68"/>
    <w:p w14:paraId="2846AE2E" w14:textId="77777777" w:rsidR="001B1C19" w:rsidRPr="00C0320B" w:rsidRDefault="001B1C19" w:rsidP="001B1C19">
      <w:pPr>
        <w:ind w:left="360"/>
        <w:jc w:val="both"/>
        <w:rPr>
          <w:b/>
          <w:bCs/>
        </w:rPr>
      </w:pPr>
      <w:r w:rsidRPr="00C0320B">
        <w:rPr>
          <w:b/>
          <w:bCs/>
        </w:rPr>
        <w:t xml:space="preserve">§ </w:t>
      </w:r>
      <w:r>
        <w:rPr>
          <w:b/>
          <w:bCs/>
        </w:rPr>
        <w:t xml:space="preserve">I  grafici  sono </w:t>
      </w:r>
      <w:r w:rsidRPr="00C0320B">
        <w:rPr>
          <w:b/>
          <w:bCs/>
        </w:rPr>
        <w:t xml:space="preserve"> elaborat</w:t>
      </w:r>
      <w:r>
        <w:rPr>
          <w:b/>
          <w:bCs/>
        </w:rPr>
        <w:t>i</w:t>
      </w:r>
      <w:r w:rsidRPr="00C0320B">
        <w:rPr>
          <w:b/>
          <w:bCs/>
        </w:rPr>
        <w:t xml:space="preserve"> dall’autore su dati ISTAT</w:t>
      </w:r>
    </w:p>
    <w:p w14:paraId="060D87D7" w14:textId="7428CB7E" w:rsidR="00586C68" w:rsidRDefault="00586C68" w:rsidP="00586C68">
      <w:pPr>
        <w:jc w:val="both"/>
        <w:rPr>
          <w:sz w:val="24"/>
        </w:rPr>
      </w:pPr>
    </w:p>
    <w:p w14:paraId="5C1383C1" w14:textId="73B25B00" w:rsidR="00C0320B" w:rsidRDefault="00C0320B" w:rsidP="00586C68">
      <w:pPr>
        <w:jc w:val="both"/>
        <w:rPr>
          <w:sz w:val="24"/>
        </w:rPr>
      </w:pPr>
    </w:p>
    <w:p w14:paraId="102CA8BF" w14:textId="59BD444C" w:rsidR="00586C68" w:rsidRPr="00C0320B" w:rsidRDefault="00105B78" w:rsidP="00586C68">
      <w:pPr>
        <w:numPr>
          <w:ilvl w:val="0"/>
          <w:numId w:val="5"/>
        </w:numPr>
        <w:jc w:val="both"/>
        <w:rPr>
          <w:b/>
          <w:bCs/>
          <w:sz w:val="24"/>
        </w:rPr>
      </w:pPr>
      <w:r w:rsidRPr="00C0320B">
        <w:rPr>
          <w:b/>
          <w:bCs/>
          <w:sz w:val="24"/>
        </w:rPr>
        <w:t>L</w:t>
      </w:r>
      <w:r w:rsidR="00586C68" w:rsidRPr="00C0320B">
        <w:rPr>
          <w:b/>
          <w:bCs/>
          <w:sz w:val="24"/>
        </w:rPr>
        <w:t>e famiglie con cinque componenti hanno subito un decremento notevole, sempre rispetto al 1971, pari a meno 47%</w:t>
      </w:r>
      <w:r w:rsidR="00D847E1" w:rsidRPr="00C0320B">
        <w:rPr>
          <w:b/>
          <w:bCs/>
          <w:sz w:val="24"/>
        </w:rPr>
        <w:t>, con un calo di 869.000 unità.</w:t>
      </w:r>
    </w:p>
    <w:p w14:paraId="305EC5D5" w14:textId="77777777" w:rsidR="00105B78" w:rsidRPr="00C0320B" w:rsidRDefault="00105B78" w:rsidP="00105B78">
      <w:pPr>
        <w:ind w:left="360"/>
        <w:jc w:val="both"/>
        <w:rPr>
          <w:b/>
          <w:bCs/>
          <w:sz w:val="24"/>
        </w:rPr>
      </w:pPr>
    </w:p>
    <w:p w14:paraId="01B81166" w14:textId="77777777" w:rsidR="00586C68" w:rsidRPr="000D5F54" w:rsidRDefault="00586C68" w:rsidP="00586C68">
      <w:pPr>
        <w:pStyle w:val="Paragrafoelenco"/>
        <w:numPr>
          <w:ilvl w:val="0"/>
          <w:numId w:val="5"/>
        </w:numPr>
      </w:pPr>
      <w:r>
        <w:rPr>
          <w:noProof/>
        </w:rPr>
        <w:drawing>
          <wp:inline distT="0" distB="0" distL="0" distR="0" wp14:anchorId="0D80233D" wp14:editId="48DD0F40">
            <wp:extent cx="5486400" cy="3200400"/>
            <wp:effectExtent l="0" t="0" r="0" b="0"/>
            <wp:docPr id="10" name="Grafico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DB8483C" w14:textId="77777777" w:rsidR="00586C68" w:rsidRDefault="00586C68" w:rsidP="00586C68">
      <w:pPr>
        <w:jc w:val="both"/>
        <w:rPr>
          <w:sz w:val="24"/>
        </w:rPr>
      </w:pPr>
    </w:p>
    <w:p w14:paraId="1546F3C5" w14:textId="77777777" w:rsidR="001B1C19" w:rsidRPr="00C0320B" w:rsidRDefault="001B1C19" w:rsidP="001B1C19">
      <w:pPr>
        <w:ind w:left="360"/>
        <w:jc w:val="both"/>
        <w:rPr>
          <w:b/>
          <w:bCs/>
        </w:rPr>
      </w:pPr>
      <w:r>
        <w:rPr>
          <w:sz w:val="24"/>
        </w:rPr>
        <w:t xml:space="preserve">     </w:t>
      </w:r>
      <w:r w:rsidRPr="00C0320B">
        <w:rPr>
          <w:b/>
          <w:bCs/>
        </w:rPr>
        <w:t xml:space="preserve">§ </w:t>
      </w:r>
      <w:r>
        <w:rPr>
          <w:b/>
          <w:bCs/>
        </w:rPr>
        <w:t xml:space="preserve">I  grafici  sono </w:t>
      </w:r>
      <w:r w:rsidRPr="00C0320B">
        <w:rPr>
          <w:b/>
          <w:bCs/>
        </w:rPr>
        <w:t xml:space="preserve"> elaborat</w:t>
      </w:r>
      <w:r>
        <w:rPr>
          <w:b/>
          <w:bCs/>
        </w:rPr>
        <w:t>i</w:t>
      </w:r>
      <w:r w:rsidRPr="00C0320B">
        <w:rPr>
          <w:b/>
          <w:bCs/>
        </w:rPr>
        <w:t xml:space="preserve"> dall’autore su dati ISTAT</w:t>
      </w:r>
    </w:p>
    <w:p w14:paraId="2D5D4785" w14:textId="5E029612" w:rsidR="00586C68" w:rsidRDefault="00586C68" w:rsidP="00586C68">
      <w:pPr>
        <w:jc w:val="both"/>
        <w:rPr>
          <w:sz w:val="24"/>
        </w:rPr>
      </w:pPr>
    </w:p>
    <w:p w14:paraId="7D7C0E90" w14:textId="5F6C0C28" w:rsidR="00586C68" w:rsidRPr="00C0320B" w:rsidRDefault="00586C68" w:rsidP="00105B78">
      <w:pPr>
        <w:ind w:left="360"/>
        <w:jc w:val="both"/>
        <w:rPr>
          <w:b/>
          <w:bCs/>
          <w:sz w:val="24"/>
        </w:rPr>
      </w:pPr>
    </w:p>
    <w:p w14:paraId="540BF478" w14:textId="7611BFBD" w:rsidR="000176E7" w:rsidRPr="00C0320B" w:rsidRDefault="005D15AA" w:rsidP="005D15AA">
      <w:pPr>
        <w:numPr>
          <w:ilvl w:val="0"/>
          <w:numId w:val="5"/>
        </w:numPr>
        <w:jc w:val="both"/>
        <w:rPr>
          <w:b/>
          <w:bCs/>
          <w:sz w:val="24"/>
        </w:rPr>
      </w:pPr>
      <w:r w:rsidRPr="00C0320B">
        <w:rPr>
          <w:b/>
          <w:bCs/>
          <w:sz w:val="24"/>
        </w:rPr>
        <w:lastRenderedPageBreak/>
        <w:t>le famiglie con sei componenti e più ha avuto un vero e proprio crollo, con una diminuzione dell’8</w:t>
      </w:r>
      <w:r w:rsidR="002148C3" w:rsidRPr="00C0320B">
        <w:rPr>
          <w:b/>
          <w:bCs/>
          <w:sz w:val="24"/>
        </w:rPr>
        <w:t>0</w:t>
      </w:r>
      <w:r w:rsidRPr="00C0320B">
        <w:rPr>
          <w:b/>
          <w:bCs/>
          <w:sz w:val="24"/>
        </w:rPr>
        <w:t>%</w:t>
      </w:r>
      <w:r w:rsidR="00D847E1" w:rsidRPr="00C0320B">
        <w:rPr>
          <w:b/>
          <w:bCs/>
          <w:sz w:val="24"/>
        </w:rPr>
        <w:t xml:space="preserve"> con</w:t>
      </w:r>
      <w:r w:rsidR="00EF519E" w:rsidRPr="00C0320B">
        <w:rPr>
          <w:b/>
          <w:bCs/>
          <w:sz w:val="24"/>
        </w:rPr>
        <w:t xml:space="preserve"> </w:t>
      </w:r>
      <w:r w:rsidR="00D847E1" w:rsidRPr="00C0320B">
        <w:rPr>
          <w:b/>
          <w:bCs/>
          <w:sz w:val="24"/>
        </w:rPr>
        <w:t xml:space="preserve">un calo di </w:t>
      </w:r>
      <w:r w:rsidR="00EF519E" w:rsidRPr="00C0320B">
        <w:rPr>
          <w:b/>
          <w:bCs/>
          <w:sz w:val="24"/>
        </w:rPr>
        <w:t>1.242.000 unità.</w:t>
      </w:r>
    </w:p>
    <w:p w14:paraId="1C42142C" w14:textId="77777777" w:rsidR="00105B78" w:rsidRDefault="00105B78" w:rsidP="00105B78">
      <w:pPr>
        <w:ind w:left="360"/>
        <w:jc w:val="both"/>
        <w:rPr>
          <w:sz w:val="24"/>
        </w:rPr>
      </w:pPr>
    </w:p>
    <w:p w14:paraId="14F069D4" w14:textId="6633A7DD" w:rsidR="00105B78" w:rsidRDefault="00586C68" w:rsidP="000176E7">
      <w:pPr>
        <w:jc w:val="both"/>
        <w:rPr>
          <w:sz w:val="24"/>
        </w:rPr>
      </w:pPr>
      <w:r>
        <w:rPr>
          <w:noProof/>
        </w:rPr>
        <w:drawing>
          <wp:inline distT="0" distB="0" distL="0" distR="0" wp14:anchorId="3E054195" wp14:editId="5272AF7C">
            <wp:extent cx="5486400" cy="3200400"/>
            <wp:effectExtent l="0" t="0" r="0" b="0"/>
            <wp:docPr id="11" name="Grafico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CBFF584" w14:textId="564D2549" w:rsidR="00105B78" w:rsidRDefault="00105B78" w:rsidP="000176E7">
      <w:pPr>
        <w:jc w:val="both"/>
        <w:rPr>
          <w:sz w:val="24"/>
        </w:rPr>
      </w:pPr>
    </w:p>
    <w:p w14:paraId="244411A6" w14:textId="77777777" w:rsidR="001B1C19" w:rsidRPr="00C0320B" w:rsidRDefault="001B1C19" w:rsidP="001B1C19">
      <w:pPr>
        <w:ind w:left="360"/>
        <w:jc w:val="both"/>
        <w:rPr>
          <w:b/>
          <w:bCs/>
        </w:rPr>
      </w:pPr>
      <w:r w:rsidRPr="00C0320B">
        <w:rPr>
          <w:b/>
          <w:bCs/>
        </w:rPr>
        <w:t xml:space="preserve">§ </w:t>
      </w:r>
      <w:r>
        <w:rPr>
          <w:b/>
          <w:bCs/>
        </w:rPr>
        <w:t xml:space="preserve">I  grafici  sono </w:t>
      </w:r>
      <w:r w:rsidRPr="00C0320B">
        <w:rPr>
          <w:b/>
          <w:bCs/>
        </w:rPr>
        <w:t xml:space="preserve"> elaborat</w:t>
      </w:r>
      <w:r>
        <w:rPr>
          <w:b/>
          <w:bCs/>
        </w:rPr>
        <w:t>i</w:t>
      </w:r>
      <w:r w:rsidRPr="00C0320B">
        <w:rPr>
          <w:b/>
          <w:bCs/>
        </w:rPr>
        <w:t xml:space="preserve"> dall’autore su dati ISTAT</w:t>
      </w:r>
    </w:p>
    <w:p w14:paraId="2D0D009A" w14:textId="77777777" w:rsidR="00C0320B" w:rsidRDefault="00C0320B" w:rsidP="000176E7">
      <w:pPr>
        <w:jc w:val="both"/>
        <w:rPr>
          <w:sz w:val="24"/>
        </w:rPr>
      </w:pPr>
    </w:p>
    <w:p w14:paraId="44EE65F1" w14:textId="77777777" w:rsidR="00C0320B" w:rsidRDefault="00C0320B" w:rsidP="000176E7">
      <w:pPr>
        <w:jc w:val="both"/>
        <w:rPr>
          <w:sz w:val="24"/>
        </w:rPr>
      </w:pPr>
    </w:p>
    <w:p w14:paraId="650E02C0" w14:textId="77777777" w:rsidR="00C0320B" w:rsidRPr="00C6297F" w:rsidRDefault="005D2B98" w:rsidP="000176E7">
      <w:pPr>
        <w:jc w:val="both"/>
        <w:rPr>
          <w:rFonts w:asciiTheme="minorHAnsi" w:hAnsiTheme="minorHAnsi" w:cstheme="minorHAnsi"/>
          <w:b/>
          <w:bCs/>
          <w:sz w:val="24"/>
        </w:rPr>
      </w:pPr>
      <w:r w:rsidRPr="00C6297F">
        <w:rPr>
          <w:rFonts w:asciiTheme="minorHAnsi" w:hAnsiTheme="minorHAnsi" w:cstheme="minorHAnsi"/>
          <w:b/>
          <w:bCs/>
          <w:sz w:val="24"/>
        </w:rPr>
        <w:t>A corredo dei dati sopra esposti, si è ritenuto utile ric</w:t>
      </w:r>
      <w:r w:rsidR="005147FA" w:rsidRPr="00C6297F">
        <w:rPr>
          <w:rFonts w:asciiTheme="minorHAnsi" w:hAnsiTheme="minorHAnsi" w:cstheme="minorHAnsi"/>
          <w:b/>
          <w:bCs/>
          <w:sz w:val="24"/>
        </w:rPr>
        <w:t>h</w:t>
      </w:r>
      <w:r w:rsidRPr="00C6297F">
        <w:rPr>
          <w:rFonts w:asciiTheme="minorHAnsi" w:hAnsiTheme="minorHAnsi" w:cstheme="minorHAnsi"/>
          <w:b/>
          <w:bCs/>
          <w:sz w:val="24"/>
        </w:rPr>
        <w:t xml:space="preserve">iamare </w:t>
      </w:r>
      <w:r w:rsidR="005147FA" w:rsidRPr="00C6297F">
        <w:rPr>
          <w:rFonts w:asciiTheme="minorHAnsi" w:hAnsiTheme="minorHAnsi" w:cstheme="minorHAnsi"/>
          <w:b/>
          <w:bCs/>
          <w:sz w:val="24"/>
        </w:rPr>
        <w:t xml:space="preserve"> il decorso  del numero dei  nati nel cinquantennio, per valutare dalla crudele realtà dei numeri  quale è stato l’inesorabile calo delle nascite</w:t>
      </w:r>
      <w:r w:rsidR="00C0320B" w:rsidRPr="00C6297F">
        <w:rPr>
          <w:rFonts w:asciiTheme="minorHAnsi" w:hAnsiTheme="minorHAnsi" w:cstheme="minorHAnsi"/>
          <w:b/>
          <w:bCs/>
          <w:sz w:val="24"/>
        </w:rPr>
        <w:t xml:space="preserve">. </w:t>
      </w:r>
    </w:p>
    <w:p w14:paraId="689C55A8" w14:textId="50875774" w:rsidR="005D2B98" w:rsidRPr="00C6297F" w:rsidRDefault="00C0320B" w:rsidP="000176E7">
      <w:pPr>
        <w:jc w:val="both"/>
        <w:rPr>
          <w:rFonts w:asciiTheme="minorHAnsi" w:hAnsiTheme="minorHAnsi" w:cstheme="minorHAnsi"/>
          <w:b/>
          <w:bCs/>
          <w:sz w:val="24"/>
        </w:rPr>
      </w:pPr>
      <w:r w:rsidRPr="00C6297F">
        <w:rPr>
          <w:rFonts w:asciiTheme="minorHAnsi" w:hAnsiTheme="minorHAnsi" w:cstheme="minorHAnsi"/>
          <w:b/>
          <w:bCs/>
          <w:sz w:val="24"/>
        </w:rPr>
        <w:t>R</w:t>
      </w:r>
      <w:r w:rsidR="005147FA" w:rsidRPr="00C6297F">
        <w:rPr>
          <w:rFonts w:asciiTheme="minorHAnsi" w:hAnsiTheme="minorHAnsi" w:cstheme="minorHAnsi"/>
          <w:b/>
          <w:bCs/>
          <w:sz w:val="24"/>
        </w:rPr>
        <w:t xml:space="preserve">ispetto al 1971, passando per i decenni successivi (1981, 1991, 2001, 2011), fino al 2021,i nati sono calati da </w:t>
      </w:r>
      <w:r w:rsidR="00C6297F">
        <w:rPr>
          <w:rFonts w:asciiTheme="minorHAnsi" w:hAnsiTheme="minorHAnsi" w:cstheme="minorHAnsi"/>
          <w:b/>
          <w:bCs/>
          <w:sz w:val="24"/>
        </w:rPr>
        <w:t>9</w:t>
      </w:r>
      <w:r w:rsidR="007B0060">
        <w:rPr>
          <w:rFonts w:asciiTheme="minorHAnsi" w:hAnsiTheme="minorHAnsi" w:cstheme="minorHAnsi"/>
          <w:b/>
          <w:bCs/>
          <w:sz w:val="24"/>
        </w:rPr>
        <w:t>06.182</w:t>
      </w:r>
      <w:r w:rsidR="00C6297F">
        <w:rPr>
          <w:rFonts w:asciiTheme="minorHAnsi" w:hAnsiTheme="minorHAnsi" w:cstheme="minorHAnsi"/>
          <w:b/>
          <w:bCs/>
          <w:sz w:val="24"/>
        </w:rPr>
        <w:t xml:space="preserve">  </w:t>
      </w:r>
      <w:r w:rsidR="005147FA" w:rsidRPr="00C6297F">
        <w:rPr>
          <w:rFonts w:asciiTheme="minorHAnsi" w:hAnsiTheme="minorHAnsi" w:cstheme="minorHAnsi"/>
          <w:b/>
          <w:bCs/>
          <w:sz w:val="24"/>
        </w:rPr>
        <w:t xml:space="preserve"> </w:t>
      </w:r>
      <w:r w:rsidR="007B0060">
        <w:rPr>
          <w:rFonts w:asciiTheme="minorHAnsi" w:hAnsiTheme="minorHAnsi" w:cstheme="minorHAnsi"/>
          <w:b/>
          <w:bCs/>
          <w:sz w:val="24"/>
        </w:rPr>
        <w:t>bambini</w:t>
      </w:r>
      <w:r w:rsidR="00B65D55">
        <w:rPr>
          <w:rFonts w:asciiTheme="minorHAnsi" w:hAnsiTheme="minorHAnsi" w:cstheme="minorHAnsi"/>
          <w:b/>
          <w:bCs/>
          <w:sz w:val="24"/>
        </w:rPr>
        <w:t xml:space="preserve"> e bambine </w:t>
      </w:r>
      <w:r w:rsidR="007B0060">
        <w:rPr>
          <w:rFonts w:asciiTheme="minorHAnsi" w:hAnsiTheme="minorHAnsi" w:cstheme="minorHAnsi"/>
          <w:b/>
          <w:bCs/>
          <w:sz w:val="24"/>
        </w:rPr>
        <w:t xml:space="preserve"> </w:t>
      </w:r>
      <w:r w:rsidR="005147FA" w:rsidRPr="00C6297F">
        <w:rPr>
          <w:rFonts w:asciiTheme="minorHAnsi" w:hAnsiTheme="minorHAnsi" w:cstheme="minorHAnsi"/>
          <w:b/>
          <w:bCs/>
          <w:sz w:val="24"/>
        </w:rPr>
        <w:t xml:space="preserve">a </w:t>
      </w:r>
      <w:r w:rsidR="00C6297F">
        <w:rPr>
          <w:rFonts w:asciiTheme="minorHAnsi" w:hAnsiTheme="minorHAnsi" w:cstheme="minorHAnsi"/>
          <w:b/>
          <w:bCs/>
          <w:sz w:val="24"/>
        </w:rPr>
        <w:t xml:space="preserve">399.400, </w:t>
      </w:r>
      <w:r w:rsidR="005147FA" w:rsidRPr="00C6297F">
        <w:rPr>
          <w:rFonts w:asciiTheme="minorHAnsi" w:hAnsiTheme="minorHAnsi" w:cstheme="minorHAnsi"/>
          <w:b/>
          <w:bCs/>
          <w:sz w:val="24"/>
        </w:rPr>
        <w:t xml:space="preserve"> con una perdita di  </w:t>
      </w:r>
      <w:r w:rsidR="007B0060">
        <w:rPr>
          <w:rFonts w:asciiTheme="minorHAnsi" w:hAnsiTheme="minorHAnsi" w:cstheme="minorHAnsi"/>
          <w:b/>
          <w:bCs/>
          <w:sz w:val="24"/>
        </w:rPr>
        <w:t>506.782</w:t>
      </w:r>
      <w:r w:rsidR="005147FA" w:rsidRPr="00C6297F">
        <w:rPr>
          <w:rFonts w:asciiTheme="minorHAnsi" w:hAnsiTheme="minorHAnsi" w:cstheme="minorHAnsi"/>
          <w:b/>
          <w:bCs/>
          <w:sz w:val="24"/>
        </w:rPr>
        <w:t xml:space="preserve"> </w:t>
      </w:r>
      <w:r w:rsidR="00161B61" w:rsidRPr="00C6297F">
        <w:rPr>
          <w:rFonts w:asciiTheme="minorHAnsi" w:hAnsiTheme="minorHAnsi" w:cstheme="minorHAnsi"/>
          <w:b/>
          <w:bCs/>
          <w:sz w:val="24"/>
        </w:rPr>
        <w:t>nuove vite.</w:t>
      </w:r>
      <w:r w:rsidR="005147FA" w:rsidRPr="00C6297F">
        <w:rPr>
          <w:rFonts w:asciiTheme="minorHAnsi" w:hAnsiTheme="minorHAnsi" w:cstheme="minorHAnsi"/>
          <w:b/>
          <w:bCs/>
          <w:sz w:val="24"/>
        </w:rPr>
        <w:t xml:space="preserve"> (</w:t>
      </w:r>
      <w:r w:rsidR="007B0060">
        <w:rPr>
          <w:rFonts w:asciiTheme="minorHAnsi" w:hAnsiTheme="minorHAnsi" w:cstheme="minorHAnsi"/>
          <w:b/>
          <w:bCs/>
          <w:sz w:val="24"/>
        </w:rPr>
        <w:t>-56</w:t>
      </w:r>
      <w:r w:rsidR="005147FA" w:rsidRPr="00C6297F">
        <w:rPr>
          <w:rFonts w:asciiTheme="minorHAnsi" w:hAnsiTheme="minorHAnsi" w:cstheme="minorHAnsi"/>
          <w:b/>
          <w:bCs/>
          <w:sz w:val="24"/>
        </w:rPr>
        <w:t xml:space="preserve">%),  </w:t>
      </w:r>
    </w:p>
    <w:p w14:paraId="3A592227" w14:textId="77777777" w:rsidR="00EF519E" w:rsidRPr="000D5F54" w:rsidRDefault="00EF519E" w:rsidP="00EF519E">
      <w:r>
        <w:rPr>
          <w:noProof/>
        </w:rPr>
        <w:drawing>
          <wp:inline distT="0" distB="0" distL="0" distR="0" wp14:anchorId="0880068A" wp14:editId="6CC75CD2">
            <wp:extent cx="5486400" cy="3200400"/>
            <wp:effectExtent l="0" t="0" r="0" b="0"/>
            <wp:docPr id="4" name="Gra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D7A9B2B" w14:textId="77777777" w:rsidR="001B1C19" w:rsidRPr="00C0320B" w:rsidRDefault="001B1C19" w:rsidP="001B1C19">
      <w:pPr>
        <w:ind w:left="360"/>
        <w:jc w:val="both"/>
        <w:rPr>
          <w:b/>
          <w:bCs/>
        </w:rPr>
      </w:pPr>
      <w:r w:rsidRPr="00C0320B">
        <w:rPr>
          <w:b/>
          <w:bCs/>
        </w:rPr>
        <w:t xml:space="preserve">§ </w:t>
      </w:r>
      <w:r>
        <w:rPr>
          <w:b/>
          <w:bCs/>
        </w:rPr>
        <w:t xml:space="preserve">I  grafici  sono </w:t>
      </w:r>
      <w:r w:rsidRPr="00C0320B">
        <w:rPr>
          <w:b/>
          <w:bCs/>
        </w:rPr>
        <w:t xml:space="preserve"> elaborat</w:t>
      </w:r>
      <w:r>
        <w:rPr>
          <w:b/>
          <w:bCs/>
        </w:rPr>
        <w:t>i</w:t>
      </w:r>
      <w:r w:rsidRPr="00C0320B">
        <w:rPr>
          <w:b/>
          <w:bCs/>
        </w:rPr>
        <w:t xml:space="preserve"> dall’autore su dati ISTAT</w:t>
      </w:r>
    </w:p>
    <w:p w14:paraId="27470C18" w14:textId="6265D05D" w:rsidR="00105B78" w:rsidRDefault="00105B78" w:rsidP="000176E7">
      <w:pPr>
        <w:jc w:val="both"/>
        <w:rPr>
          <w:sz w:val="24"/>
        </w:rPr>
      </w:pPr>
    </w:p>
    <w:p w14:paraId="76F76F6D" w14:textId="77777777" w:rsidR="001B1C19" w:rsidRDefault="001B1C19" w:rsidP="000176E7">
      <w:pPr>
        <w:jc w:val="both"/>
        <w:rPr>
          <w:sz w:val="24"/>
        </w:rPr>
      </w:pPr>
    </w:p>
    <w:p w14:paraId="1E9D8E63" w14:textId="55E3A460" w:rsidR="005147FA" w:rsidRPr="00C0320B" w:rsidRDefault="005147FA" w:rsidP="00161B61">
      <w:pPr>
        <w:jc w:val="both"/>
        <w:rPr>
          <w:b/>
          <w:bCs/>
        </w:rPr>
      </w:pPr>
      <w:r w:rsidRPr="00C0320B">
        <w:rPr>
          <w:rFonts w:asciiTheme="minorHAnsi" w:hAnsiTheme="minorHAnsi" w:cstheme="minorHAnsi"/>
          <w:b/>
          <w:bCs/>
          <w:sz w:val="24"/>
          <w:szCs w:val="24"/>
        </w:rPr>
        <w:t>Analogamente, considerando i matrimoni la premessa fondamentale per la costruzione della famiglia, nel corso di cinquanta anni  si assiste ad una curva discendente analoga a quella registrata per le na</w:t>
      </w:r>
      <w:r w:rsidR="00161B61" w:rsidRPr="00C0320B">
        <w:rPr>
          <w:rFonts w:asciiTheme="minorHAnsi" w:hAnsiTheme="minorHAnsi" w:cstheme="minorHAnsi"/>
          <w:b/>
          <w:bCs/>
          <w:sz w:val="24"/>
          <w:szCs w:val="24"/>
        </w:rPr>
        <w:t>s</w:t>
      </w:r>
      <w:r w:rsidRPr="00C0320B">
        <w:rPr>
          <w:rFonts w:asciiTheme="minorHAnsi" w:hAnsiTheme="minorHAnsi" w:cstheme="minorHAnsi"/>
          <w:b/>
          <w:bCs/>
          <w:sz w:val="24"/>
          <w:szCs w:val="24"/>
        </w:rPr>
        <w:t>cite</w:t>
      </w:r>
      <w:r w:rsidR="00161B61" w:rsidRPr="00C0320B">
        <w:rPr>
          <w:rFonts w:asciiTheme="minorHAnsi" w:hAnsiTheme="minorHAnsi" w:cstheme="minorHAnsi"/>
          <w:b/>
          <w:bCs/>
          <w:sz w:val="24"/>
          <w:szCs w:val="24"/>
        </w:rPr>
        <w:t xml:space="preserve">:  da 440 mila matrimoni registrati nel 1971, attraverso i decenni successivi, che ne scandiscono l’inesorabile calo, nel 2021 sono stati 179 mila, ossia 261 mila in meno (--60%) </w:t>
      </w:r>
    </w:p>
    <w:p w14:paraId="756B3B23" w14:textId="77777777" w:rsidR="005D2B98" w:rsidRPr="000D5F54" w:rsidRDefault="005D15AA" w:rsidP="005D2B98">
      <w:r>
        <w:rPr>
          <w:sz w:val="24"/>
        </w:rPr>
        <w:t xml:space="preserve">      </w:t>
      </w:r>
      <w:r w:rsidR="005D2B98">
        <w:rPr>
          <w:noProof/>
        </w:rPr>
        <w:drawing>
          <wp:inline distT="0" distB="0" distL="0" distR="0" wp14:anchorId="0363A920" wp14:editId="215BD80A">
            <wp:extent cx="5486400" cy="3200400"/>
            <wp:effectExtent l="0" t="0" r="0" b="0"/>
            <wp:docPr id="13" name="Grafico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69943FB" w14:textId="2DC8975D" w:rsidR="005D15AA" w:rsidRDefault="005D15AA" w:rsidP="000176E7">
      <w:pPr>
        <w:jc w:val="both"/>
        <w:rPr>
          <w:sz w:val="24"/>
        </w:rPr>
      </w:pPr>
    </w:p>
    <w:p w14:paraId="288724D6" w14:textId="77777777" w:rsidR="001B1C19" w:rsidRPr="00C0320B" w:rsidRDefault="001B1C19" w:rsidP="001B1C19">
      <w:pPr>
        <w:ind w:left="360"/>
        <w:jc w:val="both"/>
        <w:rPr>
          <w:b/>
          <w:bCs/>
        </w:rPr>
      </w:pPr>
      <w:r>
        <w:t xml:space="preserve">      </w:t>
      </w:r>
      <w:r w:rsidRPr="00C0320B">
        <w:rPr>
          <w:b/>
          <w:bCs/>
        </w:rPr>
        <w:t xml:space="preserve">§ </w:t>
      </w:r>
      <w:r>
        <w:rPr>
          <w:b/>
          <w:bCs/>
        </w:rPr>
        <w:t xml:space="preserve">I  grafici  sono </w:t>
      </w:r>
      <w:r w:rsidRPr="00C0320B">
        <w:rPr>
          <w:b/>
          <w:bCs/>
        </w:rPr>
        <w:t xml:space="preserve"> elaborat</w:t>
      </w:r>
      <w:r>
        <w:rPr>
          <w:b/>
          <w:bCs/>
        </w:rPr>
        <w:t>i</w:t>
      </w:r>
      <w:r w:rsidRPr="00C0320B">
        <w:rPr>
          <w:b/>
          <w:bCs/>
        </w:rPr>
        <w:t xml:space="preserve"> dall’autore su dati ISTAT</w:t>
      </w:r>
    </w:p>
    <w:p w14:paraId="10D1A5DD" w14:textId="639CFF48" w:rsidR="005D15AA" w:rsidRDefault="005D15AA" w:rsidP="005D15AA">
      <w:pPr>
        <w:jc w:val="both"/>
      </w:pPr>
    </w:p>
    <w:p w14:paraId="1BB6F610" w14:textId="401786BD" w:rsidR="005D15AA" w:rsidRDefault="005D15AA" w:rsidP="002148C3">
      <w:pPr>
        <w:pStyle w:val="Corpotesto"/>
        <w:jc w:val="both"/>
      </w:pPr>
      <w:r>
        <w:rPr>
          <w:rFonts w:ascii="Times New Roman" w:hAnsi="Times New Roman"/>
        </w:rPr>
        <w:t xml:space="preserve"> </w:t>
      </w:r>
    </w:p>
    <w:p w14:paraId="11E1D1C4" w14:textId="49611443" w:rsidR="005D15AA" w:rsidRDefault="008D3C85" w:rsidP="005D15AA">
      <w:pPr>
        <w:jc w:val="both"/>
        <w:rPr>
          <w:rFonts w:asciiTheme="minorHAnsi" w:hAnsiTheme="minorHAnsi" w:cstheme="minorHAnsi"/>
          <w:b/>
          <w:bCs/>
          <w:sz w:val="24"/>
          <w:szCs w:val="24"/>
        </w:rPr>
      </w:pPr>
      <w:r w:rsidRPr="00B65D55">
        <w:rPr>
          <w:rFonts w:asciiTheme="minorHAnsi" w:hAnsiTheme="minorHAnsi" w:cstheme="minorHAnsi"/>
          <w:b/>
          <w:bCs/>
          <w:sz w:val="24"/>
          <w:szCs w:val="24"/>
        </w:rPr>
        <w:t>OSSERVAZIONI</w:t>
      </w:r>
    </w:p>
    <w:p w14:paraId="75B3D221" w14:textId="77777777" w:rsidR="003259BC" w:rsidRDefault="00B65D55" w:rsidP="005D15AA">
      <w:pPr>
        <w:jc w:val="both"/>
        <w:rPr>
          <w:rFonts w:asciiTheme="minorHAnsi" w:hAnsiTheme="minorHAnsi" w:cstheme="minorHAnsi"/>
          <w:b/>
          <w:bCs/>
          <w:sz w:val="24"/>
          <w:szCs w:val="24"/>
          <w:shd w:val="clear" w:color="auto" w:fill="FFFFFF"/>
        </w:rPr>
      </w:pPr>
      <w:r w:rsidRPr="003259BC">
        <w:rPr>
          <w:rFonts w:asciiTheme="minorHAnsi" w:hAnsiTheme="minorHAnsi" w:cstheme="minorHAnsi"/>
          <w:b/>
          <w:bCs/>
          <w:sz w:val="24"/>
          <w:szCs w:val="24"/>
        </w:rPr>
        <w:t>Nel corso di due generazioni, quante vanno dal 1971 al 2021, la popolazione italiana mostra segni di decrescita di notevole entità, che</w:t>
      </w:r>
      <w:r w:rsidR="001C1FA6" w:rsidRPr="003259BC">
        <w:rPr>
          <w:rFonts w:asciiTheme="minorHAnsi" w:hAnsiTheme="minorHAnsi" w:cstheme="minorHAnsi"/>
          <w:b/>
          <w:bCs/>
          <w:sz w:val="24"/>
          <w:szCs w:val="24"/>
        </w:rPr>
        <w:t xml:space="preserve">, pur mantenendosi a livelli </w:t>
      </w:r>
      <w:r w:rsidRPr="003259BC">
        <w:rPr>
          <w:rFonts w:asciiTheme="minorHAnsi" w:hAnsiTheme="minorHAnsi" w:cstheme="minorHAnsi"/>
          <w:b/>
          <w:bCs/>
          <w:sz w:val="24"/>
          <w:szCs w:val="24"/>
        </w:rPr>
        <w:t xml:space="preserve"> </w:t>
      </w:r>
      <w:r w:rsidR="001C1FA6" w:rsidRPr="003259BC">
        <w:rPr>
          <w:rFonts w:asciiTheme="minorHAnsi" w:hAnsiTheme="minorHAnsi" w:cstheme="minorHAnsi"/>
          <w:b/>
          <w:bCs/>
          <w:sz w:val="24"/>
          <w:szCs w:val="24"/>
        </w:rPr>
        <w:t xml:space="preserve">di un costante mantenimento della crescita nei decenni 1961-2001, dopo il picco del 2010 -  </w:t>
      </w:r>
      <w:r w:rsidR="001C1FA6" w:rsidRPr="003259BC">
        <w:rPr>
          <w:rFonts w:asciiTheme="minorHAnsi" w:hAnsiTheme="minorHAnsi" w:cstheme="minorHAnsi"/>
          <w:b/>
          <w:bCs/>
          <w:sz w:val="24"/>
          <w:szCs w:val="24"/>
          <w:shd w:val="clear" w:color="auto" w:fill="FFFFFF"/>
        </w:rPr>
        <w:t xml:space="preserve">60.626.442 abitanti -  </w:t>
      </w:r>
      <w:r w:rsidR="003259BC" w:rsidRPr="003259BC">
        <w:rPr>
          <w:rFonts w:asciiTheme="minorHAnsi" w:hAnsiTheme="minorHAnsi" w:cstheme="minorHAnsi"/>
          <w:b/>
          <w:bCs/>
          <w:sz w:val="24"/>
          <w:szCs w:val="24"/>
          <w:shd w:val="clear" w:color="auto" w:fill="FFFFFF"/>
        </w:rPr>
        <w:t>è orientata verso un lento decremento, accompagnata dal saldo negativo del movimento naturale della popolazione</w:t>
      </w:r>
      <w:r w:rsidR="003259BC">
        <w:rPr>
          <w:rFonts w:asciiTheme="minorHAnsi" w:hAnsiTheme="minorHAnsi" w:cstheme="minorHAnsi"/>
          <w:b/>
          <w:bCs/>
          <w:sz w:val="24"/>
          <w:szCs w:val="24"/>
          <w:shd w:val="clear" w:color="auto" w:fill="FFFFFF"/>
        </w:rPr>
        <w:t>, e dal progressivo suo invecchiamento.</w:t>
      </w:r>
    </w:p>
    <w:p w14:paraId="2C532363" w14:textId="26C16416" w:rsidR="00B65D55" w:rsidRDefault="003259BC" w:rsidP="005D15AA">
      <w:pPr>
        <w:jc w:val="both"/>
        <w:rPr>
          <w:rFonts w:asciiTheme="minorHAnsi" w:hAnsiTheme="minorHAnsi" w:cstheme="minorHAnsi"/>
          <w:b/>
          <w:bCs/>
          <w:sz w:val="24"/>
          <w:szCs w:val="24"/>
        </w:rPr>
      </w:pPr>
      <w:r>
        <w:rPr>
          <w:rFonts w:asciiTheme="minorHAnsi" w:hAnsiTheme="minorHAnsi" w:cstheme="minorHAnsi"/>
          <w:b/>
          <w:bCs/>
          <w:sz w:val="24"/>
          <w:szCs w:val="24"/>
        </w:rPr>
        <w:t xml:space="preserve">La composizione media delle famiglie va sempre più assottigliandosi, con una straordinaria moltiplicazione di famiglie composte da una sola persona e da due persone, che sono passate da 5.577 nel 1971 a 15.585 nel 2021, </w:t>
      </w:r>
      <w:r w:rsidR="00AA2BD8">
        <w:rPr>
          <w:rFonts w:asciiTheme="minorHAnsi" w:hAnsiTheme="minorHAnsi" w:cstheme="minorHAnsi"/>
          <w:b/>
          <w:bCs/>
          <w:sz w:val="24"/>
          <w:szCs w:val="24"/>
        </w:rPr>
        <w:t xml:space="preserve">e quindi, in percentuale, </w:t>
      </w:r>
      <w:r w:rsidR="000246B5">
        <w:rPr>
          <w:rFonts w:asciiTheme="minorHAnsi" w:hAnsiTheme="minorHAnsi" w:cstheme="minorHAnsi"/>
          <w:b/>
          <w:bCs/>
          <w:sz w:val="24"/>
          <w:szCs w:val="24"/>
        </w:rPr>
        <w:t xml:space="preserve">un aumento del 279,45%,e </w:t>
      </w:r>
      <w:r w:rsidR="0074025F">
        <w:rPr>
          <w:rFonts w:asciiTheme="minorHAnsi" w:hAnsiTheme="minorHAnsi" w:cstheme="minorHAnsi"/>
          <w:b/>
          <w:bCs/>
          <w:sz w:val="24"/>
          <w:szCs w:val="24"/>
        </w:rPr>
        <w:t xml:space="preserve">come composizione percentuale rispetto alla popolazione, dal </w:t>
      </w:r>
      <w:r w:rsidR="00B653C2">
        <w:rPr>
          <w:rFonts w:asciiTheme="minorHAnsi" w:hAnsiTheme="minorHAnsi" w:cstheme="minorHAnsi"/>
          <w:b/>
          <w:bCs/>
          <w:sz w:val="24"/>
          <w:szCs w:val="24"/>
        </w:rPr>
        <w:t>34,9</w:t>
      </w:r>
      <w:r w:rsidR="00D35AA2">
        <w:rPr>
          <w:rFonts w:asciiTheme="minorHAnsi" w:hAnsiTheme="minorHAnsi" w:cstheme="minorHAnsi"/>
          <w:b/>
          <w:bCs/>
          <w:sz w:val="24"/>
          <w:szCs w:val="24"/>
        </w:rPr>
        <w:t>%</w:t>
      </w:r>
      <w:r w:rsidR="00B653C2">
        <w:rPr>
          <w:rFonts w:asciiTheme="minorHAnsi" w:hAnsiTheme="minorHAnsi" w:cstheme="minorHAnsi"/>
          <w:b/>
          <w:bCs/>
          <w:sz w:val="24"/>
          <w:szCs w:val="24"/>
        </w:rPr>
        <w:t xml:space="preserve"> </w:t>
      </w:r>
      <w:r w:rsidR="0074025F">
        <w:rPr>
          <w:rFonts w:asciiTheme="minorHAnsi" w:hAnsiTheme="minorHAnsi" w:cstheme="minorHAnsi"/>
          <w:b/>
          <w:bCs/>
          <w:sz w:val="24"/>
          <w:szCs w:val="24"/>
        </w:rPr>
        <w:t>al</w:t>
      </w:r>
      <w:r w:rsidR="00B653C2">
        <w:rPr>
          <w:rFonts w:asciiTheme="minorHAnsi" w:hAnsiTheme="minorHAnsi" w:cstheme="minorHAnsi"/>
          <w:b/>
          <w:bCs/>
          <w:sz w:val="24"/>
          <w:szCs w:val="24"/>
        </w:rPr>
        <w:t xml:space="preserve"> 60,9</w:t>
      </w:r>
      <w:r w:rsidR="00D35AA2">
        <w:rPr>
          <w:rFonts w:asciiTheme="minorHAnsi" w:hAnsiTheme="minorHAnsi" w:cstheme="minorHAnsi"/>
          <w:b/>
          <w:bCs/>
          <w:sz w:val="24"/>
          <w:szCs w:val="24"/>
        </w:rPr>
        <w:t>%.</w:t>
      </w:r>
    </w:p>
    <w:p w14:paraId="1B196843" w14:textId="1F8AF188" w:rsidR="00D35AA2" w:rsidRDefault="00D35AA2" w:rsidP="00D35AA2">
      <w:pPr>
        <w:jc w:val="both"/>
        <w:rPr>
          <w:rFonts w:asciiTheme="minorHAnsi" w:hAnsiTheme="minorHAnsi" w:cstheme="minorHAnsi"/>
          <w:b/>
          <w:bCs/>
          <w:sz w:val="24"/>
          <w:szCs w:val="24"/>
        </w:rPr>
      </w:pPr>
      <w:r>
        <w:rPr>
          <w:rFonts w:asciiTheme="minorHAnsi" w:hAnsiTheme="minorHAnsi" w:cstheme="minorHAnsi"/>
          <w:b/>
          <w:bCs/>
          <w:sz w:val="24"/>
          <w:szCs w:val="24"/>
        </w:rPr>
        <w:t>Le famiglie con componenti fra 3 e 6 e più dal 65,1% del 1971 sono passate al 39,1%, e quindi da una chiara maggioranza ad una  dimensione minoritaria.</w:t>
      </w:r>
    </w:p>
    <w:p w14:paraId="3060C087" w14:textId="3CA2779E" w:rsidR="00D35AA2" w:rsidRDefault="00D35AA2" w:rsidP="00D35AA2">
      <w:pPr>
        <w:jc w:val="both"/>
        <w:rPr>
          <w:rFonts w:asciiTheme="minorHAnsi" w:hAnsiTheme="minorHAnsi" w:cstheme="minorHAnsi"/>
          <w:b/>
          <w:bCs/>
          <w:sz w:val="24"/>
          <w:szCs w:val="24"/>
        </w:rPr>
      </w:pPr>
      <w:r>
        <w:rPr>
          <w:rFonts w:asciiTheme="minorHAnsi" w:hAnsiTheme="minorHAnsi" w:cstheme="minorHAnsi"/>
          <w:b/>
          <w:bCs/>
          <w:sz w:val="24"/>
          <w:szCs w:val="24"/>
        </w:rPr>
        <w:t>Tale constatazione porta a riflettere sulla ricaduta che tale fenomeno comporta in termini sociali, economici e produttivi, e  la necessaria configurazione dei servizi sociali, sanitari, alla persona ed alla famiglia.</w:t>
      </w:r>
    </w:p>
    <w:p w14:paraId="756ADB3F" w14:textId="2221B857" w:rsidR="00D35AA2" w:rsidRDefault="00D35AA2" w:rsidP="00D35AA2">
      <w:pPr>
        <w:jc w:val="both"/>
        <w:rPr>
          <w:rFonts w:asciiTheme="minorHAnsi" w:hAnsiTheme="minorHAnsi" w:cstheme="minorHAnsi"/>
          <w:b/>
          <w:bCs/>
          <w:sz w:val="24"/>
          <w:szCs w:val="24"/>
        </w:rPr>
      </w:pPr>
      <w:r>
        <w:rPr>
          <w:rFonts w:asciiTheme="minorHAnsi" w:hAnsiTheme="minorHAnsi" w:cstheme="minorHAnsi"/>
          <w:b/>
          <w:bCs/>
          <w:sz w:val="24"/>
          <w:szCs w:val="24"/>
        </w:rPr>
        <w:t xml:space="preserve">Il fenomeno della denatalità, raggiunge livelli di assoluta preoccupazione, </w:t>
      </w:r>
      <w:r w:rsidR="00D80EA6">
        <w:rPr>
          <w:rFonts w:asciiTheme="minorHAnsi" w:hAnsiTheme="minorHAnsi" w:cstheme="minorHAnsi"/>
          <w:b/>
          <w:bCs/>
          <w:sz w:val="24"/>
          <w:szCs w:val="24"/>
        </w:rPr>
        <w:t>non assicurando il saldo naturale della popolazione, ma anche, in prospettiva l’indice di dipendenza degli anziani nei confronti dei giovani, e la prospettiva di una riduzione dei servizi sociali per l’infanzia.</w:t>
      </w:r>
    </w:p>
    <w:p w14:paraId="6F25289E" w14:textId="77777777" w:rsidR="00233A22" w:rsidRDefault="00D80EA6" w:rsidP="00D35AA2">
      <w:pPr>
        <w:jc w:val="both"/>
        <w:rPr>
          <w:rFonts w:asciiTheme="minorHAnsi" w:hAnsiTheme="minorHAnsi" w:cstheme="minorHAnsi"/>
          <w:b/>
          <w:bCs/>
          <w:sz w:val="24"/>
          <w:szCs w:val="24"/>
        </w:rPr>
      </w:pPr>
      <w:r>
        <w:rPr>
          <w:rFonts w:asciiTheme="minorHAnsi" w:hAnsiTheme="minorHAnsi" w:cstheme="minorHAnsi"/>
          <w:b/>
          <w:bCs/>
          <w:sz w:val="24"/>
          <w:szCs w:val="24"/>
        </w:rPr>
        <w:t>Si ritiene che è assolutamente necessario puntare sul rilancio e la promozione della natalità, ed incoraggiare e sviluppare le politiche che portino alla costituzione di nuove famiglie, anche in relazione al crollo dei matrimoni, che costituiscono la base fondamentale per la crescita della popolazione.</w:t>
      </w:r>
    </w:p>
    <w:p w14:paraId="02A9B65A" w14:textId="05DFCB6D" w:rsidR="00D80EA6" w:rsidRDefault="00233A22" w:rsidP="00D35AA2">
      <w:pPr>
        <w:jc w:val="both"/>
        <w:rPr>
          <w:rFonts w:asciiTheme="minorHAnsi" w:hAnsiTheme="minorHAnsi" w:cstheme="minorHAnsi"/>
          <w:b/>
          <w:bCs/>
          <w:sz w:val="24"/>
          <w:szCs w:val="24"/>
        </w:rPr>
      </w:pPr>
      <w:r>
        <w:rPr>
          <w:rFonts w:asciiTheme="minorHAnsi" w:hAnsiTheme="minorHAnsi" w:cstheme="minorHAnsi"/>
          <w:b/>
          <w:bCs/>
          <w:sz w:val="24"/>
          <w:szCs w:val="24"/>
        </w:rPr>
        <w:lastRenderedPageBreak/>
        <w:t xml:space="preserve">Un riequilibrio delle risorse destinate al </w:t>
      </w:r>
      <w:r w:rsidR="00D80EA6">
        <w:rPr>
          <w:rFonts w:asciiTheme="minorHAnsi" w:hAnsiTheme="minorHAnsi" w:cstheme="minorHAnsi"/>
          <w:b/>
          <w:bCs/>
          <w:sz w:val="24"/>
          <w:szCs w:val="24"/>
        </w:rPr>
        <w:t xml:space="preserve"> </w:t>
      </w:r>
      <w:r>
        <w:rPr>
          <w:rFonts w:asciiTheme="minorHAnsi" w:hAnsiTheme="minorHAnsi" w:cstheme="minorHAnsi"/>
          <w:b/>
          <w:bCs/>
          <w:sz w:val="24"/>
          <w:szCs w:val="24"/>
        </w:rPr>
        <w:t>welfare (benessere) si ritiene che dovrebbe portare a considerare le nascite quale investimento sociale primario, e, come in Francia, prevedere il potenziamento di quelle che in quel paese sono indicate quali “allocations familiales”, che assicurano un adeguato sostegno alla famiglia  ed alla natalità.</w:t>
      </w:r>
    </w:p>
    <w:p w14:paraId="24A214B1" w14:textId="77777777" w:rsidR="00D80EA6" w:rsidRDefault="00D80EA6" w:rsidP="00D35AA2">
      <w:pPr>
        <w:jc w:val="both"/>
        <w:rPr>
          <w:rFonts w:asciiTheme="minorHAnsi" w:hAnsiTheme="minorHAnsi" w:cstheme="minorHAnsi"/>
          <w:b/>
          <w:bCs/>
          <w:sz w:val="24"/>
          <w:szCs w:val="24"/>
        </w:rPr>
      </w:pPr>
    </w:p>
    <w:p w14:paraId="31DC29CD" w14:textId="38C19481" w:rsidR="009211CC" w:rsidRPr="009211CC" w:rsidRDefault="004C5EF3" w:rsidP="00D35AA2">
      <w:pPr>
        <w:jc w:val="both"/>
        <w:rPr>
          <w:rFonts w:asciiTheme="minorHAnsi" w:hAnsiTheme="minorHAnsi" w:cstheme="minorHAnsi"/>
          <w:b/>
          <w:sz w:val="24"/>
          <w:szCs w:val="24"/>
        </w:rPr>
      </w:pPr>
      <w:r w:rsidRPr="009211CC">
        <w:rPr>
          <w:rFonts w:asciiTheme="minorHAnsi" w:hAnsiTheme="minorHAnsi" w:cstheme="minorHAnsi"/>
          <w:b/>
          <w:sz w:val="24"/>
          <w:szCs w:val="24"/>
        </w:rPr>
        <w:t>L</w:t>
      </w:r>
      <w:r w:rsidR="009211CC" w:rsidRPr="009211CC">
        <w:rPr>
          <w:rFonts w:asciiTheme="minorHAnsi" w:hAnsiTheme="minorHAnsi" w:cstheme="minorHAnsi"/>
          <w:b/>
          <w:sz w:val="24"/>
          <w:szCs w:val="24"/>
        </w:rPr>
        <w:t>A FAMIGLIA NELLA COSTITUZIONE DELLA REPUBBLICA</w:t>
      </w:r>
    </w:p>
    <w:p w14:paraId="11A1F68F" w14:textId="7777777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 xml:space="preserve">Si ritiene necessario ricordare quanto è stato indicato nella Costituzione della Repubblica italiana in merito alla famiglia, con la riproposizione degli articoli che più direttamente la riguardano: </w:t>
      </w:r>
    </w:p>
    <w:p w14:paraId="0D7C7F5A" w14:textId="7777777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Art. 29.</w:t>
      </w:r>
    </w:p>
    <w:p w14:paraId="7C2E6A65" w14:textId="7777777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La Repubblica riconosce i diritti della famiglia come società naturale fondata sul matrimonio.</w:t>
      </w:r>
    </w:p>
    <w:p w14:paraId="1BB4A891" w14:textId="38A83BD4"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Il matrimonio è ordinato sull’eguaglianza morale e giuridica dei coniugi, con i limiti stabiliti</w:t>
      </w:r>
      <w:r w:rsidR="009211CC">
        <w:rPr>
          <w:rFonts w:asciiTheme="minorHAnsi" w:hAnsiTheme="minorHAnsi" w:cstheme="minorHAnsi"/>
          <w:b/>
          <w:bCs/>
          <w:sz w:val="24"/>
          <w:szCs w:val="24"/>
        </w:rPr>
        <w:t xml:space="preserve"> dalla legge a garanzia dell’unità familiare.</w:t>
      </w:r>
    </w:p>
    <w:p w14:paraId="0FBC5A52" w14:textId="7777777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Art. 30.</w:t>
      </w:r>
    </w:p>
    <w:p w14:paraId="47E1B628" w14:textId="645FFB9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È dovere e diritto dei genitori mantenere, istruire ed educare i figli, anche se nati fuori del</w:t>
      </w:r>
      <w:r w:rsidR="009211CC">
        <w:rPr>
          <w:rFonts w:asciiTheme="minorHAnsi" w:hAnsiTheme="minorHAnsi" w:cstheme="minorHAnsi"/>
          <w:b/>
          <w:bCs/>
          <w:sz w:val="24"/>
          <w:szCs w:val="24"/>
        </w:rPr>
        <w:t xml:space="preserve"> matrimonio</w:t>
      </w:r>
    </w:p>
    <w:p w14:paraId="1D766B35" w14:textId="7777777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Nei casi di incapacità dei genitori, la legge provvede a che siano assolti i loro compiti.</w:t>
      </w:r>
    </w:p>
    <w:p w14:paraId="62FB9A95" w14:textId="65CFC434"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La legge assicura ai figli nati fuori del matrimonio ogni tutela giuridica e sociale, compatibile</w:t>
      </w:r>
      <w:r w:rsidR="009211CC">
        <w:rPr>
          <w:rFonts w:asciiTheme="minorHAnsi" w:hAnsiTheme="minorHAnsi" w:cstheme="minorHAnsi"/>
          <w:b/>
          <w:bCs/>
          <w:sz w:val="24"/>
          <w:szCs w:val="24"/>
        </w:rPr>
        <w:t xml:space="preserve"> con i </w:t>
      </w:r>
    </w:p>
    <w:p w14:paraId="69662729" w14:textId="6EA6E83D"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diritti dei membri della famiglia legittima.</w:t>
      </w:r>
    </w:p>
    <w:p w14:paraId="0EF9325B" w14:textId="7777777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La legge detta le norme e i limiti per la ricerca della paternità.</w:t>
      </w:r>
    </w:p>
    <w:p w14:paraId="090D741A" w14:textId="7777777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Art. 31.</w:t>
      </w:r>
    </w:p>
    <w:p w14:paraId="642BAEE8" w14:textId="7777777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La Repubblica agevola con misure economiche e altre provvidenze la formazione della famiglia e</w:t>
      </w:r>
    </w:p>
    <w:p w14:paraId="7AE1F396" w14:textId="7777777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l’adempimento dei compiti relativi, con particolare riguardo alle famiglie numerose.</w:t>
      </w:r>
    </w:p>
    <w:p w14:paraId="494AC49E" w14:textId="77777777" w:rsidR="004C5EF3" w:rsidRPr="009211CC" w:rsidRDefault="004C5EF3" w:rsidP="009211CC">
      <w:pPr>
        <w:autoSpaceDE w:val="0"/>
        <w:autoSpaceDN w:val="0"/>
        <w:adjustRightInd w:val="0"/>
        <w:jc w:val="both"/>
        <w:rPr>
          <w:rFonts w:asciiTheme="minorHAnsi" w:hAnsiTheme="minorHAnsi" w:cstheme="minorHAnsi"/>
          <w:b/>
          <w:bCs/>
          <w:sz w:val="24"/>
          <w:szCs w:val="24"/>
        </w:rPr>
      </w:pPr>
      <w:r w:rsidRPr="009211CC">
        <w:rPr>
          <w:rFonts w:asciiTheme="minorHAnsi" w:hAnsiTheme="minorHAnsi" w:cstheme="minorHAnsi"/>
          <w:b/>
          <w:bCs/>
          <w:sz w:val="24"/>
          <w:szCs w:val="24"/>
        </w:rPr>
        <w:t>Protegge la maternità, l’infanzia e la gioventù, favorendo gli istituti necessari a tale scopo.</w:t>
      </w:r>
    </w:p>
    <w:p w14:paraId="5465B671" w14:textId="3B13A0AE" w:rsidR="004C5EF3" w:rsidRPr="009211CC" w:rsidRDefault="004C5EF3" w:rsidP="009211CC">
      <w:pPr>
        <w:pStyle w:val="Titolo9"/>
        <w:tabs>
          <w:tab w:val="left" w:pos="0"/>
          <w:tab w:val="left" w:pos="50"/>
          <w:tab w:val="left" w:pos="9638"/>
          <w:tab w:val="right" w:pos="9871"/>
        </w:tabs>
        <w:rPr>
          <w:rFonts w:asciiTheme="minorHAnsi" w:hAnsiTheme="minorHAnsi" w:cstheme="minorHAnsi"/>
          <w:bCs/>
          <w:szCs w:val="24"/>
          <w:u w:val="none"/>
        </w:rPr>
      </w:pPr>
      <w:r w:rsidRPr="009211CC">
        <w:rPr>
          <w:rFonts w:asciiTheme="minorHAnsi" w:hAnsiTheme="minorHAnsi" w:cstheme="minorHAnsi"/>
          <w:bCs/>
          <w:szCs w:val="24"/>
          <w:u w:val="none"/>
        </w:rPr>
        <w:t xml:space="preserve">E pertanto, in base a tale quadro di riferimento, in cui sono insiti i successivi sviluppi che sul piano normativo ed amministrativo sono stati portati avanti, il presente saggio si propone di analizzare le specifiche politiche familiari portate avanti dai Governi che si sono succeduti nel corso di </w:t>
      </w:r>
      <w:r w:rsidR="009211CC">
        <w:rPr>
          <w:rFonts w:asciiTheme="minorHAnsi" w:hAnsiTheme="minorHAnsi" w:cstheme="minorHAnsi"/>
          <w:bCs/>
          <w:szCs w:val="24"/>
          <w:u w:val="none"/>
        </w:rPr>
        <w:t>cinquanta</w:t>
      </w:r>
      <w:r w:rsidRPr="009211CC">
        <w:rPr>
          <w:rFonts w:asciiTheme="minorHAnsi" w:hAnsiTheme="minorHAnsi" w:cstheme="minorHAnsi"/>
          <w:bCs/>
          <w:szCs w:val="24"/>
          <w:u w:val="none"/>
        </w:rPr>
        <w:t>, al fine anche di valutarne l’intensità di azione e i propositi perseguiti.</w:t>
      </w:r>
    </w:p>
    <w:p w14:paraId="7903A1B2" w14:textId="77777777" w:rsidR="00977783" w:rsidRDefault="00977783" w:rsidP="005D15AA">
      <w:pPr>
        <w:jc w:val="both"/>
        <w:rPr>
          <w:rFonts w:asciiTheme="minorHAnsi" w:hAnsiTheme="minorHAnsi" w:cstheme="minorHAnsi"/>
          <w:b/>
          <w:bCs/>
          <w:sz w:val="24"/>
          <w:szCs w:val="24"/>
        </w:rPr>
      </w:pPr>
    </w:p>
    <w:p w14:paraId="2181C1ED" w14:textId="566B9A19" w:rsidR="008D3C85" w:rsidRPr="009211CC" w:rsidRDefault="00187A93" w:rsidP="005D15AA">
      <w:pPr>
        <w:jc w:val="both"/>
        <w:rPr>
          <w:rFonts w:asciiTheme="minorHAnsi" w:hAnsiTheme="minorHAnsi" w:cstheme="minorHAnsi"/>
          <w:b/>
          <w:bCs/>
          <w:sz w:val="24"/>
          <w:szCs w:val="24"/>
        </w:rPr>
      </w:pPr>
      <w:r w:rsidRPr="009211CC">
        <w:rPr>
          <w:rFonts w:asciiTheme="minorHAnsi" w:hAnsiTheme="minorHAnsi" w:cstheme="minorHAnsi"/>
          <w:b/>
          <w:bCs/>
          <w:sz w:val="24"/>
          <w:szCs w:val="24"/>
        </w:rPr>
        <w:t xml:space="preserve">LE POLITICHE STATALI PER LA FAMIGLIA </w:t>
      </w:r>
    </w:p>
    <w:p w14:paraId="424778F4" w14:textId="3AC93973" w:rsidR="00B2025F" w:rsidRDefault="00B2025F" w:rsidP="00B2025F">
      <w:pPr>
        <w:pStyle w:val="Titolo9"/>
        <w:tabs>
          <w:tab w:val="left" w:pos="0"/>
          <w:tab w:val="left" w:pos="50"/>
          <w:tab w:val="left" w:pos="9638"/>
          <w:tab w:val="right" w:pos="9871"/>
        </w:tabs>
        <w:rPr>
          <w:rFonts w:asciiTheme="minorHAnsi" w:hAnsiTheme="minorHAnsi" w:cstheme="minorHAnsi"/>
          <w:szCs w:val="24"/>
        </w:rPr>
      </w:pPr>
      <w:r w:rsidRPr="00B2025F">
        <w:rPr>
          <w:rFonts w:asciiTheme="minorHAnsi" w:hAnsiTheme="minorHAnsi" w:cstheme="minorHAnsi"/>
          <w:szCs w:val="24"/>
        </w:rPr>
        <w:t>FASE 1971-1980</w:t>
      </w:r>
    </w:p>
    <w:p w14:paraId="6383C171" w14:textId="77777777" w:rsidR="00D600B7" w:rsidRPr="009211CC" w:rsidRDefault="00D600B7" w:rsidP="00D600B7">
      <w:pPr>
        <w:jc w:val="both"/>
        <w:rPr>
          <w:rFonts w:asciiTheme="minorHAnsi" w:hAnsiTheme="minorHAnsi" w:cstheme="minorHAnsi"/>
          <w:b/>
          <w:bCs/>
          <w:sz w:val="24"/>
          <w:szCs w:val="24"/>
        </w:rPr>
      </w:pPr>
      <w:r w:rsidRPr="009211CC">
        <w:rPr>
          <w:rFonts w:asciiTheme="minorHAnsi" w:hAnsiTheme="minorHAnsi" w:cstheme="minorHAnsi"/>
          <w:b/>
          <w:bCs/>
          <w:sz w:val="24"/>
          <w:szCs w:val="24"/>
        </w:rPr>
        <w:t>Il periodo considerato coincide pressappoco con il rinnovato assetto dello Stato che ha visto l’affermazione del decentramento politico-istituzionale con la nascita delle Regioni.</w:t>
      </w:r>
    </w:p>
    <w:p w14:paraId="50A0EEE1" w14:textId="77777777" w:rsidR="00D600B7" w:rsidRPr="009211CC" w:rsidRDefault="00D600B7" w:rsidP="00D600B7">
      <w:pPr>
        <w:jc w:val="both"/>
        <w:rPr>
          <w:rFonts w:asciiTheme="minorHAnsi" w:hAnsiTheme="minorHAnsi" w:cstheme="minorHAnsi"/>
          <w:b/>
          <w:bCs/>
          <w:sz w:val="24"/>
          <w:szCs w:val="24"/>
        </w:rPr>
      </w:pPr>
      <w:r w:rsidRPr="009211CC">
        <w:rPr>
          <w:rFonts w:asciiTheme="minorHAnsi" w:hAnsiTheme="minorHAnsi" w:cstheme="minorHAnsi"/>
          <w:b/>
          <w:bCs/>
          <w:sz w:val="24"/>
          <w:szCs w:val="24"/>
        </w:rPr>
        <w:t>In particolare, per le famiglie, era presente, nella politica di “entificazione” dei bisogni portata avanti dal fascismo, l’ONMI, con una organizzazione</w:t>
      </w:r>
      <w:r>
        <w:rPr>
          <w:rFonts w:asciiTheme="minorHAnsi" w:hAnsiTheme="minorHAnsi" w:cstheme="minorHAnsi"/>
          <w:b/>
          <w:bCs/>
          <w:sz w:val="24"/>
          <w:szCs w:val="24"/>
        </w:rPr>
        <w:t xml:space="preserve"> burocratica e centralizzata.</w:t>
      </w:r>
    </w:p>
    <w:p w14:paraId="48F91DFB" w14:textId="77777777" w:rsidR="00D600B7" w:rsidRDefault="00D600B7" w:rsidP="00D600B7">
      <w:pPr>
        <w:jc w:val="both"/>
        <w:rPr>
          <w:rFonts w:asciiTheme="minorHAnsi" w:hAnsiTheme="minorHAnsi" w:cstheme="minorHAnsi"/>
          <w:b/>
          <w:bCs/>
          <w:sz w:val="24"/>
          <w:szCs w:val="24"/>
        </w:rPr>
      </w:pPr>
      <w:r w:rsidRPr="009211CC">
        <w:rPr>
          <w:rFonts w:asciiTheme="minorHAnsi" w:hAnsiTheme="minorHAnsi" w:cstheme="minorHAnsi"/>
          <w:b/>
          <w:bCs/>
          <w:sz w:val="24"/>
          <w:szCs w:val="24"/>
        </w:rPr>
        <w:t>Con l’avvento delle Regioni e con il quadro politico orientato verso una più corretta individuazione delle funzioni e dei compiti degli Enti locali, secondo l’art. 5 della Costituzione, fu a livello parlamentare avviata una decisa azione volta a promuovere il sistema dei servizi sociali,  e anche i</w:t>
      </w:r>
      <w:r>
        <w:rPr>
          <w:rFonts w:asciiTheme="minorHAnsi" w:hAnsiTheme="minorHAnsi" w:cstheme="minorHAnsi"/>
          <w:b/>
          <w:bCs/>
          <w:sz w:val="24"/>
          <w:szCs w:val="24"/>
        </w:rPr>
        <w:t>n</w:t>
      </w:r>
      <w:r w:rsidRPr="009211CC">
        <w:rPr>
          <w:rFonts w:asciiTheme="minorHAnsi" w:hAnsiTheme="minorHAnsi" w:cstheme="minorHAnsi"/>
          <w:b/>
          <w:bCs/>
          <w:sz w:val="24"/>
          <w:szCs w:val="24"/>
        </w:rPr>
        <w:t xml:space="preserve">  relazione alle prorompenti istanze de</w:t>
      </w:r>
      <w:r>
        <w:rPr>
          <w:rFonts w:asciiTheme="minorHAnsi" w:hAnsiTheme="minorHAnsi" w:cstheme="minorHAnsi"/>
          <w:b/>
          <w:bCs/>
          <w:sz w:val="24"/>
          <w:szCs w:val="24"/>
        </w:rPr>
        <w:t xml:space="preserve">lle Organizzazioni </w:t>
      </w:r>
      <w:r w:rsidRPr="009211CC">
        <w:rPr>
          <w:rFonts w:asciiTheme="minorHAnsi" w:hAnsiTheme="minorHAnsi" w:cstheme="minorHAnsi"/>
          <w:b/>
          <w:bCs/>
          <w:sz w:val="24"/>
          <w:szCs w:val="24"/>
        </w:rPr>
        <w:t>Sindacali volte a promuovere un adeguato sistema di Sicurezza sociale, basato sulla previdenza, sanità, assistenza</w:t>
      </w:r>
      <w:r>
        <w:rPr>
          <w:rFonts w:asciiTheme="minorHAnsi" w:hAnsiTheme="minorHAnsi" w:cstheme="minorHAnsi"/>
          <w:b/>
          <w:bCs/>
          <w:sz w:val="24"/>
          <w:szCs w:val="24"/>
        </w:rPr>
        <w:t>.</w:t>
      </w:r>
    </w:p>
    <w:p w14:paraId="400B95DB" w14:textId="29D00ED0" w:rsidR="00D600B7" w:rsidRPr="00D600B7" w:rsidRDefault="00D600B7" w:rsidP="00B26C51">
      <w:pPr>
        <w:jc w:val="both"/>
        <w:rPr>
          <w:rFonts w:asciiTheme="minorHAnsi" w:hAnsiTheme="minorHAnsi" w:cstheme="minorHAnsi"/>
          <w:b/>
          <w:bCs/>
          <w:sz w:val="24"/>
          <w:szCs w:val="24"/>
        </w:rPr>
      </w:pPr>
      <w:r w:rsidRPr="001812B9">
        <w:rPr>
          <w:rFonts w:asciiTheme="minorHAnsi" w:hAnsiTheme="minorHAnsi" w:cstheme="minorHAnsi"/>
          <w:b/>
          <w:sz w:val="24"/>
          <w:szCs w:val="24"/>
        </w:rPr>
        <w:t xml:space="preserve">Per ciò che concerne le politiche familiari, il processo pertanto ha coinciso  con l’ emanazione di </w:t>
      </w:r>
    </w:p>
    <w:p w14:paraId="539D7162" w14:textId="5607F853" w:rsidR="00D600B7" w:rsidRPr="00B26C51" w:rsidRDefault="00B26C51" w:rsidP="00B26C51">
      <w:pPr>
        <w:jc w:val="both"/>
        <w:rPr>
          <w:rFonts w:asciiTheme="minorHAnsi" w:hAnsiTheme="minorHAnsi" w:cstheme="minorHAnsi"/>
          <w:b/>
          <w:bCs/>
          <w:sz w:val="24"/>
          <w:szCs w:val="24"/>
        </w:rPr>
      </w:pPr>
      <w:r w:rsidRPr="001812B9">
        <w:rPr>
          <w:rFonts w:asciiTheme="minorHAnsi" w:hAnsiTheme="minorHAnsi" w:cstheme="minorHAnsi"/>
          <w:b/>
          <w:sz w:val="24"/>
          <w:szCs w:val="24"/>
        </w:rPr>
        <w:t xml:space="preserve">prime leggi di riforma,  quali la legge n. 1077/71 sugli asili nido, gestiti dai Comuni, </w:t>
      </w:r>
      <w:r w:rsidRPr="001812B9">
        <w:rPr>
          <w:rFonts w:asciiTheme="minorHAnsi" w:hAnsiTheme="minorHAnsi" w:cstheme="minorHAnsi"/>
          <w:b/>
          <w:bCs/>
          <w:sz w:val="24"/>
          <w:szCs w:val="24"/>
        </w:rPr>
        <w:t xml:space="preserve">che costituì il </w:t>
      </w:r>
      <w:r w:rsidRPr="009211CC">
        <w:rPr>
          <w:rFonts w:asciiTheme="minorHAnsi" w:hAnsiTheme="minorHAnsi" w:cstheme="minorHAnsi"/>
          <w:b/>
          <w:bCs/>
          <w:sz w:val="24"/>
          <w:szCs w:val="24"/>
        </w:rPr>
        <w:t xml:space="preserve">primo tassello per lo svolgimento di specifici interventi a favore delle famiglie e delle donne </w:t>
      </w:r>
      <w:r w:rsidRPr="00D600B7">
        <w:rPr>
          <w:rFonts w:asciiTheme="minorHAnsi" w:hAnsiTheme="minorHAnsi" w:cstheme="minorHAnsi"/>
          <w:b/>
          <w:bCs/>
          <w:sz w:val="24"/>
          <w:szCs w:val="24"/>
        </w:rPr>
        <w:t>lavoratrici, grazie alla passione ed all’impegno dell’on.le Adriana Lodi.</w:t>
      </w:r>
    </w:p>
    <w:p w14:paraId="5C8A9B0D" w14:textId="77777777" w:rsidR="00B26C51" w:rsidRPr="00D600B7" w:rsidRDefault="00B26C51" w:rsidP="00B26C51">
      <w:pPr>
        <w:jc w:val="both"/>
        <w:rPr>
          <w:rFonts w:asciiTheme="minorHAnsi" w:hAnsiTheme="minorHAnsi" w:cstheme="minorHAnsi"/>
          <w:b/>
          <w:bCs/>
          <w:sz w:val="24"/>
          <w:szCs w:val="24"/>
        </w:rPr>
      </w:pPr>
      <w:r w:rsidRPr="00D600B7">
        <w:rPr>
          <w:rFonts w:asciiTheme="minorHAnsi" w:hAnsiTheme="minorHAnsi" w:cstheme="minorHAnsi"/>
          <w:b/>
          <w:sz w:val="24"/>
          <w:szCs w:val="24"/>
        </w:rPr>
        <w:t xml:space="preserve">E’ stata poi approvata la legge 405/75 sui consultori familiari. </w:t>
      </w:r>
      <w:r>
        <w:rPr>
          <w:rFonts w:asciiTheme="minorHAnsi" w:hAnsiTheme="minorHAnsi" w:cstheme="minorHAnsi"/>
          <w:b/>
          <w:sz w:val="24"/>
          <w:szCs w:val="24"/>
        </w:rPr>
        <w:t>(1)</w:t>
      </w:r>
    </w:p>
    <w:p w14:paraId="7970525F" w14:textId="77777777" w:rsidR="00B26C51" w:rsidRPr="00D600B7" w:rsidRDefault="00B26C51" w:rsidP="00B26C51">
      <w:pPr>
        <w:jc w:val="both"/>
        <w:rPr>
          <w:rFonts w:asciiTheme="minorHAnsi" w:hAnsiTheme="minorHAnsi" w:cstheme="minorHAnsi"/>
          <w:b/>
          <w:sz w:val="24"/>
          <w:szCs w:val="24"/>
        </w:rPr>
      </w:pPr>
      <w:r w:rsidRPr="00D600B7">
        <w:rPr>
          <w:rFonts w:asciiTheme="minorHAnsi" w:hAnsiTheme="minorHAnsi" w:cstheme="minorHAnsi"/>
          <w:b/>
          <w:sz w:val="24"/>
          <w:szCs w:val="24"/>
        </w:rPr>
        <w:t>-----------------------------------------------------------------------------------------------------------------------------------</w:t>
      </w:r>
    </w:p>
    <w:p w14:paraId="651503CA" w14:textId="77777777" w:rsidR="00B26C51" w:rsidRPr="009E4697" w:rsidRDefault="00B26C51" w:rsidP="00B26C51">
      <w:pPr>
        <w:tabs>
          <w:tab w:val="left" w:pos="0"/>
          <w:tab w:val="right" w:pos="9106"/>
        </w:tabs>
        <w:jc w:val="both"/>
        <w:rPr>
          <w:rFonts w:asciiTheme="minorHAnsi" w:hAnsiTheme="minorHAnsi" w:cstheme="minorHAnsi"/>
          <w:b/>
          <w:bCs/>
        </w:rPr>
      </w:pPr>
      <w:r w:rsidRPr="009E4697">
        <w:rPr>
          <w:rFonts w:asciiTheme="minorHAnsi" w:hAnsiTheme="minorHAnsi" w:cstheme="minorHAnsi"/>
          <w:b/>
          <w:bCs/>
        </w:rPr>
        <w:t>(1) – In merito ai  consultori familiari, per  il fatto di essere stati istituiti quale strumento di supporto e di sostegno alla famiglia, nello svolgimento di attività di assistenza psicologica e sociale,  essi stessi rappresentano un riferimento funzionale  idoneo a definire il quadro delle politiche familiari.</w:t>
      </w:r>
    </w:p>
    <w:p w14:paraId="54DB924C" w14:textId="77777777" w:rsidR="001B1C19" w:rsidRDefault="001B1C19" w:rsidP="00B26C51">
      <w:pPr>
        <w:tabs>
          <w:tab w:val="left" w:pos="0"/>
          <w:tab w:val="right" w:pos="9106"/>
        </w:tabs>
        <w:jc w:val="both"/>
        <w:rPr>
          <w:rFonts w:asciiTheme="minorHAnsi" w:hAnsiTheme="minorHAnsi" w:cstheme="minorHAnsi"/>
          <w:b/>
          <w:bCs/>
        </w:rPr>
      </w:pPr>
    </w:p>
    <w:p w14:paraId="044ABA18" w14:textId="0ACE7314" w:rsidR="00D600B7" w:rsidRPr="00D600B7" w:rsidRDefault="00D600B7" w:rsidP="00D600B7">
      <w:pPr>
        <w:jc w:val="both"/>
        <w:rPr>
          <w:rFonts w:asciiTheme="minorHAnsi" w:hAnsiTheme="minorHAnsi" w:cstheme="minorHAnsi"/>
          <w:b/>
          <w:bCs/>
          <w:sz w:val="24"/>
          <w:szCs w:val="24"/>
        </w:rPr>
      </w:pPr>
      <w:r w:rsidRPr="00D600B7">
        <w:rPr>
          <w:rFonts w:asciiTheme="minorHAnsi" w:hAnsiTheme="minorHAnsi" w:cstheme="minorHAnsi"/>
          <w:b/>
          <w:sz w:val="24"/>
          <w:szCs w:val="24"/>
        </w:rPr>
        <w:lastRenderedPageBreak/>
        <w:t>Si è quindi pervenuti  alla radicale riconsiderazione dei “modelli” di intervento, che hanno teso al superamento di quelli  tradizionali (istituzionalizzazione, emarginazione, isolamento), per addivenire, invece, a una più ampia, umanizzante  e moderna concezione dell'intervento assistenziale, basata sul principio del mantenimento dei soggetti nel proprio ambiente naturale e familiare, nel superamento dell'emarginazione, nell'inserimento sociale e nella promozione del l'individuo dinamicamente inserito nell'ambiente di vita e di lavoro</w:t>
      </w:r>
    </w:p>
    <w:p w14:paraId="4015EEA5" w14:textId="79A9E516" w:rsidR="00416E58" w:rsidRPr="00D600B7" w:rsidRDefault="00416E58" w:rsidP="00416E58">
      <w:pPr>
        <w:tabs>
          <w:tab w:val="left" w:pos="0"/>
          <w:tab w:val="right" w:pos="8430"/>
        </w:tabs>
        <w:jc w:val="both"/>
        <w:rPr>
          <w:rFonts w:asciiTheme="minorHAnsi" w:hAnsiTheme="minorHAnsi" w:cstheme="minorHAnsi"/>
          <w:b/>
          <w:sz w:val="24"/>
          <w:szCs w:val="24"/>
        </w:rPr>
      </w:pPr>
      <w:r w:rsidRPr="00D600B7">
        <w:rPr>
          <w:rFonts w:asciiTheme="minorHAnsi" w:hAnsiTheme="minorHAnsi" w:cstheme="minorHAnsi"/>
          <w:b/>
          <w:sz w:val="24"/>
          <w:szCs w:val="24"/>
        </w:rPr>
        <w:t xml:space="preserve">La definizione di un quadro organico di riferimento istituzionale  si è compiuto con il DPR n. 616/77, con il DPR 617/77 e con la legge 641/78  che hanno  portato da una parte  alla soppressione degli enti nazionali e locali preposti alla assistenza, e dall'altra all'avvio di una legislazione regionale che ha avuto quale punto di riferimento lo sviluppo   delle politiche familiari (che  saranno trattate nella seconda parte del presente saggio). </w:t>
      </w:r>
    </w:p>
    <w:p w14:paraId="2470FE3E" w14:textId="7F29E6ED" w:rsidR="00416E58" w:rsidRPr="00D600B7" w:rsidRDefault="00416E58" w:rsidP="00416E58">
      <w:pPr>
        <w:jc w:val="both"/>
        <w:rPr>
          <w:rFonts w:asciiTheme="minorHAnsi" w:hAnsiTheme="minorHAnsi" w:cstheme="minorHAnsi"/>
          <w:b/>
          <w:sz w:val="24"/>
          <w:szCs w:val="24"/>
        </w:rPr>
      </w:pPr>
      <w:r w:rsidRPr="00D600B7">
        <w:rPr>
          <w:rFonts w:asciiTheme="minorHAnsi" w:hAnsiTheme="minorHAnsi" w:cstheme="minorHAnsi"/>
          <w:b/>
          <w:sz w:val="24"/>
          <w:szCs w:val="24"/>
        </w:rPr>
        <w:t>Le leggi statali già ricordate sugli asili nido e sui consultori familiari</w:t>
      </w:r>
      <w:r w:rsidR="00D600B7" w:rsidRPr="00D600B7">
        <w:rPr>
          <w:rFonts w:asciiTheme="minorHAnsi" w:hAnsiTheme="minorHAnsi" w:cstheme="minorHAnsi"/>
          <w:b/>
          <w:sz w:val="24"/>
          <w:szCs w:val="24"/>
        </w:rPr>
        <w:t xml:space="preserve"> </w:t>
      </w:r>
      <w:r w:rsidRPr="00D600B7">
        <w:rPr>
          <w:rFonts w:asciiTheme="minorHAnsi" w:hAnsiTheme="minorHAnsi" w:cstheme="minorHAnsi"/>
          <w:b/>
          <w:sz w:val="24"/>
          <w:szCs w:val="24"/>
        </w:rPr>
        <w:t xml:space="preserve"> hanno quindi costituito un primo riferimento che in effetti ha anticipato le successive politiche di decentramento e di riforma  del sistema socio-sanitario (ancor oggi vigenti) e ha gettato le basi per il rilancio di politiche familiari.</w:t>
      </w:r>
    </w:p>
    <w:p w14:paraId="058D1454" w14:textId="77777777" w:rsidR="00D600B7" w:rsidRPr="00977783" w:rsidRDefault="00D600B7" w:rsidP="00416E58">
      <w:pPr>
        <w:jc w:val="both"/>
        <w:rPr>
          <w:rFonts w:asciiTheme="minorHAnsi" w:hAnsiTheme="minorHAnsi" w:cstheme="minorHAnsi"/>
          <w:b/>
          <w:color w:val="FF0000"/>
          <w:sz w:val="24"/>
          <w:szCs w:val="24"/>
        </w:rPr>
      </w:pPr>
    </w:p>
    <w:p w14:paraId="2D851BFB" w14:textId="03436E71" w:rsidR="005D15AA" w:rsidRPr="009211CC" w:rsidRDefault="005D15AA" w:rsidP="005D15AA">
      <w:pPr>
        <w:tabs>
          <w:tab w:val="left" w:pos="0"/>
          <w:tab w:val="right" w:pos="7284"/>
          <w:tab w:val="left" w:pos="0"/>
        </w:tabs>
        <w:jc w:val="both"/>
        <w:rPr>
          <w:rFonts w:asciiTheme="minorHAnsi" w:hAnsiTheme="minorHAnsi" w:cstheme="minorHAnsi"/>
          <w:b/>
          <w:sz w:val="24"/>
          <w:szCs w:val="24"/>
          <w:u w:val="single"/>
        </w:rPr>
      </w:pPr>
      <w:r w:rsidRPr="009211CC">
        <w:rPr>
          <w:rFonts w:asciiTheme="minorHAnsi" w:hAnsiTheme="minorHAnsi" w:cstheme="minorHAnsi"/>
          <w:b/>
          <w:sz w:val="24"/>
          <w:szCs w:val="24"/>
          <w:u w:val="single"/>
        </w:rPr>
        <w:t>FASE 198</w:t>
      </w:r>
      <w:r w:rsidR="00B2025F">
        <w:rPr>
          <w:rFonts w:asciiTheme="minorHAnsi" w:hAnsiTheme="minorHAnsi" w:cstheme="minorHAnsi"/>
          <w:b/>
          <w:sz w:val="24"/>
          <w:szCs w:val="24"/>
          <w:u w:val="single"/>
        </w:rPr>
        <w:t>1</w:t>
      </w:r>
      <w:r w:rsidRPr="009211CC">
        <w:rPr>
          <w:rFonts w:asciiTheme="minorHAnsi" w:hAnsiTheme="minorHAnsi" w:cstheme="minorHAnsi"/>
          <w:b/>
          <w:sz w:val="24"/>
          <w:szCs w:val="24"/>
          <w:u w:val="single"/>
        </w:rPr>
        <w:t>-1990</w:t>
      </w:r>
    </w:p>
    <w:p w14:paraId="668F3F21" w14:textId="202E0867" w:rsidR="005D15AA" w:rsidRPr="00B2025F" w:rsidRDefault="005D15AA" w:rsidP="005D15AA">
      <w:pPr>
        <w:tabs>
          <w:tab w:val="left" w:pos="0"/>
          <w:tab w:val="right" w:pos="9106"/>
        </w:tabs>
        <w:jc w:val="both"/>
        <w:rPr>
          <w:rFonts w:asciiTheme="minorHAnsi" w:hAnsiTheme="minorHAnsi" w:cstheme="minorHAnsi"/>
          <w:b/>
          <w:bCs/>
          <w:sz w:val="24"/>
          <w:szCs w:val="24"/>
        </w:rPr>
      </w:pPr>
      <w:r w:rsidRPr="00B2025F">
        <w:rPr>
          <w:rFonts w:asciiTheme="minorHAnsi" w:hAnsiTheme="minorHAnsi" w:cstheme="minorHAnsi"/>
          <w:b/>
          <w:bCs/>
          <w:sz w:val="24"/>
          <w:szCs w:val="24"/>
        </w:rPr>
        <w:t>Il decennio 198</w:t>
      </w:r>
      <w:r w:rsidR="00B2025F" w:rsidRPr="00B2025F">
        <w:rPr>
          <w:rFonts w:asciiTheme="minorHAnsi" w:hAnsiTheme="minorHAnsi" w:cstheme="minorHAnsi"/>
          <w:b/>
          <w:bCs/>
          <w:sz w:val="24"/>
          <w:szCs w:val="24"/>
        </w:rPr>
        <w:t>1</w:t>
      </w:r>
      <w:r w:rsidRPr="00B2025F">
        <w:rPr>
          <w:rFonts w:asciiTheme="minorHAnsi" w:hAnsiTheme="minorHAnsi" w:cstheme="minorHAnsi"/>
          <w:b/>
          <w:bCs/>
          <w:sz w:val="24"/>
          <w:szCs w:val="24"/>
        </w:rPr>
        <w:t xml:space="preserve">-1990 è stato caratterizzato da un susseguirsi  di interventi su cui ha influito molto la crisi del welfare e il conseguente avvio di misure restrittive varate dai Governi dell’epoca nei confronti della famiglia: sono stati introdotti brutali misure di contenimento della spesa, con l’istituzione dei tickets sanitari e con il principio della partecipazione al costo dei servizi sociali  da parte degli utenti e delle famiglie, nonché l’abolizione per molte fasce di lavoratori degli </w:t>
      </w:r>
      <w:r w:rsidR="009E4697">
        <w:rPr>
          <w:rFonts w:asciiTheme="minorHAnsi" w:hAnsiTheme="minorHAnsi" w:cstheme="minorHAnsi"/>
          <w:b/>
          <w:bCs/>
          <w:sz w:val="24"/>
          <w:szCs w:val="24"/>
        </w:rPr>
        <w:t xml:space="preserve"> </w:t>
      </w:r>
      <w:r w:rsidRPr="00B2025F">
        <w:rPr>
          <w:rFonts w:asciiTheme="minorHAnsi" w:hAnsiTheme="minorHAnsi" w:cstheme="minorHAnsi"/>
          <w:b/>
          <w:bCs/>
          <w:sz w:val="24"/>
          <w:szCs w:val="24"/>
        </w:rPr>
        <w:t>assegni</w:t>
      </w:r>
    </w:p>
    <w:p w14:paraId="2075B1C0" w14:textId="6F7FBFD5" w:rsidR="005D15AA" w:rsidRDefault="005D15AA" w:rsidP="005D15AA">
      <w:pPr>
        <w:tabs>
          <w:tab w:val="left" w:pos="0"/>
          <w:tab w:val="right" w:pos="7284"/>
          <w:tab w:val="left" w:pos="0"/>
        </w:tabs>
        <w:jc w:val="both"/>
        <w:rPr>
          <w:rFonts w:asciiTheme="minorHAnsi" w:hAnsiTheme="minorHAnsi" w:cstheme="minorHAnsi"/>
          <w:b/>
          <w:bCs/>
          <w:sz w:val="24"/>
          <w:szCs w:val="24"/>
        </w:rPr>
      </w:pPr>
      <w:r w:rsidRPr="00B2025F">
        <w:rPr>
          <w:rFonts w:asciiTheme="minorHAnsi" w:hAnsiTheme="minorHAnsi" w:cstheme="minorHAnsi"/>
          <w:b/>
          <w:bCs/>
          <w:sz w:val="24"/>
          <w:szCs w:val="24"/>
        </w:rPr>
        <w:t>familiari: la famiglia è stata in effetti oggetto di persecuzioni fiscali,  con la effettiva spinta a deprivarla di servizi essenziali,  lasciati al libero mercato.</w:t>
      </w:r>
    </w:p>
    <w:p w14:paraId="12EF3FD3" w14:textId="2DF29BAC" w:rsidR="002E5B8B" w:rsidRPr="00B2025F" w:rsidRDefault="002E5B8B" w:rsidP="005D15AA">
      <w:pPr>
        <w:tabs>
          <w:tab w:val="left" w:pos="0"/>
          <w:tab w:val="right" w:pos="7284"/>
          <w:tab w:val="left" w:pos="0"/>
        </w:tabs>
        <w:jc w:val="both"/>
        <w:rPr>
          <w:rFonts w:asciiTheme="minorHAnsi" w:hAnsiTheme="minorHAnsi" w:cstheme="minorHAnsi"/>
          <w:b/>
          <w:bCs/>
          <w:sz w:val="24"/>
          <w:szCs w:val="24"/>
        </w:rPr>
      </w:pPr>
      <w:r>
        <w:rPr>
          <w:rFonts w:asciiTheme="minorHAnsi" w:hAnsiTheme="minorHAnsi" w:cstheme="minorHAnsi"/>
          <w:b/>
          <w:bCs/>
          <w:sz w:val="24"/>
          <w:szCs w:val="24"/>
        </w:rPr>
        <w:t>Tali provvedimenti hanno in effetti allontanato le famiglie dalla fruizione dei servizi sociali, quali gli asili nido, e provocato una conseguente condizione di deprivazione e povertà familiare.</w:t>
      </w:r>
    </w:p>
    <w:p w14:paraId="0584BA97" w14:textId="77777777" w:rsidR="002E5B8B" w:rsidRDefault="005D15AA" w:rsidP="00AC106E">
      <w:pPr>
        <w:tabs>
          <w:tab w:val="left" w:pos="0"/>
          <w:tab w:val="right" w:pos="9106"/>
        </w:tabs>
        <w:jc w:val="both"/>
        <w:rPr>
          <w:rFonts w:asciiTheme="minorHAnsi" w:hAnsiTheme="minorHAnsi" w:cstheme="minorHAnsi"/>
          <w:b/>
          <w:bCs/>
          <w:sz w:val="24"/>
          <w:szCs w:val="24"/>
        </w:rPr>
      </w:pPr>
      <w:r w:rsidRPr="00B2025F">
        <w:rPr>
          <w:rFonts w:asciiTheme="minorHAnsi" w:hAnsiTheme="minorHAnsi" w:cstheme="minorHAnsi"/>
          <w:b/>
          <w:bCs/>
          <w:sz w:val="24"/>
          <w:szCs w:val="24"/>
        </w:rPr>
        <w:t xml:space="preserve">L’unico riferimento direttamente connesso alla famiglia è stato rappresentato dalla legge n. 184/83 sull’affido familiare, che se da una parte ha superato  i limiti e le ristrettezze della vecchia normativa, ha altresì messo in evidenza lo stato di assoluta crisi dei servizi sociali gestiti dai comuni avuto riguardo alla organizzazione di adeguati interventi (2). </w:t>
      </w:r>
    </w:p>
    <w:p w14:paraId="57B67170" w14:textId="2A1BBA7C" w:rsidR="002E5B8B" w:rsidRDefault="002E5B8B" w:rsidP="00AC106E">
      <w:pPr>
        <w:tabs>
          <w:tab w:val="left" w:pos="0"/>
          <w:tab w:val="right" w:pos="9106"/>
        </w:tabs>
        <w:jc w:val="both"/>
        <w:rPr>
          <w:rFonts w:asciiTheme="minorHAnsi" w:hAnsiTheme="minorHAnsi" w:cstheme="minorHAnsi"/>
          <w:b/>
          <w:bCs/>
          <w:sz w:val="24"/>
          <w:szCs w:val="24"/>
        </w:rPr>
      </w:pPr>
      <w:r>
        <w:rPr>
          <w:rFonts w:asciiTheme="minorHAnsi" w:hAnsiTheme="minorHAnsi" w:cstheme="minorHAnsi"/>
          <w:b/>
          <w:bCs/>
          <w:sz w:val="24"/>
          <w:szCs w:val="24"/>
        </w:rPr>
        <w:t>Con il DPCM 5 agosto 1985 l</w:t>
      </w:r>
      <w:r w:rsidR="005D15AA" w:rsidRPr="00B2025F">
        <w:rPr>
          <w:rFonts w:asciiTheme="minorHAnsi" w:hAnsiTheme="minorHAnsi" w:cstheme="minorHAnsi"/>
          <w:b/>
          <w:bCs/>
          <w:sz w:val="24"/>
          <w:szCs w:val="24"/>
        </w:rPr>
        <w:t xml:space="preserve">e politiche  sociali sono state quindi orientate  </w:t>
      </w:r>
      <w:r>
        <w:rPr>
          <w:rFonts w:asciiTheme="minorHAnsi" w:hAnsiTheme="minorHAnsi" w:cstheme="minorHAnsi"/>
          <w:b/>
          <w:bCs/>
          <w:sz w:val="24"/>
          <w:szCs w:val="24"/>
        </w:rPr>
        <w:t xml:space="preserve">a </w:t>
      </w:r>
      <w:r w:rsidR="005D15AA" w:rsidRPr="00B2025F">
        <w:rPr>
          <w:rFonts w:asciiTheme="minorHAnsi" w:hAnsiTheme="minorHAnsi" w:cstheme="minorHAnsi"/>
          <w:b/>
          <w:bCs/>
          <w:sz w:val="24"/>
          <w:szCs w:val="24"/>
        </w:rPr>
        <w:t>separa</w:t>
      </w:r>
      <w:r>
        <w:rPr>
          <w:rFonts w:asciiTheme="minorHAnsi" w:hAnsiTheme="minorHAnsi" w:cstheme="minorHAnsi"/>
          <w:b/>
          <w:bCs/>
          <w:sz w:val="24"/>
          <w:szCs w:val="24"/>
        </w:rPr>
        <w:t xml:space="preserve">re </w:t>
      </w:r>
      <w:r w:rsidR="005D15AA" w:rsidRPr="00B2025F">
        <w:rPr>
          <w:rFonts w:asciiTheme="minorHAnsi" w:hAnsiTheme="minorHAnsi" w:cstheme="minorHAnsi"/>
          <w:b/>
          <w:bCs/>
          <w:sz w:val="24"/>
          <w:szCs w:val="24"/>
        </w:rPr>
        <w:t xml:space="preserve"> traumatica</w:t>
      </w:r>
      <w:r>
        <w:rPr>
          <w:rFonts w:asciiTheme="minorHAnsi" w:hAnsiTheme="minorHAnsi" w:cstheme="minorHAnsi"/>
          <w:b/>
          <w:bCs/>
          <w:sz w:val="24"/>
          <w:szCs w:val="24"/>
        </w:rPr>
        <w:t xml:space="preserve">mente </w:t>
      </w:r>
      <w:r w:rsidR="005D15AA" w:rsidRPr="00B2025F">
        <w:rPr>
          <w:rFonts w:asciiTheme="minorHAnsi" w:hAnsiTheme="minorHAnsi" w:cstheme="minorHAnsi"/>
          <w:b/>
          <w:bCs/>
          <w:sz w:val="24"/>
          <w:szCs w:val="24"/>
        </w:rPr>
        <w:t xml:space="preserve"> gli interventi sanitari e socio-sanitari </w:t>
      </w:r>
      <w:r>
        <w:rPr>
          <w:rFonts w:asciiTheme="minorHAnsi" w:hAnsiTheme="minorHAnsi" w:cstheme="minorHAnsi"/>
          <w:b/>
          <w:bCs/>
          <w:sz w:val="24"/>
          <w:szCs w:val="24"/>
        </w:rPr>
        <w:t xml:space="preserve"> (di competenza ed a carico del SSN) </w:t>
      </w:r>
      <w:r w:rsidR="005D15AA" w:rsidRPr="00B2025F">
        <w:rPr>
          <w:rFonts w:asciiTheme="minorHAnsi" w:hAnsiTheme="minorHAnsi" w:cstheme="minorHAnsi"/>
          <w:b/>
          <w:bCs/>
          <w:sz w:val="24"/>
          <w:szCs w:val="24"/>
        </w:rPr>
        <w:t>da quelli  socio-assistenziali</w:t>
      </w:r>
      <w:r>
        <w:rPr>
          <w:rFonts w:asciiTheme="minorHAnsi" w:hAnsiTheme="minorHAnsi" w:cstheme="minorHAnsi"/>
          <w:b/>
          <w:bCs/>
          <w:sz w:val="24"/>
          <w:szCs w:val="24"/>
        </w:rPr>
        <w:t xml:space="preserve"> (a carico dei Comuni), frantumando l’integrazione socio-sanitaria, </w:t>
      </w:r>
      <w:r w:rsidR="005D15AA" w:rsidRPr="00B2025F">
        <w:rPr>
          <w:rFonts w:asciiTheme="minorHAnsi" w:hAnsiTheme="minorHAnsi" w:cstheme="minorHAnsi"/>
          <w:b/>
          <w:bCs/>
          <w:sz w:val="24"/>
          <w:szCs w:val="24"/>
        </w:rPr>
        <w:t xml:space="preserve">con la surrettizia introduzione del principio della contribuzione della </w:t>
      </w:r>
      <w:r w:rsidR="00AC106E">
        <w:rPr>
          <w:rFonts w:asciiTheme="minorHAnsi" w:hAnsiTheme="minorHAnsi" w:cstheme="minorHAnsi"/>
          <w:b/>
          <w:bCs/>
          <w:sz w:val="24"/>
          <w:szCs w:val="24"/>
        </w:rPr>
        <w:t xml:space="preserve"> </w:t>
      </w:r>
      <w:r w:rsidR="005D15AA" w:rsidRPr="00B2025F">
        <w:rPr>
          <w:rFonts w:asciiTheme="minorHAnsi" w:hAnsiTheme="minorHAnsi" w:cstheme="minorHAnsi"/>
          <w:b/>
          <w:bCs/>
          <w:sz w:val="24"/>
          <w:szCs w:val="24"/>
        </w:rPr>
        <w:t>famiglia al costo dei servizi sociali, con la sottrazione di risorse (emblematico il trasferimento del</w:t>
      </w:r>
      <w:r w:rsidR="00AC106E">
        <w:rPr>
          <w:rFonts w:asciiTheme="minorHAnsi" w:hAnsiTheme="minorHAnsi" w:cstheme="minorHAnsi"/>
          <w:b/>
          <w:bCs/>
          <w:sz w:val="24"/>
          <w:szCs w:val="24"/>
        </w:rPr>
        <w:t xml:space="preserve"> </w:t>
      </w:r>
      <w:r w:rsidR="005D15AA" w:rsidRPr="00B2025F">
        <w:rPr>
          <w:rFonts w:asciiTheme="minorHAnsi" w:hAnsiTheme="minorHAnsi" w:cstheme="minorHAnsi"/>
          <w:b/>
          <w:bCs/>
          <w:sz w:val="24"/>
          <w:szCs w:val="24"/>
        </w:rPr>
        <w:t>costo dell’assistenza economica ai malati di mente a carico dei Comuni e non più al Fondo sanitario</w:t>
      </w:r>
      <w:r>
        <w:rPr>
          <w:rFonts w:asciiTheme="minorHAnsi" w:hAnsiTheme="minorHAnsi" w:cstheme="minorHAnsi"/>
          <w:b/>
          <w:bCs/>
          <w:sz w:val="24"/>
          <w:szCs w:val="24"/>
        </w:rPr>
        <w:t>) al settore</w:t>
      </w:r>
      <w:r w:rsidR="00AC106E">
        <w:rPr>
          <w:rFonts w:asciiTheme="minorHAnsi" w:hAnsiTheme="minorHAnsi" w:cstheme="minorHAnsi"/>
          <w:b/>
          <w:bCs/>
          <w:sz w:val="24"/>
          <w:szCs w:val="24"/>
        </w:rPr>
        <w:t xml:space="preserve"> </w:t>
      </w:r>
      <w:r w:rsidR="00AC106E" w:rsidRPr="00B2025F">
        <w:rPr>
          <w:rFonts w:asciiTheme="minorHAnsi" w:hAnsiTheme="minorHAnsi" w:cstheme="minorHAnsi"/>
          <w:b/>
          <w:bCs/>
          <w:sz w:val="24"/>
          <w:szCs w:val="24"/>
        </w:rPr>
        <w:t>sociale</w:t>
      </w:r>
      <w:r>
        <w:rPr>
          <w:rFonts w:asciiTheme="minorHAnsi" w:hAnsiTheme="minorHAnsi" w:cstheme="minorHAnsi"/>
          <w:b/>
          <w:bCs/>
          <w:sz w:val="24"/>
          <w:szCs w:val="24"/>
        </w:rPr>
        <w:t>.</w:t>
      </w:r>
    </w:p>
    <w:p w14:paraId="700E47E3" w14:textId="37EC1B04" w:rsidR="00A9011B" w:rsidRPr="00B2025F" w:rsidRDefault="00A9011B" w:rsidP="00915AE1">
      <w:pPr>
        <w:tabs>
          <w:tab w:val="left" w:pos="0"/>
          <w:tab w:val="right" w:pos="7284"/>
          <w:tab w:val="left" w:pos="0"/>
        </w:tabs>
        <w:jc w:val="both"/>
        <w:rPr>
          <w:rFonts w:asciiTheme="minorHAnsi" w:hAnsiTheme="minorHAnsi" w:cstheme="minorHAnsi"/>
          <w:b/>
          <w:bCs/>
          <w:sz w:val="24"/>
          <w:szCs w:val="24"/>
        </w:rPr>
      </w:pPr>
      <w:r>
        <w:rPr>
          <w:rFonts w:asciiTheme="minorHAnsi" w:hAnsiTheme="minorHAnsi" w:cstheme="minorHAnsi"/>
          <w:b/>
          <w:bCs/>
          <w:sz w:val="24"/>
          <w:szCs w:val="24"/>
        </w:rPr>
        <w:t>Di particolare rilievo</w:t>
      </w:r>
      <w:r w:rsidRPr="00B2025F">
        <w:rPr>
          <w:rFonts w:asciiTheme="minorHAnsi" w:hAnsiTheme="minorHAnsi" w:cstheme="minorHAnsi"/>
          <w:b/>
          <w:bCs/>
          <w:sz w:val="24"/>
          <w:szCs w:val="24"/>
        </w:rPr>
        <w:t xml:space="preserve"> la ridefinizione dell’assistenza residenziale agli anziani non autosufficienti (con l’istituzione delle Residenze Sanitarie Assistenziali) secondo un disegno volto a far gravare </w:t>
      </w:r>
    </w:p>
    <w:p w14:paraId="4896CBEE" w14:textId="77777777" w:rsidR="00915AE1" w:rsidRPr="00B2025F" w:rsidRDefault="00915AE1" w:rsidP="00915AE1">
      <w:pPr>
        <w:tabs>
          <w:tab w:val="left" w:pos="0"/>
          <w:tab w:val="right" w:pos="7284"/>
          <w:tab w:val="left" w:pos="0"/>
        </w:tabs>
        <w:jc w:val="both"/>
        <w:rPr>
          <w:rFonts w:asciiTheme="minorHAnsi" w:hAnsiTheme="minorHAnsi" w:cstheme="minorHAnsi"/>
          <w:b/>
          <w:bCs/>
          <w:sz w:val="24"/>
          <w:szCs w:val="24"/>
        </w:rPr>
      </w:pPr>
      <w:r w:rsidRPr="00B2025F">
        <w:rPr>
          <w:rFonts w:asciiTheme="minorHAnsi" w:hAnsiTheme="minorHAnsi" w:cstheme="minorHAnsi"/>
          <w:b/>
          <w:bCs/>
          <w:sz w:val="24"/>
          <w:szCs w:val="24"/>
        </w:rPr>
        <w:t xml:space="preserve">sulla famiglia il peso dell’assistenza. </w:t>
      </w:r>
    </w:p>
    <w:p w14:paraId="66D34307" w14:textId="77777777" w:rsidR="00003438" w:rsidRDefault="00003438" w:rsidP="00A9011B">
      <w:pPr>
        <w:pBdr>
          <w:bottom w:val="single" w:sz="6" w:space="1" w:color="auto"/>
        </w:pBdr>
        <w:tabs>
          <w:tab w:val="left" w:pos="0"/>
          <w:tab w:val="right" w:pos="7256"/>
        </w:tabs>
        <w:jc w:val="both"/>
        <w:rPr>
          <w:rFonts w:asciiTheme="minorHAnsi" w:hAnsiTheme="minorHAnsi" w:cstheme="minorHAnsi"/>
          <w:b/>
          <w:bCs/>
          <w:sz w:val="24"/>
          <w:szCs w:val="24"/>
        </w:rPr>
      </w:pPr>
    </w:p>
    <w:p w14:paraId="76E95BBA" w14:textId="77777777" w:rsidR="00915AE1" w:rsidRDefault="00915AE1" w:rsidP="00003438">
      <w:pPr>
        <w:tabs>
          <w:tab w:val="left" w:pos="0"/>
          <w:tab w:val="right" w:pos="7284"/>
          <w:tab w:val="left" w:pos="0"/>
        </w:tabs>
        <w:jc w:val="both"/>
        <w:rPr>
          <w:b/>
          <w:bCs/>
        </w:rPr>
      </w:pPr>
    </w:p>
    <w:p w14:paraId="464CDC84" w14:textId="77777777" w:rsidR="00915AE1" w:rsidRDefault="00915AE1" w:rsidP="00915AE1">
      <w:pPr>
        <w:tabs>
          <w:tab w:val="left" w:pos="0"/>
          <w:tab w:val="right" w:pos="9106"/>
        </w:tabs>
        <w:jc w:val="both"/>
        <w:rPr>
          <w:rFonts w:asciiTheme="minorHAnsi" w:hAnsiTheme="minorHAnsi" w:cstheme="minorHAnsi"/>
          <w:b/>
          <w:bCs/>
        </w:rPr>
      </w:pPr>
      <w:r>
        <w:rPr>
          <w:rFonts w:asciiTheme="minorHAnsi" w:hAnsiTheme="minorHAnsi" w:cstheme="minorHAnsi"/>
          <w:b/>
          <w:bCs/>
        </w:rPr>
        <w:t>segue nota (1)</w:t>
      </w:r>
    </w:p>
    <w:p w14:paraId="0DB4949D" w14:textId="77777777" w:rsidR="00915AE1" w:rsidRPr="009E4697" w:rsidRDefault="00915AE1" w:rsidP="00915AE1">
      <w:pPr>
        <w:tabs>
          <w:tab w:val="left" w:pos="0"/>
          <w:tab w:val="right" w:pos="9106"/>
        </w:tabs>
        <w:jc w:val="both"/>
        <w:rPr>
          <w:rFonts w:asciiTheme="minorHAnsi" w:hAnsiTheme="minorHAnsi" w:cstheme="minorHAnsi"/>
          <w:b/>
          <w:bCs/>
        </w:rPr>
      </w:pPr>
      <w:r w:rsidRPr="009E4697">
        <w:rPr>
          <w:rFonts w:asciiTheme="minorHAnsi" w:hAnsiTheme="minorHAnsi" w:cstheme="minorHAnsi"/>
          <w:b/>
          <w:bCs/>
        </w:rPr>
        <w:t>In proposito, peraltro, va anche messo in evidenza che lo spostamento e lo sbilanciamento delle attività consultoriali verso il versante sanitario ha reso gli stessi sempre più caratterizzati da un servizio di consulenza e di erogazione di prestazioni sanitarie, piuttosto che sede per affrontare compiutamente la problematica familiare.</w:t>
      </w:r>
    </w:p>
    <w:p w14:paraId="2FC7478E" w14:textId="7170D332" w:rsidR="00003438" w:rsidRPr="009E4697" w:rsidRDefault="00003438" w:rsidP="00003438">
      <w:pPr>
        <w:tabs>
          <w:tab w:val="left" w:pos="0"/>
          <w:tab w:val="right" w:pos="7284"/>
          <w:tab w:val="left" w:pos="0"/>
        </w:tabs>
        <w:jc w:val="both"/>
        <w:rPr>
          <w:rFonts w:asciiTheme="minorHAnsi" w:hAnsiTheme="minorHAnsi" w:cstheme="minorHAnsi"/>
          <w:b/>
          <w:bCs/>
        </w:rPr>
      </w:pPr>
      <w:r w:rsidRPr="009E4697">
        <w:rPr>
          <w:b/>
          <w:bCs/>
        </w:rPr>
        <w:t>(</w:t>
      </w:r>
      <w:r w:rsidRPr="009E4697">
        <w:rPr>
          <w:rFonts w:asciiTheme="minorHAnsi" w:hAnsiTheme="minorHAnsi" w:cstheme="minorHAnsi"/>
          <w:b/>
          <w:bCs/>
        </w:rPr>
        <w:t xml:space="preserve">2) - Infatti all’art. 4 della suddetta legge era indicato che “l’affidamento familiare è disposto dal servizio sociale locale”. La mancanza di un adeguato servizio sociale comunale ha peraltro provocato una situazione di assoluta criticità, con  il ricorso operato da molti comuni a stipulare apposite convenzioni con assistenti sociali in base al codice civile per corrispondere all’obbligo della relazione sociale propedeutica al processo di affidamento.   </w:t>
      </w:r>
    </w:p>
    <w:p w14:paraId="0B10ED2E" w14:textId="77777777" w:rsidR="00003438" w:rsidRDefault="00003438" w:rsidP="00003438">
      <w:pPr>
        <w:tabs>
          <w:tab w:val="left" w:pos="0"/>
          <w:tab w:val="right" w:pos="9106"/>
        </w:tabs>
        <w:jc w:val="both"/>
        <w:rPr>
          <w:rFonts w:asciiTheme="minorHAnsi" w:hAnsiTheme="minorHAnsi" w:cstheme="minorHAnsi"/>
          <w:b/>
          <w:bCs/>
          <w:sz w:val="24"/>
          <w:szCs w:val="24"/>
        </w:rPr>
      </w:pPr>
    </w:p>
    <w:p w14:paraId="4CF8166D" w14:textId="77777777" w:rsidR="00915AE1" w:rsidRPr="00B2025F" w:rsidRDefault="00915AE1" w:rsidP="00915AE1">
      <w:pPr>
        <w:tabs>
          <w:tab w:val="left" w:pos="0"/>
          <w:tab w:val="right" w:pos="7284"/>
          <w:tab w:val="left" w:pos="0"/>
        </w:tabs>
        <w:jc w:val="both"/>
        <w:rPr>
          <w:rFonts w:asciiTheme="minorHAnsi" w:hAnsiTheme="minorHAnsi" w:cstheme="minorHAnsi"/>
          <w:b/>
          <w:bCs/>
          <w:sz w:val="24"/>
          <w:szCs w:val="24"/>
        </w:rPr>
      </w:pPr>
      <w:r w:rsidRPr="00B2025F">
        <w:rPr>
          <w:rFonts w:asciiTheme="minorHAnsi" w:hAnsiTheme="minorHAnsi" w:cstheme="minorHAnsi"/>
          <w:b/>
          <w:bCs/>
          <w:sz w:val="24"/>
          <w:szCs w:val="24"/>
        </w:rPr>
        <w:lastRenderedPageBreak/>
        <w:t>Pertanto le strategie familiari sono state caratterizzate a livello centrale   in questi anni  da una profonda iniquità sia contributiva che distributiva.</w:t>
      </w:r>
    </w:p>
    <w:p w14:paraId="33BC0695" w14:textId="30691998" w:rsidR="00003438" w:rsidRDefault="009E4697" w:rsidP="009E4697">
      <w:pPr>
        <w:tabs>
          <w:tab w:val="left" w:pos="0"/>
          <w:tab w:val="right" w:pos="9106"/>
        </w:tabs>
        <w:jc w:val="both"/>
        <w:rPr>
          <w:rFonts w:asciiTheme="minorHAnsi" w:hAnsiTheme="minorHAnsi" w:cstheme="minorHAnsi"/>
          <w:b/>
          <w:bCs/>
          <w:sz w:val="24"/>
          <w:szCs w:val="24"/>
        </w:rPr>
      </w:pPr>
      <w:r w:rsidRPr="00B2025F">
        <w:rPr>
          <w:rFonts w:asciiTheme="minorHAnsi" w:hAnsiTheme="minorHAnsi" w:cstheme="minorHAnsi"/>
          <w:b/>
          <w:bCs/>
          <w:sz w:val="24"/>
          <w:szCs w:val="24"/>
        </w:rPr>
        <w:t>Sono gli anni in cui si è ancora più accentuato il fenomeno della denatalità, e della moltiplicazione delle famiglie monoparentali</w:t>
      </w:r>
      <w:r>
        <w:rPr>
          <w:rFonts w:asciiTheme="minorHAnsi" w:hAnsiTheme="minorHAnsi" w:cstheme="minorHAnsi"/>
          <w:b/>
          <w:bCs/>
          <w:sz w:val="24"/>
          <w:szCs w:val="24"/>
        </w:rPr>
        <w:t>.</w:t>
      </w:r>
    </w:p>
    <w:p w14:paraId="75201D1B" w14:textId="37A8D173" w:rsidR="00A9011B" w:rsidRPr="00B2025F" w:rsidRDefault="00A9011B" w:rsidP="00A9011B">
      <w:pPr>
        <w:tabs>
          <w:tab w:val="left" w:pos="0"/>
          <w:tab w:val="right" w:pos="7256"/>
        </w:tabs>
        <w:jc w:val="both"/>
        <w:rPr>
          <w:rFonts w:asciiTheme="minorHAnsi" w:hAnsiTheme="minorHAnsi" w:cstheme="minorHAnsi"/>
          <w:b/>
          <w:bCs/>
          <w:sz w:val="24"/>
          <w:szCs w:val="24"/>
        </w:rPr>
      </w:pPr>
      <w:r w:rsidRPr="00B2025F">
        <w:rPr>
          <w:rFonts w:asciiTheme="minorHAnsi" w:hAnsiTheme="minorHAnsi" w:cstheme="minorHAnsi"/>
          <w:b/>
          <w:bCs/>
          <w:sz w:val="24"/>
          <w:szCs w:val="24"/>
        </w:rPr>
        <w:t xml:space="preserve">Pertanto se la prima attività normativa  si </w:t>
      </w:r>
      <w:r>
        <w:rPr>
          <w:rFonts w:asciiTheme="minorHAnsi" w:hAnsiTheme="minorHAnsi" w:cstheme="minorHAnsi"/>
          <w:b/>
          <w:bCs/>
          <w:sz w:val="24"/>
          <w:szCs w:val="24"/>
        </w:rPr>
        <w:t>è</w:t>
      </w:r>
      <w:r w:rsidRPr="00B2025F">
        <w:rPr>
          <w:rFonts w:asciiTheme="minorHAnsi" w:hAnsiTheme="minorHAnsi" w:cstheme="minorHAnsi"/>
          <w:b/>
          <w:bCs/>
          <w:sz w:val="24"/>
          <w:szCs w:val="24"/>
        </w:rPr>
        <w:t xml:space="preserve"> caratterizzata in senso propositivo, pur nella ristrettezza delle competenze e dei finanziamenti disponibili, la seconda fase, che ha caratterizzato il periodo 198</w:t>
      </w:r>
      <w:r>
        <w:rPr>
          <w:rFonts w:asciiTheme="minorHAnsi" w:hAnsiTheme="minorHAnsi" w:cstheme="minorHAnsi"/>
          <w:b/>
          <w:bCs/>
          <w:sz w:val="24"/>
          <w:szCs w:val="24"/>
        </w:rPr>
        <w:t>1</w:t>
      </w:r>
      <w:r w:rsidRPr="00B2025F">
        <w:rPr>
          <w:rFonts w:asciiTheme="minorHAnsi" w:hAnsiTheme="minorHAnsi" w:cstheme="minorHAnsi"/>
          <w:b/>
          <w:bCs/>
          <w:sz w:val="24"/>
          <w:szCs w:val="24"/>
        </w:rPr>
        <w:noBreakHyphen/>
        <w:t>1990, ha  peraltro ancor più evidenziato l'orientamento a restringere e mortificare le politiche delle “opportunità” volte a promuovere la famiglia e il suo prezioso ruolo nella costruzione del sistema di welfare.</w:t>
      </w:r>
    </w:p>
    <w:p w14:paraId="2B62D331" w14:textId="0C36BAC8" w:rsidR="005D15AA" w:rsidRPr="009211CC" w:rsidRDefault="005D15AA" w:rsidP="005D15AA">
      <w:pPr>
        <w:pStyle w:val="Titolo1"/>
        <w:rPr>
          <w:rFonts w:asciiTheme="minorHAnsi" w:hAnsiTheme="minorHAnsi" w:cstheme="minorHAnsi"/>
          <w:szCs w:val="24"/>
          <w:u w:val="single"/>
        </w:rPr>
      </w:pPr>
      <w:r w:rsidRPr="009211CC">
        <w:rPr>
          <w:rFonts w:asciiTheme="minorHAnsi" w:hAnsiTheme="minorHAnsi" w:cstheme="minorHAnsi"/>
          <w:szCs w:val="24"/>
          <w:u w:val="single"/>
        </w:rPr>
        <w:t>FASE 1991-</w:t>
      </w:r>
      <w:r w:rsidR="005C09F3">
        <w:rPr>
          <w:rFonts w:asciiTheme="minorHAnsi" w:hAnsiTheme="minorHAnsi" w:cstheme="minorHAnsi"/>
          <w:szCs w:val="24"/>
          <w:u w:val="single"/>
        </w:rPr>
        <w:t>2000</w:t>
      </w:r>
    </w:p>
    <w:p w14:paraId="61D577A1"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La legge quadro sull’handicap – n. 104/92 – ha contrassegnato peraltro un primo orientamento del legislatore statale individuare la famiglia quale riferimento sociale primario nella realizzazione degli interventi e dei servizi a favore delle persone portatrici di handicap.</w:t>
      </w:r>
    </w:p>
    <w:p w14:paraId="555B57F1"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Infatti sono stati individuati interventi rivolti precipuamente ai familiari che assistono le suddette persone, e quindi la previsione di progetti personalizzati.</w:t>
      </w:r>
    </w:p>
    <w:p w14:paraId="612644CE" w14:textId="4A4333F2" w:rsidR="005D15AA" w:rsidRPr="000C735C" w:rsidRDefault="005D15AA" w:rsidP="005C09F3">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Il periodo in esame è stato</w:t>
      </w:r>
      <w:r w:rsidR="005C09F3">
        <w:rPr>
          <w:rFonts w:asciiTheme="minorHAnsi" w:hAnsiTheme="minorHAnsi" w:cstheme="minorHAnsi"/>
          <w:b/>
          <w:bCs/>
          <w:sz w:val="24"/>
          <w:szCs w:val="24"/>
        </w:rPr>
        <w:t xml:space="preserve"> </w:t>
      </w:r>
      <w:r w:rsidRPr="000C735C">
        <w:rPr>
          <w:rFonts w:asciiTheme="minorHAnsi" w:hAnsiTheme="minorHAnsi" w:cstheme="minorHAnsi"/>
          <w:b/>
          <w:bCs/>
          <w:sz w:val="24"/>
          <w:szCs w:val="24"/>
        </w:rPr>
        <w:t xml:space="preserve"> </w:t>
      </w:r>
      <w:r w:rsidR="005C09F3">
        <w:rPr>
          <w:rFonts w:asciiTheme="minorHAnsi" w:hAnsiTheme="minorHAnsi" w:cstheme="minorHAnsi"/>
          <w:b/>
          <w:bCs/>
          <w:sz w:val="24"/>
          <w:szCs w:val="24"/>
        </w:rPr>
        <w:t xml:space="preserve">anche </w:t>
      </w:r>
      <w:r w:rsidRPr="000C735C">
        <w:rPr>
          <w:rFonts w:asciiTheme="minorHAnsi" w:hAnsiTheme="minorHAnsi" w:cstheme="minorHAnsi"/>
          <w:b/>
          <w:bCs/>
          <w:sz w:val="24"/>
          <w:szCs w:val="24"/>
        </w:rPr>
        <w:t>caratterizzato da una profonda modifica dell’assetto istituzionale del paese e da un  rilancio delle politiche sociali</w:t>
      </w:r>
      <w:r w:rsidR="005C09F3">
        <w:rPr>
          <w:rFonts w:asciiTheme="minorHAnsi" w:hAnsiTheme="minorHAnsi" w:cstheme="minorHAnsi"/>
          <w:b/>
          <w:bCs/>
          <w:sz w:val="24"/>
          <w:szCs w:val="24"/>
        </w:rPr>
        <w:t xml:space="preserve"> con la ridefinizione dell’assetto  istituzionale dello Stato, </w:t>
      </w:r>
      <w:r w:rsidRPr="000C735C">
        <w:rPr>
          <w:rFonts w:asciiTheme="minorHAnsi" w:hAnsiTheme="minorHAnsi" w:cstheme="minorHAnsi"/>
          <w:b/>
          <w:bCs/>
          <w:sz w:val="24"/>
          <w:szCs w:val="24"/>
        </w:rPr>
        <w:t>con  la legge n. 59/97 e con il susseguente d. lgs. 112/98</w:t>
      </w:r>
      <w:r w:rsidR="005C09F3">
        <w:rPr>
          <w:rFonts w:asciiTheme="minorHAnsi" w:hAnsiTheme="minorHAnsi" w:cstheme="minorHAnsi"/>
          <w:b/>
          <w:bCs/>
          <w:sz w:val="24"/>
          <w:szCs w:val="24"/>
        </w:rPr>
        <w:t xml:space="preserve"> </w:t>
      </w:r>
      <w:r w:rsidRPr="000C735C">
        <w:rPr>
          <w:rFonts w:asciiTheme="minorHAnsi" w:hAnsiTheme="minorHAnsi" w:cstheme="minorHAnsi"/>
          <w:b/>
          <w:bCs/>
          <w:sz w:val="24"/>
          <w:szCs w:val="24"/>
        </w:rPr>
        <w:t xml:space="preserve">sono state poste le basi per il riconoscimento del principio della sussidiarietà </w:t>
      </w:r>
      <w:r w:rsidR="005C09F3">
        <w:rPr>
          <w:rFonts w:asciiTheme="minorHAnsi" w:hAnsiTheme="minorHAnsi" w:cstheme="minorHAnsi"/>
          <w:b/>
          <w:bCs/>
          <w:sz w:val="24"/>
          <w:szCs w:val="24"/>
        </w:rPr>
        <w:t>verticale (rapporto fra le Istituzioni) e la sussidiarietà orizzontale (rapporto fra le Istituzioni e la società civile, nelle sue espressioni organizzate)</w:t>
      </w:r>
      <w:r w:rsidR="00313DDC">
        <w:rPr>
          <w:rFonts w:asciiTheme="minorHAnsi" w:hAnsiTheme="minorHAnsi" w:cstheme="minorHAnsi"/>
          <w:b/>
          <w:bCs/>
          <w:sz w:val="24"/>
          <w:szCs w:val="24"/>
        </w:rPr>
        <w:t>.</w:t>
      </w:r>
    </w:p>
    <w:p w14:paraId="142A8BC6" w14:textId="014F349C"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In tale contesto, pertanto, la  “famiglia”, in quanto primo livello organizzato della società, rientra, quale soggetto sociale, nel sistema giuridico italiano, confermato  dalla legge costituzionale n. 3/01, ove all’art. 117 è sancito  che lo “Stato, le Regioni,  le Città. Metropolitane, le Province e Comuni favoriscono l’autonoma iniziativa dei cittadini, singoli e associati, per lo svolgimento di attività di interesse generale, sulla base del principio di sussidiarietà.”.</w:t>
      </w:r>
    </w:p>
    <w:p w14:paraId="3F40E4DA"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Da tale assunto  ne deriva il ruolo riconosciuto della famiglia in quanto primo livello della sussidiarietà orizzontale.</w:t>
      </w:r>
    </w:p>
    <w:p w14:paraId="37984255"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 xml:space="preserve"> Conseguentemente ad una politica di rilancio della famiglia, con le leggi finanziarie varate dai governi dell’epoca, con particolare riferimento agli anni 1997, 1998, 1999, 2000 e 2001, si sono introdotte, dopo molti anni di latitanza, specifici interventi a favore delle famiglie.</w:t>
      </w:r>
    </w:p>
    <w:p w14:paraId="61F9F289" w14:textId="6DB9C205" w:rsidR="000C735C" w:rsidRPr="000C735C" w:rsidRDefault="005D15AA" w:rsidP="000C735C">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L’accordo sul welfare con le organizzazioni sindacali CGIL, CISL, UIL, nell’ambito della politica di concertazione, ha portato inoltre  a definire con maggiore compiutezza un percorso volto a</w:t>
      </w:r>
      <w:r w:rsidR="000C735C">
        <w:rPr>
          <w:rFonts w:asciiTheme="minorHAnsi" w:hAnsiTheme="minorHAnsi" w:cstheme="minorHAnsi"/>
          <w:b/>
          <w:bCs/>
          <w:sz w:val="24"/>
          <w:szCs w:val="24"/>
        </w:rPr>
        <w:t xml:space="preserve"> promuovere  le  </w:t>
      </w:r>
      <w:r w:rsidRPr="000C735C">
        <w:rPr>
          <w:rFonts w:asciiTheme="minorHAnsi" w:hAnsiTheme="minorHAnsi" w:cstheme="minorHAnsi"/>
          <w:b/>
          <w:bCs/>
          <w:sz w:val="24"/>
          <w:szCs w:val="24"/>
        </w:rPr>
        <w:t>politiche familiari correlate alla definizione di sistemi universali ed equi di</w:t>
      </w:r>
      <w:r w:rsidR="000C735C">
        <w:rPr>
          <w:rFonts w:asciiTheme="minorHAnsi" w:hAnsiTheme="minorHAnsi" w:cstheme="minorHAnsi"/>
          <w:b/>
          <w:bCs/>
          <w:sz w:val="24"/>
          <w:szCs w:val="24"/>
        </w:rPr>
        <w:t xml:space="preserve"> trattamento, </w:t>
      </w:r>
      <w:r w:rsidRPr="000C735C">
        <w:rPr>
          <w:rFonts w:asciiTheme="minorHAnsi" w:hAnsiTheme="minorHAnsi" w:cstheme="minorHAnsi"/>
          <w:b/>
          <w:bCs/>
          <w:sz w:val="24"/>
          <w:szCs w:val="24"/>
        </w:rPr>
        <w:t>in modo da non creare disparità e iniquità: con l’introduzione dell’IS</w:t>
      </w:r>
      <w:r w:rsidR="000C735C">
        <w:rPr>
          <w:rFonts w:asciiTheme="minorHAnsi" w:hAnsiTheme="minorHAnsi" w:cstheme="minorHAnsi"/>
          <w:b/>
          <w:bCs/>
          <w:sz w:val="24"/>
          <w:szCs w:val="24"/>
        </w:rPr>
        <w:t>E</w:t>
      </w:r>
      <w:r w:rsidRPr="000C735C">
        <w:rPr>
          <w:rFonts w:asciiTheme="minorHAnsi" w:hAnsiTheme="minorHAnsi" w:cstheme="minorHAnsi"/>
          <w:b/>
          <w:bCs/>
          <w:sz w:val="24"/>
          <w:szCs w:val="24"/>
        </w:rPr>
        <w:t>E (Indicatore della</w:t>
      </w:r>
      <w:r w:rsidR="000C735C" w:rsidRPr="000C735C">
        <w:rPr>
          <w:rFonts w:asciiTheme="minorHAnsi" w:hAnsiTheme="minorHAnsi" w:cstheme="minorHAnsi"/>
          <w:b/>
          <w:bCs/>
          <w:sz w:val="24"/>
          <w:szCs w:val="24"/>
        </w:rPr>
        <w:t xml:space="preserve"> Situazione Economica)  si è avviato quindi un difficile percorso  volto a garantire la reciproca responsabilità fra la struttura erogante e il soggetto beneficiario della fruizione dei servizi ed interventi sociali.</w:t>
      </w:r>
    </w:p>
    <w:p w14:paraId="33D5D909"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 xml:space="preserve">E’ assolutamente significativo che proprio nel contesto della definizione di una politica di welfare  basato sul rispetto del principio dell’equità, della solidarietà e della  responsabilità, la famiglia è stata intesa nel suo ruolo strategico fondamentale e perno essenziale per la determinazione dei servizi e degli interventi sociali, e quindi riconosciuta nella propria funzione sociale.  </w:t>
      </w:r>
    </w:p>
    <w:p w14:paraId="2DF41080"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 xml:space="preserve">Con la legge n. 53/00, recante “Disposizioni per il sostegno della maternità ed della paternità, per il diritto alla cura e alla formazione e per coordinamento dei tempi delle città”,  anche in relazione alle esperienze portate avanti da alcune Regioni, sono stati disposti interventi a favore delle famiglie per le politiche di conciliazione fra il tempo  di lavoro e il tempio di cura.  </w:t>
      </w:r>
    </w:p>
    <w:p w14:paraId="0729DD5D" w14:textId="2B25257F"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La legge quadro n. 328/00 relativa al “Sistema integrato degli interventi e dei servizi sociali”, è da considerare la prima legge statale che ha introdotto il concetto dell’endiad</w:t>
      </w:r>
      <w:r w:rsidR="00AD3B53" w:rsidRPr="000C735C">
        <w:rPr>
          <w:rFonts w:asciiTheme="minorHAnsi" w:hAnsiTheme="minorHAnsi" w:cstheme="minorHAnsi"/>
          <w:b/>
          <w:bCs/>
          <w:sz w:val="24"/>
          <w:szCs w:val="24"/>
        </w:rPr>
        <w:t>i</w:t>
      </w:r>
      <w:r w:rsidRPr="000C735C">
        <w:rPr>
          <w:rFonts w:asciiTheme="minorHAnsi" w:hAnsiTheme="minorHAnsi" w:cstheme="minorHAnsi"/>
          <w:b/>
          <w:bCs/>
          <w:sz w:val="24"/>
          <w:szCs w:val="24"/>
        </w:rPr>
        <w:t xml:space="preserve"> persona-famiglia in </w:t>
      </w:r>
      <w:r w:rsidRPr="000C735C">
        <w:rPr>
          <w:rFonts w:asciiTheme="minorHAnsi" w:hAnsiTheme="minorHAnsi" w:cstheme="minorHAnsi"/>
          <w:b/>
          <w:bCs/>
          <w:sz w:val="24"/>
          <w:szCs w:val="24"/>
        </w:rPr>
        <w:lastRenderedPageBreak/>
        <w:t>quanto destinatari degli interventi e dei servizi sociali, e ha dedicato una serie di articoli  al ruolo ed alla funzione del nucleo familiare nell’assistenza alle persone disabili (art.14) e agli anziani non autosufficienti (art.15), nonché alla valorizzazione delle responsabilità familiari (art. 16).</w:t>
      </w:r>
    </w:p>
    <w:p w14:paraId="6C1DEA9C"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In particolare è specificato che “il sistema integrato dei servizi sociali riconosce e sostiene il ruolo peculiare delle famiglie nella:</w:t>
      </w:r>
    </w:p>
    <w:p w14:paraId="52BE5ADB"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formazione e cura della persona;</w:t>
      </w:r>
    </w:p>
    <w:p w14:paraId="6BB06AE2"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promozione del benessere;</w:t>
      </w:r>
    </w:p>
    <w:p w14:paraId="6A014C72"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perseguimento della coesione sociale;</w:t>
      </w:r>
    </w:p>
    <w:p w14:paraId="4EDEA46E"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Inoltre il sistema:</w:t>
      </w:r>
    </w:p>
    <w:p w14:paraId="4E56E2D5"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sostiene e valorizza i molteplici compiti che le famiglie svolgono  sia nei momenti  critici e di disagio, sia nello sviluppo della vita quotidiana;</w:t>
      </w:r>
    </w:p>
    <w:p w14:paraId="7648DB2B"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sostiene la cooperazione il mutuo aiuto e l’associazionismo delle famiglie;</w:t>
      </w:r>
    </w:p>
    <w:p w14:paraId="640CFFFF"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valorizza il ruolo delle famiglie nella formazione di proposte e progetti per l’offerta dei servizi e nella valutazione dei medesimi.</w:t>
      </w:r>
    </w:p>
    <w:p w14:paraId="61C5D1BF" w14:textId="03631080"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E’ altresì specificato che al “fine di migliorare la qualità e l’efficienza degli interventi, gli operatori coinvolgono e responsabilizzano le persone e le famiglie nell’ambito dell’organizzazione dei servizi</w:t>
      </w:r>
      <w:r w:rsidR="009E4697">
        <w:rPr>
          <w:rFonts w:asciiTheme="minorHAnsi" w:hAnsiTheme="minorHAnsi" w:cstheme="minorHAnsi"/>
          <w:b/>
          <w:bCs/>
          <w:sz w:val="24"/>
          <w:szCs w:val="24"/>
        </w:rPr>
        <w:t>”</w:t>
      </w:r>
      <w:r w:rsidRPr="000C735C">
        <w:rPr>
          <w:rFonts w:asciiTheme="minorHAnsi" w:hAnsiTheme="minorHAnsi" w:cstheme="minorHAnsi"/>
          <w:b/>
          <w:bCs/>
          <w:sz w:val="24"/>
          <w:szCs w:val="24"/>
        </w:rPr>
        <w:t>.</w:t>
      </w:r>
    </w:p>
    <w:p w14:paraId="7D0C6CBE"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Nel disegno complessivo di definire un quadro organico di interventi che vedono la famiglia quale fulcro centrale è stato altresì predisposto con l’art. 22 il riferimento fondamentale   per la realizzazione del welfare, con la definizione dei  LIVEAS –  i livelli essenziali delle prestazioni sociali –  che devono tenere conto dell’esigenza di favorire le relazioni, le corresponsabilità e la solidarietà tra le generazioni, di sostenere le responsabilità genitoriali, di promuovere le pari opportunità e la condivisione di responsabilità tra donne e uomini e di riconoscere l’autonomia di ciascun componente della famiglia.</w:t>
      </w:r>
    </w:p>
    <w:p w14:paraId="60B4A57D"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L’aspetto ancora più rilevante è la individuazione delle priorità che devono essere poste nella realizzazione del sistema integrato di interventi e  servizi sociali:</w:t>
      </w:r>
    </w:p>
    <w:p w14:paraId="0D3D9EFB"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erogazione di assegni di cura e altri interventi a sostegno della maternità e della paternità responsabile, ulteriori rispetto  agli assegni e agli interventi già previsti dalla legge finanziaria 448/98, da realizzare in collaborazione con i servizi sanitari e con i servizi socioeducativi della prima infanzia;</w:t>
      </w:r>
    </w:p>
    <w:p w14:paraId="1008AC3F"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politiche di conciliazione tra il tempo di lavoro e il tempo di cura;</w:t>
      </w:r>
    </w:p>
    <w:p w14:paraId="37C4B50B"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servizi informativi di sostegno alla genitorialità, anche attraverso la promozione del mutuo aiuto tra le famiglie;</w:t>
      </w:r>
    </w:p>
    <w:p w14:paraId="10623DC4"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prestazioni di aiuto e sostegno domiciliare, anche con benefici di carattere economico, in particolare per le famiglie che assumono compiti di accoglienza, di cura di disabili fisici, psichici, e sensoriali e di altre persone in difficoltà , di minori in affidamento, di anziani;</w:t>
      </w:r>
    </w:p>
    <w:p w14:paraId="23E848B8"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servizi di sollievo, per affiancare nelle responsabilità del lavoro di cura la famiglia, e in particolare i componenti più impegnati nell’accudimento quotidiano delle persone bisognose di cura particolari ovvero per sostituirli nelle stesse responsabilità  di cura durante l’orario di lavoro;</w:t>
      </w:r>
    </w:p>
    <w:p w14:paraId="213A7D62" w14:textId="77777777" w:rsidR="005D15AA" w:rsidRPr="000C735C" w:rsidRDefault="005D15AA" w:rsidP="005D15AA">
      <w:pPr>
        <w:numPr>
          <w:ilvl w:val="0"/>
          <w:numId w:val="3"/>
        </w:num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servizi per l’affido familiare.</w:t>
      </w:r>
    </w:p>
    <w:p w14:paraId="5BE8D777" w14:textId="77777777" w:rsidR="005D15AA" w:rsidRPr="000C735C" w:rsidRDefault="005D15AA" w:rsidP="005D15AA">
      <w:pPr>
        <w:tabs>
          <w:tab w:val="left" w:pos="0"/>
          <w:tab w:val="right" w:pos="2908"/>
        </w:tabs>
        <w:ind w:left="360"/>
        <w:jc w:val="both"/>
        <w:rPr>
          <w:rFonts w:asciiTheme="minorHAnsi" w:hAnsiTheme="minorHAnsi" w:cstheme="minorHAnsi"/>
          <w:b/>
          <w:bCs/>
          <w:sz w:val="24"/>
          <w:szCs w:val="24"/>
        </w:rPr>
      </w:pPr>
      <w:r w:rsidRPr="000C735C">
        <w:rPr>
          <w:rFonts w:asciiTheme="minorHAnsi" w:hAnsiTheme="minorHAnsi" w:cstheme="minorHAnsi"/>
          <w:b/>
          <w:bCs/>
          <w:sz w:val="24"/>
          <w:szCs w:val="24"/>
        </w:rPr>
        <w:t>Infine è stata prevista la concessione di prestiti  d’onore da parte dei Comuni per sostenere le responsabilità individuali e familiari, con particolare riferimento, fra l’altro, alle  famiglie che hanno a carico soggetti non autosufficienti con problemi di grave e temporanea difficoltà economica.</w:t>
      </w:r>
    </w:p>
    <w:p w14:paraId="0E9ED949" w14:textId="77777777" w:rsidR="005D15AA" w:rsidRPr="000C735C" w:rsidRDefault="005D15AA" w:rsidP="005D15AA">
      <w:pPr>
        <w:tabs>
          <w:tab w:val="left" w:pos="0"/>
          <w:tab w:val="right" w:pos="2908"/>
        </w:tabs>
        <w:ind w:left="360"/>
        <w:jc w:val="both"/>
        <w:rPr>
          <w:rFonts w:asciiTheme="minorHAnsi" w:hAnsiTheme="minorHAnsi" w:cstheme="minorHAnsi"/>
          <w:b/>
          <w:bCs/>
          <w:sz w:val="24"/>
          <w:szCs w:val="24"/>
        </w:rPr>
      </w:pPr>
      <w:r w:rsidRPr="000C735C">
        <w:rPr>
          <w:rFonts w:asciiTheme="minorHAnsi" w:hAnsiTheme="minorHAnsi" w:cstheme="minorHAnsi"/>
          <w:b/>
          <w:bCs/>
          <w:sz w:val="24"/>
          <w:szCs w:val="24"/>
        </w:rPr>
        <w:t>Per la prima volta è stato altresì introdotto il principio di prevedere agevolazioni fiscali e tariffarie rivolte alle famiglie con specifiche responsabilità di cura.</w:t>
      </w:r>
    </w:p>
    <w:p w14:paraId="7F026BF4" w14:textId="6BE89A8D" w:rsidR="005D15AA" w:rsidRPr="000C735C" w:rsidRDefault="005D15AA" w:rsidP="00915AE1">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lastRenderedPageBreak/>
        <w:t>In</w:t>
      </w:r>
      <w:r w:rsidR="00915AE1">
        <w:rPr>
          <w:rFonts w:asciiTheme="minorHAnsi" w:hAnsiTheme="minorHAnsi" w:cstheme="minorHAnsi"/>
          <w:b/>
          <w:bCs/>
          <w:sz w:val="24"/>
          <w:szCs w:val="24"/>
        </w:rPr>
        <w:t>oltr</w:t>
      </w:r>
      <w:r w:rsidRPr="000C735C">
        <w:rPr>
          <w:rFonts w:asciiTheme="minorHAnsi" w:hAnsiTheme="minorHAnsi" w:cstheme="minorHAnsi"/>
          <w:b/>
          <w:bCs/>
          <w:sz w:val="24"/>
          <w:szCs w:val="24"/>
        </w:rPr>
        <w:t xml:space="preserve">e è stata prevista la determinazione di misure fiscali di agevolazione per le spese sostenute per la tutela e la cura dei componenti del nucleo familiare non autosufficienti o disabili.    </w:t>
      </w:r>
    </w:p>
    <w:p w14:paraId="1AF476D0" w14:textId="77777777" w:rsidR="005D15AA" w:rsidRPr="000C735C" w:rsidRDefault="005D15AA" w:rsidP="00915AE1">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A completamento del percorso “virtuoso” avviato con la legge n. 59/97, con il d. lgs.112/98 e con la legge 328/00, il Piano nazionale integrato dei servizi sociali (PNISS) ha ulteriormente specificato gli interventi  che sul piano programmatorio e operativo hanno individuato la famiglia quale riferimento fondamentale per la realizzazione del sistema integrato degli interventi e dei servizi sociali.</w:t>
      </w:r>
    </w:p>
    <w:p w14:paraId="56154DAD" w14:textId="77777777" w:rsidR="005D15AA" w:rsidRPr="000C735C" w:rsidRDefault="005D15AA" w:rsidP="005D15AA">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Tale contesto concerne quindi tutta la problematica  dei servizi rivolti alla persona e alla famiglia, così come opportunamente già indicati nel d. lgs. n. 112/98 e nella legge n. 328/00.</w:t>
      </w:r>
    </w:p>
    <w:p w14:paraId="7DC06E45" w14:textId="79E45B5E" w:rsidR="005D15AA" w:rsidRDefault="005D15AA" w:rsidP="005D15AA">
      <w:pPr>
        <w:pStyle w:val="Titolo9"/>
        <w:tabs>
          <w:tab w:val="left" w:pos="0"/>
          <w:tab w:val="right" w:pos="2908"/>
        </w:tabs>
        <w:rPr>
          <w:rFonts w:asciiTheme="minorHAnsi" w:hAnsiTheme="minorHAnsi" w:cstheme="minorHAnsi"/>
          <w:szCs w:val="24"/>
        </w:rPr>
      </w:pPr>
      <w:r w:rsidRPr="009211CC">
        <w:rPr>
          <w:rFonts w:asciiTheme="minorHAnsi" w:hAnsiTheme="minorHAnsi" w:cstheme="minorHAnsi"/>
          <w:szCs w:val="24"/>
        </w:rPr>
        <w:t>FASE 2001-20</w:t>
      </w:r>
      <w:r w:rsidR="00A04C4C">
        <w:rPr>
          <w:rFonts w:asciiTheme="minorHAnsi" w:hAnsiTheme="minorHAnsi" w:cstheme="minorHAnsi"/>
          <w:szCs w:val="24"/>
        </w:rPr>
        <w:t>05</w:t>
      </w:r>
    </w:p>
    <w:p w14:paraId="31F4D58A" w14:textId="77777777" w:rsidR="005C09F3" w:rsidRPr="000C735C" w:rsidRDefault="005C09F3" w:rsidP="005C09F3">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L’ingresso del federalismo nel sistema costituzionale, attraverso la modifica del titolo V della Costituzione (Legge costituzionale n. 3/01) ha determinato la necessità di una ulteriore ridefinizione delle politiche di welfare.</w:t>
      </w:r>
    </w:p>
    <w:p w14:paraId="18B0E335" w14:textId="77777777" w:rsidR="005C09F3" w:rsidRPr="000C735C" w:rsidRDefault="005C09F3" w:rsidP="005C09F3">
      <w:pPr>
        <w:tabs>
          <w:tab w:val="left" w:pos="0"/>
          <w:tab w:val="right" w:pos="2908"/>
        </w:tabs>
        <w:jc w:val="both"/>
        <w:rPr>
          <w:rFonts w:asciiTheme="minorHAnsi" w:hAnsiTheme="minorHAnsi" w:cstheme="minorHAnsi"/>
          <w:b/>
          <w:bCs/>
          <w:sz w:val="24"/>
          <w:szCs w:val="24"/>
        </w:rPr>
      </w:pPr>
      <w:r w:rsidRPr="000C735C">
        <w:rPr>
          <w:rFonts w:asciiTheme="minorHAnsi" w:hAnsiTheme="minorHAnsi" w:cstheme="minorHAnsi"/>
          <w:b/>
          <w:bCs/>
          <w:sz w:val="24"/>
          <w:szCs w:val="24"/>
        </w:rPr>
        <w:t>A tale riguardo va rilevato che all’art.117 lettera m) è indicato il compito dello Stato  di determinare in livelli essenziali per l’esercizio dei diritti civili e sociali e quindi la necessità imprescindibile  di definire il quadro delle prestazioni e degli interventi non solo sanitari e sociali (attraverso i LEA e i LIVEAS), ma anche quelli concernenti l’istruzione, la formazione, i trasporti, l’abitazione, ecc.).</w:t>
      </w:r>
    </w:p>
    <w:p w14:paraId="4732D41F" w14:textId="110278CD" w:rsidR="005D15AA" w:rsidRPr="00A04C4C" w:rsidRDefault="005D15AA" w:rsidP="005D15AA">
      <w:pPr>
        <w:tabs>
          <w:tab w:val="left" w:pos="0"/>
          <w:tab w:val="right" w:pos="2908"/>
        </w:tabs>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Nel corso del periodo  tutto il faticoso percorso avviato nel </w:t>
      </w:r>
      <w:r w:rsidR="00A04C4C">
        <w:rPr>
          <w:rFonts w:asciiTheme="minorHAnsi" w:hAnsiTheme="minorHAnsi" w:cstheme="minorHAnsi"/>
          <w:b/>
          <w:bCs/>
          <w:sz w:val="24"/>
          <w:szCs w:val="24"/>
        </w:rPr>
        <w:t xml:space="preserve">quinquennio </w:t>
      </w:r>
      <w:r w:rsidRPr="00A04C4C">
        <w:rPr>
          <w:rFonts w:asciiTheme="minorHAnsi" w:hAnsiTheme="minorHAnsi" w:cstheme="minorHAnsi"/>
          <w:b/>
          <w:bCs/>
          <w:sz w:val="24"/>
          <w:szCs w:val="24"/>
        </w:rPr>
        <w:t>1996-20</w:t>
      </w:r>
      <w:r w:rsidR="00A04C4C">
        <w:rPr>
          <w:rFonts w:asciiTheme="minorHAnsi" w:hAnsiTheme="minorHAnsi" w:cstheme="minorHAnsi"/>
          <w:b/>
          <w:bCs/>
          <w:sz w:val="24"/>
          <w:szCs w:val="24"/>
        </w:rPr>
        <w:t>00</w:t>
      </w:r>
      <w:r w:rsidRPr="00A04C4C">
        <w:rPr>
          <w:rFonts w:asciiTheme="minorHAnsi" w:hAnsiTheme="minorHAnsi" w:cstheme="minorHAnsi"/>
          <w:b/>
          <w:bCs/>
          <w:sz w:val="24"/>
          <w:szCs w:val="24"/>
        </w:rPr>
        <w:t xml:space="preserve">  ha subito una battuta d’arresto, e tutte le proposizioni innovative per l’affermazione di politiche familiari sono state bloccate, intendendosi che solo con il  privilegiare le politiche di mercato in tutte le sue dimensioni e spazi (economia, lavoro, servizi, ecc.) si sarebbe potuto sviluppare un welfare alternativo e in linea con le esigenze di  sviluppo.</w:t>
      </w:r>
    </w:p>
    <w:p w14:paraId="04009636" w14:textId="77777777" w:rsidR="005D15AA" w:rsidRPr="00A04C4C" w:rsidRDefault="005D15AA" w:rsidP="005D15AA">
      <w:pPr>
        <w:tabs>
          <w:tab w:val="left" w:pos="0"/>
          <w:tab w:val="right" w:pos="2908"/>
        </w:tabs>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L’unico riferimento è stato la pubblicazione  di un libro bianco sul welfare risalente al </w:t>
      </w:r>
      <w:smartTag w:uri="urn:schemas-microsoft-com:office:smarttags" w:element="metricconverter">
        <w:smartTagPr>
          <w:attr w:name="ProductID" w:val="2003, in"/>
        </w:smartTagPr>
        <w:r w:rsidRPr="00A04C4C">
          <w:rPr>
            <w:rFonts w:asciiTheme="minorHAnsi" w:hAnsiTheme="minorHAnsi" w:cstheme="minorHAnsi"/>
            <w:b/>
            <w:bCs/>
            <w:sz w:val="24"/>
            <w:szCs w:val="24"/>
          </w:rPr>
          <w:t>2003, in</w:t>
        </w:r>
      </w:smartTag>
      <w:r w:rsidRPr="00A04C4C">
        <w:rPr>
          <w:rFonts w:asciiTheme="minorHAnsi" w:hAnsiTheme="minorHAnsi" w:cstheme="minorHAnsi"/>
          <w:b/>
          <w:bCs/>
          <w:sz w:val="24"/>
          <w:szCs w:val="24"/>
        </w:rPr>
        <w:t xml:space="preserve"> cui è stato in effetti  proposto, e nemmeno attuato, un sistema non già orientato verso la promozione di politiche di pari tutele e di pari opportunità, ma un altro basato sulla diversità e sulla competitività fra le Regioni.</w:t>
      </w:r>
    </w:p>
    <w:p w14:paraId="258F4D24" w14:textId="30919D4A" w:rsidR="005D15AA" w:rsidRPr="00A04C4C" w:rsidRDefault="005D15AA" w:rsidP="005D15AA">
      <w:pPr>
        <w:tabs>
          <w:tab w:val="left" w:pos="0"/>
          <w:tab w:val="right" w:pos="2908"/>
        </w:tabs>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La mancata definizione, sul piano concettuale ed operativo, di politiche integrate tali da comprendere tutti gli ambiti di intervento  in cui la famiglia </w:t>
      </w:r>
      <w:r w:rsidR="00A04C4C">
        <w:rPr>
          <w:rFonts w:asciiTheme="minorHAnsi" w:hAnsiTheme="minorHAnsi" w:cstheme="minorHAnsi"/>
          <w:b/>
          <w:bCs/>
          <w:sz w:val="24"/>
          <w:szCs w:val="24"/>
        </w:rPr>
        <w:t xml:space="preserve">fosse </w:t>
      </w:r>
      <w:r w:rsidRPr="00A04C4C">
        <w:rPr>
          <w:rFonts w:asciiTheme="minorHAnsi" w:hAnsiTheme="minorHAnsi" w:cstheme="minorHAnsi"/>
          <w:b/>
          <w:bCs/>
          <w:sz w:val="24"/>
          <w:szCs w:val="24"/>
        </w:rPr>
        <w:t>coinvolta ed interessata, ha rappresentato  la conferma della scelta di privilegiare nell’ambito delle politiche di welfare  il mercato e le sue regole, e la monetizzazione dei bisogni attraverso l’erogazione degli assegni familiari, e non già la promozione del “welfare di comunità” connesso al “welfare delle responsabilità”, che costituiscono i cardini fondamentali per lo sviluppo di politiche sociali integrate e “coese” con i cittadini,  le sue espressioni organizzate e le istituzioni che li rappresentano</w:t>
      </w:r>
      <w:r w:rsidR="00A04C4C">
        <w:rPr>
          <w:rFonts w:asciiTheme="minorHAnsi" w:hAnsiTheme="minorHAnsi" w:cstheme="minorHAnsi"/>
          <w:b/>
          <w:bCs/>
          <w:sz w:val="24"/>
          <w:szCs w:val="24"/>
        </w:rPr>
        <w:t>, così ben definito nel primo</w:t>
      </w:r>
      <w:r w:rsidR="00450F74">
        <w:rPr>
          <w:rFonts w:asciiTheme="minorHAnsi" w:hAnsiTheme="minorHAnsi" w:cstheme="minorHAnsi"/>
          <w:b/>
          <w:bCs/>
          <w:sz w:val="24"/>
          <w:szCs w:val="24"/>
        </w:rPr>
        <w:t xml:space="preserve">, già citato, </w:t>
      </w:r>
      <w:r w:rsidR="00A04C4C">
        <w:rPr>
          <w:rFonts w:asciiTheme="minorHAnsi" w:hAnsiTheme="minorHAnsi" w:cstheme="minorHAnsi"/>
          <w:b/>
          <w:bCs/>
          <w:sz w:val="24"/>
          <w:szCs w:val="24"/>
        </w:rPr>
        <w:t xml:space="preserve"> Piano Nazionale degli Interventi e dei Servizi Sociali emanato con DPR 5 maggio 2001, ultimo atto del governo precedente</w:t>
      </w:r>
      <w:r w:rsidRPr="00A04C4C">
        <w:rPr>
          <w:rFonts w:asciiTheme="minorHAnsi" w:hAnsiTheme="minorHAnsi" w:cstheme="minorHAnsi"/>
          <w:b/>
          <w:bCs/>
          <w:sz w:val="24"/>
          <w:szCs w:val="24"/>
        </w:rPr>
        <w:t>.</w:t>
      </w:r>
    </w:p>
    <w:p w14:paraId="058F2869" w14:textId="77777777" w:rsidR="005D15AA" w:rsidRPr="00A04C4C" w:rsidRDefault="005D15AA" w:rsidP="005D15AA">
      <w:pPr>
        <w:tabs>
          <w:tab w:val="left" w:pos="0"/>
          <w:tab w:val="right" w:pos="2908"/>
        </w:tabs>
        <w:jc w:val="both"/>
        <w:rPr>
          <w:rFonts w:asciiTheme="minorHAnsi" w:hAnsiTheme="minorHAnsi" w:cstheme="minorHAnsi"/>
          <w:b/>
          <w:bCs/>
          <w:sz w:val="24"/>
          <w:szCs w:val="24"/>
        </w:rPr>
      </w:pPr>
      <w:r w:rsidRPr="00A04C4C">
        <w:rPr>
          <w:rFonts w:asciiTheme="minorHAnsi" w:hAnsiTheme="minorHAnsi" w:cstheme="minorHAnsi"/>
          <w:b/>
          <w:bCs/>
          <w:sz w:val="24"/>
          <w:szCs w:val="24"/>
        </w:rPr>
        <w:t>Orbene, nell’arco di cinque anni tali obblighi costituzionali sono stati assolutamente ignorati, e quindi non è stato prodotto alcun atto che potesse fare riferimento alla configurazione di un quadro di regole per l’esercizio del diritto di cittadinanza e di un quadro certo ed incontrovertibile della  parità di trattamento e non discriminazione nell’esercizio dei diritti civili e sociali da  parte di tutti i cittadini italiani.</w:t>
      </w:r>
    </w:p>
    <w:p w14:paraId="600DFED0" w14:textId="7080A6CE" w:rsidR="005D15AA" w:rsidRPr="00A04C4C" w:rsidRDefault="005D15AA" w:rsidP="005D15AA">
      <w:pPr>
        <w:tabs>
          <w:tab w:val="left" w:pos="0"/>
          <w:tab w:val="right" w:pos="2908"/>
        </w:tabs>
        <w:jc w:val="both"/>
        <w:rPr>
          <w:rFonts w:asciiTheme="minorHAnsi" w:hAnsiTheme="minorHAnsi" w:cstheme="minorHAnsi"/>
          <w:b/>
          <w:bCs/>
          <w:sz w:val="24"/>
          <w:szCs w:val="24"/>
        </w:rPr>
      </w:pPr>
      <w:r w:rsidRPr="00A04C4C">
        <w:rPr>
          <w:rFonts w:asciiTheme="minorHAnsi" w:hAnsiTheme="minorHAnsi" w:cstheme="minorHAnsi"/>
          <w:b/>
          <w:bCs/>
          <w:sz w:val="24"/>
          <w:szCs w:val="24"/>
        </w:rPr>
        <w:t>Le stesse politiche fiscali rivolte  alle famiglie che assistono persone non autosufficienti, e gli sgravi fiscali introdotti per le famiglie con figli</w:t>
      </w:r>
      <w:r w:rsidR="00A04C4C">
        <w:rPr>
          <w:rFonts w:asciiTheme="minorHAnsi" w:hAnsiTheme="minorHAnsi" w:cstheme="minorHAnsi"/>
          <w:b/>
          <w:bCs/>
          <w:sz w:val="24"/>
          <w:szCs w:val="24"/>
        </w:rPr>
        <w:t>,</w:t>
      </w:r>
      <w:r w:rsidRPr="00A04C4C">
        <w:rPr>
          <w:rFonts w:asciiTheme="minorHAnsi" w:hAnsiTheme="minorHAnsi" w:cstheme="minorHAnsi"/>
          <w:b/>
          <w:bCs/>
          <w:sz w:val="24"/>
          <w:szCs w:val="24"/>
        </w:rPr>
        <w:t xml:space="preserve"> hanno affrontato solo parzialmente il riconoscimento del ruolo sociale della famiglia.</w:t>
      </w:r>
    </w:p>
    <w:p w14:paraId="45A51138" w14:textId="7DF86E8C" w:rsidR="005D15AA" w:rsidRPr="009211CC" w:rsidRDefault="005D15AA" w:rsidP="005D15AA">
      <w:pPr>
        <w:tabs>
          <w:tab w:val="left" w:pos="0"/>
          <w:tab w:val="right" w:pos="2908"/>
        </w:tabs>
        <w:jc w:val="both"/>
        <w:rPr>
          <w:rFonts w:asciiTheme="minorHAnsi" w:hAnsiTheme="minorHAnsi" w:cstheme="minorHAnsi"/>
          <w:b/>
          <w:sz w:val="24"/>
          <w:szCs w:val="24"/>
          <w:u w:val="single"/>
        </w:rPr>
      </w:pPr>
      <w:r w:rsidRPr="009211CC">
        <w:rPr>
          <w:rFonts w:asciiTheme="minorHAnsi" w:hAnsiTheme="minorHAnsi" w:cstheme="minorHAnsi"/>
          <w:b/>
          <w:sz w:val="24"/>
          <w:szCs w:val="24"/>
          <w:u w:val="single"/>
        </w:rPr>
        <w:t>LA  FASE 2006-2008</w:t>
      </w:r>
    </w:p>
    <w:p w14:paraId="68925D2B" w14:textId="77777777" w:rsidR="005D15AA" w:rsidRPr="00A04C4C" w:rsidRDefault="005D15AA" w:rsidP="005D15AA">
      <w:pPr>
        <w:tabs>
          <w:tab w:val="left" w:pos="0"/>
          <w:tab w:val="right" w:pos="2908"/>
        </w:tabs>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 Nel corso del biennio suddetto, sono state rilanciate le politiche familiari, con l’istituzione del Ministero delle politiche per la famiglia, e la ridefinizione in un quadro organico di riferimento all’interno del quale  sono state poste le basi per una determinante politica familiare.</w:t>
      </w:r>
    </w:p>
    <w:p w14:paraId="520D33EE" w14:textId="77777777" w:rsidR="005D15AA" w:rsidRPr="00A04C4C" w:rsidRDefault="005D15AA" w:rsidP="005D15AA">
      <w:pPr>
        <w:tabs>
          <w:tab w:val="left" w:pos="0"/>
          <w:tab w:val="right" w:pos="2908"/>
        </w:tabs>
        <w:jc w:val="both"/>
        <w:rPr>
          <w:rFonts w:asciiTheme="minorHAnsi" w:hAnsiTheme="minorHAnsi" w:cstheme="minorHAnsi"/>
          <w:b/>
          <w:bCs/>
          <w:sz w:val="24"/>
          <w:szCs w:val="24"/>
        </w:rPr>
      </w:pPr>
      <w:r w:rsidRPr="00A04C4C">
        <w:rPr>
          <w:rFonts w:asciiTheme="minorHAnsi" w:hAnsiTheme="minorHAnsi" w:cstheme="minorHAnsi"/>
          <w:b/>
          <w:bCs/>
          <w:sz w:val="24"/>
          <w:szCs w:val="24"/>
        </w:rPr>
        <w:lastRenderedPageBreak/>
        <w:t>Particolarmente interessante è stato altresì il riferimento programmatico costituito dal DPEF (Documento di programmazione economica e finanziaria 2007-2011), in cui sono state ulteriormente ridefinite le politiche familiari:</w:t>
      </w:r>
    </w:p>
    <w:p w14:paraId="5F8E0E38" w14:textId="116D10AB"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Nel documento citato è stato  preliminarmente sottolineato che negli ultimi anni </w:t>
      </w:r>
      <w:r w:rsidR="00A04C4C">
        <w:rPr>
          <w:rFonts w:asciiTheme="minorHAnsi" w:hAnsiTheme="minorHAnsi" w:cstheme="minorHAnsi"/>
          <w:b/>
          <w:bCs/>
          <w:sz w:val="24"/>
          <w:szCs w:val="24"/>
        </w:rPr>
        <w:t>è</w:t>
      </w:r>
      <w:r w:rsidRPr="00A04C4C">
        <w:rPr>
          <w:rFonts w:asciiTheme="minorHAnsi" w:hAnsiTheme="minorHAnsi" w:cstheme="minorHAnsi"/>
          <w:b/>
          <w:bCs/>
          <w:sz w:val="24"/>
          <w:szCs w:val="24"/>
        </w:rPr>
        <w:t xml:space="preserve"> mancata una politica economica e sociale nel suo insieme adeguata alle responsabilità familiari, alla fornitura di servizi sociali e abitativi alle famiglie e in generale al sostegno della famiglia come luogo di esercizio delle solidarietà intergenerazionali, della cura e della tutela del benessere dei figli e degli affetti. </w:t>
      </w:r>
    </w:p>
    <w:p w14:paraId="67C47599" w14:textId="77777777"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Veniva sottolineato che l’obiettivo del Governo era di ridare un ruolo centrale alla famiglia, ed in  particolare: </w:t>
      </w:r>
    </w:p>
    <w:p w14:paraId="76E06710" w14:textId="77777777"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 realizzare due libertà fondamentali per i giovani, quella di rendersi autonomi dalla famiglia di origine e quella di poter costituire una propria famiglia; </w:t>
      </w:r>
    </w:p>
    <w:p w14:paraId="19DED404" w14:textId="77777777"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 contrastare la povertà e l’esclusione sociale, con particolare riguardo alle  problematiche della famiglia; </w:t>
      </w:r>
    </w:p>
    <w:p w14:paraId="14785308" w14:textId="77777777"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 ampliare il diritto per le donne di partecipare al mercato del lavoro senza  rinunciare al diritto alla maternità; </w:t>
      </w:r>
    </w:p>
    <w:p w14:paraId="67160882" w14:textId="77777777"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 favorire la conciliazione tra vita lavorativa e vita personale e familiare; </w:t>
      </w:r>
    </w:p>
    <w:p w14:paraId="535162AE" w14:textId="77777777"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 coniugare il riconoscimento delle famiglie come una espressione della socialità con il rispetto dei diritti dei singoli componenti, compresi i minori; assicurare i diritti  dei bambini e delle bambine e realizzare le condizioni per una infanzia libera dal  rischio della povertà e ricca di occasioni di socializzazione e di crescita é un dovere di cittadinanza; </w:t>
      </w:r>
    </w:p>
    <w:p w14:paraId="744385EC" w14:textId="77777777"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 tutelare il benessere e la salute dell’infanzia e dell’adolescenza garantendo un organico e integrato intervento di protezione materno-infantile finalizzando a tale  scopo una azione di messa in rete di tutti gli interventi sociali, sanitari e educativi che  si rendano necessari; </w:t>
      </w:r>
    </w:p>
    <w:p w14:paraId="5D75B155" w14:textId="77777777"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 xml:space="preserve">• favorire una vecchiaia attiva, inserita nella rete delle relazioni affettive, familiari e sociali, assicurando al contempo l’assistenza a chi ne ha bisogno.  </w:t>
      </w:r>
    </w:p>
    <w:p w14:paraId="0720FACD" w14:textId="4CF5C931"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Perseguire questi obiettivi costituiva parte essenziale della costruzione di un welfare dello sviluppo umano, di una società pi</w:t>
      </w:r>
      <w:r w:rsidR="00A04C4C">
        <w:rPr>
          <w:rFonts w:asciiTheme="minorHAnsi" w:hAnsiTheme="minorHAnsi" w:cstheme="minorHAnsi"/>
          <w:b/>
          <w:bCs/>
          <w:sz w:val="24"/>
          <w:szCs w:val="24"/>
        </w:rPr>
        <w:t>ù</w:t>
      </w:r>
      <w:r w:rsidRPr="00A04C4C">
        <w:rPr>
          <w:rFonts w:asciiTheme="minorHAnsi" w:hAnsiTheme="minorHAnsi" w:cstheme="minorHAnsi"/>
          <w:b/>
          <w:bCs/>
          <w:sz w:val="24"/>
          <w:szCs w:val="24"/>
        </w:rPr>
        <w:t xml:space="preserve"> libera e solidale, con la  prospettiva di creare una crescita economica stabile.</w:t>
      </w:r>
    </w:p>
    <w:p w14:paraId="174233B0" w14:textId="77777777" w:rsidR="005D15AA" w:rsidRPr="00A04C4C" w:rsidRDefault="005D15AA" w:rsidP="005D15AA">
      <w:pPr>
        <w:jc w:val="both"/>
        <w:rPr>
          <w:rFonts w:asciiTheme="minorHAnsi" w:hAnsiTheme="minorHAnsi" w:cstheme="minorHAnsi"/>
          <w:b/>
          <w:bCs/>
          <w:sz w:val="24"/>
          <w:szCs w:val="24"/>
        </w:rPr>
      </w:pPr>
      <w:r w:rsidRPr="00A04C4C">
        <w:rPr>
          <w:rFonts w:asciiTheme="minorHAnsi" w:hAnsiTheme="minorHAnsi" w:cstheme="minorHAnsi"/>
          <w:b/>
          <w:bCs/>
          <w:sz w:val="24"/>
          <w:szCs w:val="24"/>
        </w:rPr>
        <w:t>Conseguentemente a tale organico disegno programmatico, è stata avviata una intensa attività legislativa, atta a porre le basi istituzionali per  dare concretezza a quanto previsto nel documento di programmazione.</w:t>
      </w:r>
    </w:p>
    <w:p w14:paraId="61C596AA" w14:textId="77777777" w:rsidR="005D15AA" w:rsidRPr="00A04C4C" w:rsidRDefault="005D15AA" w:rsidP="005D15AA">
      <w:pPr>
        <w:spacing w:line="20" w:lineRule="atLeast"/>
        <w:jc w:val="both"/>
        <w:rPr>
          <w:rFonts w:asciiTheme="minorHAnsi" w:hAnsiTheme="minorHAnsi" w:cstheme="minorHAnsi"/>
          <w:b/>
          <w:bCs/>
          <w:sz w:val="24"/>
          <w:szCs w:val="24"/>
        </w:rPr>
      </w:pPr>
      <w:r w:rsidRPr="00A04C4C">
        <w:rPr>
          <w:rFonts w:asciiTheme="minorHAnsi" w:hAnsiTheme="minorHAnsi" w:cstheme="minorHAnsi"/>
          <w:b/>
          <w:bCs/>
          <w:sz w:val="24"/>
          <w:szCs w:val="24"/>
        </w:rPr>
        <w:t>Pertanto i  provvedimenti più importanti (introdotti con la  Legge 248/06, art. 19   “Interventi per le politiche della famiglia, per le politiche giovanili e per le politiche relative ai diritti e alle pari opportunità”) sono  stati:</w:t>
      </w:r>
    </w:p>
    <w:p w14:paraId="7431ECA5" w14:textId="77777777" w:rsidR="005D15AA" w:rsidRPr="00A04C4C" w:rsidRDefault="005D15AA" w:rsidP="005D15AA">
      <w:pPr>
        <w:numPr>
          <w:ilvl w:val="3"/>
          <w:numId w:val="3"/>
        </w:numPr>
        <w:spacing w:line="20" w:lineRule="atLeast"/>
        <w:jc w:val="both"/>
        <w:rPr>
          <w:rFonts w:asciiTheme="minorHAnsi" w:hAnsiTheme="minorHAnsi" w:cstheme="minorHAnsi"/>
          <w:b/>
          <w:bCs/>
          <w:sz w:val="24"/>
          <w:szCs w:val="24"/>
        </w:rPr>
      </w:pPr>
      <w:r w:rsidRPr="00A04C4C">
        <w:rPr>
          <w:rFonts w:asciiTheme="minorHAnsi" w:hAnsiTheme="minorHAnsi" w:cstheme="minorHAnsi"/>
          <w:b/>
          <w:bCs/>
          <w:sz w:val="24"/>
          <w:szCs w:val="24"/>
        </w:rPr>
        <w:t>l’istituzione del  «Fondo per le politiche della famiglia»;</w:t>
      </w:r>
    </w:p>
    <w:p w14:paraId="3A505D91" w14:textId="3EA112EB" w:rsidR="005D15AA" w:rsidRDefault="005D15AA" w:rsidP="005D15AA">
      <w:pPr>
        <w:numPr>
          <w:ilvl w:val="3"/>
          <w:numId w:val="3"/>
        </w:numPr>
        <w:spacing w:line="20" w:lineRule="atLeast"/>
        <w:jc w:val="both"/>
        <w:rPr>
          <w:rFonts w:asciiTheme="minorHAnsi" w:hAnsiTheme="minorHAnsi" w:cstheme="minorHAnsi"/>
          <w:b/>
          <w:bCs/>
          <w:sz w:val="24"/>
          <w:szCs w:val="24"/>
        </w:rPr>
      </w:pPr>
      <w:r w:rsidRPr="00A04C4C">
        <w:rPr>
          <w:rFonts w:asciiTheme="minorHAnsi" w:hAnsiTheme="minorHAnsi" w:cstheme="minorHAnsi"/>
          <w:b/>
          <w:bCs/>
          <w:sz w:val="24"/>
          <w:szCs w:val="24"/>
        </w:rPr>
        <w:t>L’Osservatorio nazionale sulla famiglia.</w:t>
      </w:r>
    </w:p>
    <w:p w14:paraId="69B3D6FE" w14:textId="77777777" w:rsidR="0065013F" w:rsidRPr="0091622C" w:rsidRDefault="0065013F" w:rsidP="0065013F">
      <w:pPr>
        <w:tabs>
          <w:tab w:val="left" w:pos="0"/>
          <w:tab w:val="right" w:pos="2908"/>
        </w:tabs>
        <w:jc w:val="both"/>
        <w:rPr>
          <w:rFonts w:asciiTheme="minorHAnsi" w:hAnsiTheme="minorHAnsi" w:cstheme="minorHAnsi"/>
          <w:b/>
          <w:bCs/>
          <w:sz w:val="24"/>
          <w:szCs w:val="24"/>
        </w:rPr>
      </w:pPr>
      <w:r w:rsidRPr="0091622C">
        <w:rPr>
          <w:rFonts w:asciiTheme="minorHAnsi" w:hAnsiTheme="minorHAnsi" w:cstheme="minorHAnsi"/>
          <w:b/>
          <w:bCs/>
          <w:sz w:val="24"/>
          <w:szCs w:val="24"/>
        </w:rPr>
        <w:t>Lo sviluppo successivo è stato definito con la legge finanziaria Legge  24 Dicembre 2007, n. 244 Disposizioni per la formazione del bilancio annuale e pluriennale dello Stato (legge finanziaria 2008). (GU n. 300 del 28.1207 - Suppl. Ordinario n.285)</w:t>
      </w:r>
    </w:p>
    <w:p w14:paraId="7D17BD2E" w14:textId="48BB42AE" w:rsidR="0065013F" w:rsidRP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In tale contesto, confermando la linea governativa di potenziare e sviluppare interventi e servizi rivolti alla famiglia, sono state dettate disposizioni per le famiglie numerose (art. 1, commi 15 e 16) la rideterminazione degli assegni familiari, nonché le detrazioni IRPEF sulle rette asili nido, e le detrazioni per carichi di famiglia.</w:t>
      </w:r>
    </w:p>
    <w:p w14:paraId="7A1084D3" w14:textId="66C48D88" w:rsidR="000D0138" w:rsidRDefault="000D0138" w:rsidP="0065013F">
      <w:pPr>
        <w:spacing w:line="20" w:lineRule="atLeast"/>
        <w:jc w:val="both"/>
        <w:rPr>
          <w:rFonts w:asciiTheme="minorHAnsi" w:hAnsiTheme="minorHAnsi" w:cstheme="minorHAnsi"/>
          <w:b/>
          <w:bCs/>
          <w:sz w:val="24"/>
          <w:szCs w:val="24"/>
        </w:rPr>
      </w:pPr>
    </w:p>
    <w:p w14:paraId="7D2B41BE" w14:textId="77777777" w:rsidR="00915AE1" w:rsidRDefault="00915AE1" w:rsidP="000D0138">
      <w:pPr>
        <w:spacing w:line="20" w:lineRule="atLeast"/>
        <w:jc w:val="both"/>
        <w:rPr>
          <w:rFonts w:asciiTheme="minorHAnsi" w:hAnsiTheme="minorHAnsi" w:cstheme="minorHAnsi"/>
          <w:b/>
          <w:bCs/>
          <w:sz w:val="24"/>
          <w:szCs w:val="24"/>
        </w:rPr>
      </w:pPr>
    </w:p>
    <w:p w14:paraId="5446754E" w14:textId="77777777" w:rsidR="00915AE1" w:rsidRDefault="00915AE1" w:rsidP="000D0138">
      <w:pPr>
        <w:spacing w:line="20" w:lineRule="atLeast"/>
        <w:jc w:val="both"/>
        <w:rPr>
          <w:rFonts w:asciiTheme="minorHAnsi" w:hAnsiTheme="minorHAnsi" w:cstheme="minorHAnsi"/>
          <w:b/>
          <w:bCs/>
          <w:sz w:val="24"/>
          <w:szCs w:val="24"/>
        </w:rPr>
      </w:pPr>
    </w:p>
    <w:p w14:paraId="12940A5E" w14:textId="77777777" w:rsidR="00915AE1" w:rsidRDefault="00915AE1" w:rsidP="000D0138">
      <w:pPr>
        <w:spacing w:line="20" w:lineRule="atLeast"/>
        <w:jc w:val="both"/>
        <w:rPr>
          <w:rFonts w:asciiTheme="minorHAnsi" w:hAnsiTheme="minorHAnsi" w:cstheme="minorHAnsi"/>
          <w:b/>
          <w:bCs/>
          <w:sz w:val="24"/>
          <w:szCs w:val="24"/>
        </w:rPr>
      </w:pPr>
    </w:p>
    <w:p w14:paraId="2F5DA954" w14:textId="2E0F0DE0" w:rsidR="000D0138" w:rsidRPr="00915AE1" w:rsidRDefault="000D0138" w:rsidP="000D0138">
      <w:pPr>
        <w:spacing w:line="20" w:lineRule="atLeast"/>
        <w:jc w:val="both"/>
        <w:rPr>
          <w:rFonts w:asciiTheme="minorHAnsi" w:hAnsiTheme="minorHAnsi" w:cstheme="minorHAnsi"/>
          <w:b/>
          <w:bCs/>
          <w:sz w:val="24"/>
          <w:szCs w:val="24"/>
        </w:rPr>
      </w:pPr>
      <w:r w:rsidRPr="00915AE1">
        <w:rPr>
          <w:rFonts w:asciiTheme="minorHAnsi" w:hAnsiTheme="minorHAnsi" w:cstheme="minorHAnsi"/>
          <w:b/>
          <w:bCs/>
          <w:sz w:val="24"/>
          <w:szCs w:val="24"/>
        </w:rPr>
        <w:lastRenderedPageBreak/>
        <w:t>IL FONDO PER LE POLITICHE  DELLA FAMIGLIA</w:t>
      </w:r>
    </w:p>
    <w:p w14:paraId="1D76966A" w14:textId="5DBBBB77" w:rsidR="000D0138" w:rsidRDefault="000D0138" w:rsidP="000D0138">
      <w:pPr>
        <w:spacing w:line="20" w:lineRule="atLeast"/>
        <w:jc w:val="both"/>
        <w:rPr>
          <w:rFonts w:asciiTheme="minorHAnsi" w:hAnsiTheme="minorHAnsi" w:cstheme="minorHAnsi"/>
          <w:b/>
          <w:bCs/>
          <w:color w:val="19191A"/>
          <w:sz w:val="24"/>
          <w:szCs w:val="24"/>
        </w:rPr>
      </w:pPr>
      <w:r>
        <w:rPr>
          <w:rFonts w:asciiTheme="minorHAnsi" w:hAnsiTheme="minorHAnsi" w:cstheme="minorHAnsi"/>
          <w:b/>
          <w:bCs/>
          <w:color w:val="19191A"/>
          <w:sz w:val="24"/>
          <w:szCs w:val="24"/>
        </w:rPr>
        <w:t xml:space="preserve">Il governo 2006-2008 è stato caratterizzato dalla </w:t>
      </w:r>
      <w:r w:rsidRPr="000D0138">
        <w:rPr>
          <w:rFonts w:asciiTheme="minorHAnsi" w:hAnsiTheme="minorHAnsi" w:cstheme="minorHAnsi"/>
          <w:b/>
          <w:bCs/>
          <w:color w:val="19191A"/>
          <w:sz w:val="24"/>
          <w:szCs w:val="24"/>
        </w:rPr>
        <w:t>costituzione di “fondi” specifici per lo svolgimento di interventi e di politiche definite per aree e per fasce di cittadini</w:t>
      </w:r>
      <w:r>
        <w:rPr>
          <w:rFonts w:asciiTheme="minorHAnsi" w:hAnsiTheme="minorHAnsi" w:cstheme="minorHAnsi"/>
          <w:b/>
          <w:bCs/>
          <w:color w:val="19191A"/>
          <w:sz w:val="24"/>
          <w:szCs w:val="24"/>
        </w:rPr>
        <w:t xml:space="preserve"> (giovani, famiglia, non autosufficienza)</w:t>
      </w:r>
    </w:p>
    <w:p w14:paraId="72CD379B" w14:textId="4175C24C" w:rsidR="00313DDC" w:rsidRDefault="007D6CFC" w:rsidP="00250418">
      <w:pPr>
        <w:shd w:val="clear" w:color="auto" w:fill="FFFFFF"/>
        <w:spacing w:line="20" w:lineRule="atLeast"/>
        <w:ind w:right="240"/>
        <w:jc w:val="both"/>
        <w:outlineLvl w:val="1"/>
        <w:rPr>
          <w:rFonts w:asciiTheme="minorHAnsi" w:hAnsiTheme="minorHAnsi" w:cstheme="minorHAnsi"/>
          <w:b/>
          <w:bCs/>
          <w:sz w:val="24"/>
          <w:szCs w:val="24"/>
        </w:rPr>
      </w:pPr>
      <w:r>
        <w:rPr>
          <w:rFonts w:asciiTheme="minorHAnsi" w:hAnsiTheme="minorHAnsi" w:cstheme="minorHAnsi"/>
          <w:b/>
          <w:bCs/>
          <w:sz w:val="24"/>
          <w:szCs w:val="24"/>
        </w:rPr>
        <w:t xml:space="preserve">Con </w:t>
      </w:r>
      <w:r w:rsidRPr="007D6CFC">
        <w:rPr>
          <w:rFonts w:asciiTheme="minorHAnsi" w:hAnsiTheme="minorHAnsi" w:cstheme="minorHAnsi"/>
          <w:b/>
          <w:bCs/>
          <w:sz w:val="24"/>
          <w:szCs w:val="24"/>
        </w:rPr>
        <w:t>DECRETO </w:t>
      </w:r>
      <w:r w:rsidRPr="007D6CFC">
        <w:rPr>
          <w:rFonts w:asciiTheme="minorHAnsi" w:hAnsiTheme="minorHAnsi" w:cstheme="minorHAnsi"/>
          <w:b/>
          <w:bCs/>
          <w:sz w:val="24"/>
          <w:szCs w:val="24"/>
          <w:bdr w:val="none" w:sz="0" w:space="0" w:color="auto" w:frame="1"/>
        </w:rPr>
        <w:t>2 luglio 2007</w:t>
      </w:r>
      <w:r>
        <w:rPr>
          <w:rFonts w:asciiTheme="minorHAnsi" w:hAnsiTheme="minorHAnsi" w:cstheme="minorHAnsi"/>
          <w:b/>
          <w:bCs/>
          <w:sz w:val="24"/>
          <w:szCs w:val="24"/>
          <w:bdr w:val="none" w:sz="0" w:space="0" w:color="auto" w:frame="1"/>
        </w:rPr>
        <w:t xml:space="preserve"> è stata disposta la </w:t>
      </w:r>
      <w:r w:rsidRPr="007D6CFC">
        <w:rPr>
          <w:rFonts w:asciiTheme="minorHAnsi" w:hAnsiTheme="minorHAnsi" w:cstheme="minorHAnsi"/>
          <w:b/>
          <w:bCs/>
          <w:sz w:val="24"/>
          <w:szCs w:val="24"/>
          <w:bdr w:val="none" w:sz="0" w:space="0" w:color="auto" w:frame="1"/>
        </w:rPr>
        <w:t>Ripartizione degli stanziamenti del Fondo delle politiche per la famiglia, ai sensi dell'articolo 1, comma 1252, della legge 27 dicembre 2006, n. 296</w:t>
      </w:r>
      <w:r>
        <w:rPr>
          <w:rFonts w:asciiTheme="minorHAnsi" w:hAnsiTheme="minorHAnsi" w:cstheme="minorHAnsi"/>
          <w:b/>
          <w:bCs/>
          <w:sz w:val="24"/>
          <w:szCs w:val="24"/>
          <w:bdr w:val="none" w:sz="0" w:space="0" w:color="auto" w:frame="1"/>
        </w:rPr>
        <w:t xml:space="preserve">, </w:t>
      </w:r>
      <w:r w:rsidRPr="007D6CFC">
        <w:rPr>
          <w:rFonts w:asciiTheme="minorHAnsi" w:hAnsiTheme="minorHAnsi" w:cstheme="minorHAnsi"/>
          <w:b/>
          <w:bCs/>
          <w:sz w:val="24"/>
          <w:szCs w:val="24"/>
        </w:rPr>
        <w:t>l'anno  2007,  ammontanti  nel  complesso  a  Euro 220.000.000</w:t>
      </w:r>
      <w:r w:rsidR="00250418">
        <w:rPr>
          <w:rFonts w:asciiTheme="minorHAnsi" w:hAnsiTheme="minorHAnsi" w:cstheme="minorHAnsi"/>
          <w:b/>
          <w:bCs/>
          <w:sz w:val="24"/>
          <w:szCs w:val="24"/>
        </w:rPr>
        <w:t xml:space="preserve">, articolati in specifici settori </w:t>
      </w:r>
      <w:r w:rsidRPr="007D6CFC">
        <w:rPr>
          <w:rFonts w:asciiTheme="minorHAnsi" w:hAnsiTheme="minorHAnsi" w:cstheme="minorHAnsi"/>
          <w:b/>
          <w:bCs/>
          <w:sz w:val="24"/>
          <w:szCs w:val="24"/>
        </w:rPr>
        <w:t xml:space="preserve"> di</w:t>
      </w:r>
      <w:r>
        <w:rPr>
          <w:rFonts w:asciiTheme="minorHAnsi" w:hAnsiTheme="minorHAnsi" w:cstheme="minorHAnsi"/>
          <w:b/>
          <w:bCs/>
          <w:sz w:val="24"/>
          <w:szCs w:val="24"/>
        </w:rPr>
        <w:t xml:space="preserve"> </w:t>
      </w:r>
      <w:r w:rsidRPr="007D6CFC">
        <w:rPr>
          <w:rFonts w:asciiTheme="minorHAnsi" w:hAnsiTheme="minorHAnsi" w:cstheme="minorHAnsi"/>
          <w:b/>
          <w:bCs/>
          <w:sz w:val="24"/>
          <w:szCs w:val="24"/>
        </w:rPr>
        <w:t>intervento</w:t>
      </w:r>
      <w:r w:rsidR="00313DDC">
        <w:rPr>
          <w:rFonts w:asciiTheme="minorHAnsi" w:hAnsiTheme="minorHAnsi" w:cstheme="minorHAnsi"/>
          <w:b/>
          <w:bCs/>
          <w:sz w:val="24"/>
          <w:szCs w:val="24"/>
        </w:rPr>
        <w:t>.</w:t>
      </w:r>
    </w:p>
    <w:p w14:paraId="32B13EE9" w14:textId="77777777" w:rsidR="00313DDC" w:rsidRPr="00313DDC" w:rsidRDefault="00313DDC" w:rsidP="00313DDC">
      <w:pPr>
        <w:jc w:val="both"/>
        <w:rPr>
          <w:rFonts w:asciiTheme="minorHAnsi" w:hAnsiTheme="minorHAnsi" w:cstheme="minorHAnsi"/>
          <w:b/>
          <w:bCs/>
          <w:color w:val="000000"/>
          <w:sz w:val="24"/>
          <w:szCs w:val="24"/>
        </w:rPr>
      </w:pPr>
      <w:r w:rsidRPr="00313DDC">
        <w:rPr>
          <w:rFonts w:asciiTheme="minorHAnsi" w:hAnsiTheme="minorHAnsi" w:cstheme="minorHAnsi"/>
          <w:b/>
          <w:bCs/>
          <w:color w:val="000000"/>
          <w:sz w:val="24"/>
          <w:szCs w:val="24"/>
        </w:rPr>
        <w:t>Le finalità del  Fondo sono:</w:t>
      </w:r>
    </w:p>
    <w:p w14:paraId="54C72CA9" w14:textId="350E52E2" w:rsidR="00313DDC" w:rsidRPr="00313DDC" w:rsidRDefault="00313DDC" w:rsidP="00313DDC">
      <w:pPr>
        <w:jc w:val="both"/>
        <w:rPr>
          <w:rFonts w:asciiTheme="minorHAnsi" w:hAnsiTheme="minorHAnsi" w:cstheme="minorHAnsi"/>
          <w:b/>
          <w:bCs/>
          <w:color w:val="000000"/>
          <w:sz w:val="24"/>
          <w:szCs w:val="24"/>
        </w:rPr>
      </w:pPr>
      <w:r w:rsidRPr="00313DDC">
        <w:rPr>
          <w:rFonts w:asciiTheme="minorHAnsi" w:hAnsiTheme="minorHAnsi" w:cstheme="minorHAnsi"/>
          <w:b/>
          <w:bCs/>
          <w:color w:val="000000"/>
          <w:sz w:val="24"/>
          <w:szCs w:val="24"/>
        </w:rPr>
        <w:t xml:space="preserve"> - istituire e finanziare l'Osservatorio nazionale sulla famiglia prevedendo la rappresentanza paritetica delle amministrazioni statali da un lato e delle regioni, delle province autonome di Trento e di Bolzano e degli enti locali dall'altro, nonch</w:t>
      </w:r>
      <w:r w:rsidR="00893C72">
        <w:rPr>
          <w:rFonts w:asciiTheme="minorHAnsi" w:hAnsiTheme="minorHAnsi" w:cstheme="minorHAnsi"/>
          <w:b/>
          <w:bCs/>
          <w:color w:val="000000"/>
          <w:sz w:val="24"/>
          <w:szCs w:val="24"/>
        </w:rPr>
        <w:t>é</w:t>
      </w:r>
      <w:r w:rsidRPr="00313DDC">
        <w:rPr>
          <w:rFonts w:asciiTheme="minorHAnsi" w:hAnsiTheme="minorHAnsi" w:cstheme="minorHAnsi"/>
          <w:b/>
          <w:bCs/>
          <w:color w:val="000000"/>
          <w:sz w:val="24"/>
          <w:szCs w:val="24"/>
        </w:rPr>
        <w:t xml:space="preserve"> la partecipazione dell'associazionismo e del terzo settore; per finanziare le iniziative di conciliazione del tempo di vita e di lavoro</w:t>
      </w:r>
      <w:r w:rsidR="00893C72">
        <w:rPr>
          <w:rFonts w:asciiTheme="minorHAnsi" w:hAnsiTheme="minorHAnsi" w:cstheme="minorHAnsi"/>
          <w:b/>
          <w:bCs/>
          <w:color w:val="000000"/>
          <w:sz w:val="24"/>
          <w:szCs w:val="24"/>
        </w:rPr>
        <w:t>;</w:t>
      </w:r>
      <w:r w:rsidRPr="00313DDC">
        <w:rPr>
          <w:rFonts w:asciiTheme="minorHAnsi" w:hAnsiTheme="minorHAnsi" w:cstheme="minorHAnsi"/>
          <w:b/>
          <w:bCs/>
          <w:color w:val="000000"/>
          <w:sz w:val="24"/>
          <w:szCs w:val="24"/>
        </w:rPr>
        <w:t xml:space="preserve"> </w:t>
      </w:r>
    </w:p>
    <w:p w14:paraId="78093C30" w14:textId="77777777" w:rsidR="00313DDC" w:rsidRPr="00313DDC" w:rsidRDefault="00313DDC" w:rsidP="00313DDC">
      <w:pPr>
        <w:jc w:val="both"/>
        <w:rPr>
          <w:rFonts w:asciiTheme="minorHAnsi" w:hAnsiTheme="minorHAnsi" w:cstheme="minorHAnsi"/>
          <w:b/>
          <w:bCs/>
          <w:color w:val="000000"/>
          <w:sz w:val="24"/>
          <w:szCs w:val="24"/>
        </w:rPr>
      </w:pPr>
      <w:r w:rsidRPr="00313DDC">
        <w:rPr>
          <w:rFonts w:asciiTheme="minorHAnsi" w:hAnsiTheme="minorHAnsi" w:cstheme="minorHAnsi"/>
          <w:b/>
          <w:bCs/>
          <w:color w:val="000000"/>
          <w:sz w:val="24"/>
          <w:szCs w:val="24"/>
        </w:rPr>
        <w:t>- sperimentare iniziative di abbattimento dei costi dei servizi per le famiglie con numero di figli pari o superiore a quattro;</w:t>
      </w:r>
    </w:p>
    <w:p w14:paraId="1556F3C1" w14:textId="1118CFE4" w:rsidR="00313DDC" w:rsidRPr="00313DDC" w:rsidRDefault="00313DDC" w:rsidP="00313DDC">
      <w:pPr>
        <w:jc w:val="both"/>
        <w:rPr>
          <w:rFonts w:asciiTheme="minorHAnsi" w:hAnsiTheme="minorHAnsi" w:cstheme="minorHAnsi"/>
          <w:b/>
          <w:bCs/>
          <w:color w:val="000000"/>
          <w:sz w:val="24"/>
          <w:szCs w:val="24"/>
        </w:rPr>
      </w:pPr>
      <w:r w:rsidRPr="00313DDC">
        <w:rPr>
          <w:rFonts w:asciiTheme="minorHAnsi" w:hAnsiTheme="minorHAnsi" w:cstheme="minorHAnsi"/>
          <w:b/>
          <w:bCs/>
          <w:color w:val="000000"/>
          <w:sz w:val="24"/>
          <w:szCs w:val="24"/>
        </w:rPr>
        <w:t>- sostenere l'attivit</w:t>
      </w:r>
      <w:r>
        <w:rPr>
          <w:rFonts w:asciiTheme="minorHAnsi" w:hAnsiTheme="minorHAnsi" w:cstheme="minorHAnsi"/>
          <w:b/>
          <w:bCs/>
          <w:color w:val="000000"/>
          <w:sz w:val="24"/>
          <w:szCs w:val="24"/>
        </w:rPr>
        <w:t>à</w:t>
      </w:r>
      <w:r w:rsidRPr="00313DDC">
        <w:rPr>
          <w:rFonts w:asciiTheme="minorHAnsi" w:hAnsiTheme="minorHAnsi" w:cstheme="minorHAnsi"/>
          <w:b/>
          <w:bCs/>
          <w:color w:val="000000"/>
          <w:sz w:val="24"/>
          <w:szCs w:val="24"/>
        </w:rPr>
        <w:t xml:space="preserve"> dell'Osservatorio per il contrasto della pedofilia e della pornografia minorile di cui all'articolo 17 della legge 3 agosto 1998, n. 269, e successive modificazioni, dell'Osservatorio nazionale per l'infanzia e del Centro nazionale di documentazione e di analisi per l'infanzia</w:t>
      </w:r>
      <w:r w:rsidR="00893C72">
        <w:rPr>
          <w:rFonts w:asciiTheme="minorHAnsi" w:hAnsiTheme="minorHAnsi" w:cstheme="minorHAnsi"/>
          <w:b/>
          <w:bCs/>
          <w:color w:val="000000"/>
          <w:sz w:val="24"/>
          <w:szCs w:val="24"/>
        </w:rPr>
        <w:t>;</w:t>
      </w:r>
      <w:r w:rsidRPr="00313DDC">
        <w:rPr>
          <w:rFonts w:asciiTheme="minorHAnsi" w:hAnsiTheme="minorHAnsi" w:cstheme="minorHAnsi"/>
          <w:b/>
          <w:bCs/>
          <w:color w:val="000000"/>
          <w:sz w:val="24"/>
          <w:szCs w:val="24"/>
        </w:rPr>
        <w:t xml:space="preserve"> </w:t>
      </w:r>
    </w:p>
    <w:p w14:paraId="43D1DF65" w14:textId="77777777" w:rsidR="00313DDC" w:rsidRPr="00313DDC" w:rsidRDefault="00313DDC" w:rsidP="00313DDC">
      <w:pPr>
        <w:jc w:val="both"/>
        <w:rPr>
          <w:rFonts w:asciiTheme="minorHAnsi" w:hAnsiTheme="minorHAnsi" w:cstheme="minorHAnsi"/>
          <w:b/>
          <w:bCs/>
          <w:color w:val="000000"/>
          <w:sz w:val="24"/>
          <w:szCs w:val="24"/>
        </w:rPr>
      </w:pPr>
      <w:r w:rsidRPr="00313DDC">
        <w:rPr>
          <w:rFonts w:asciiTheme="minorHAnsi" w:hAnsiTheme="minorHAnsi" w:cstheme="minorHAnsi"/>
          <w:b/>
          <w:bCs/>
          <w:color w:val="000000"/>
          <w:sz w:val="24"/>
          <w:szCs w:val="24"/>
        </w:rPr>
        <w:t>-  sviluppare iniziative atte a diffondere  e valorizzare le migliori iniziative in materia di politiche familiari adottate da enti locali e imprese; per sostenere le adozioni internazionali e garantire il pieno funzionamento della Commissione per le adozioni internazionali.</w:t>
      </w:r>
    </w:p>
    <w:p w14:paraId="65740CF1" w14:textId="77777777" w:rsidR="00313DDC" w:rsidRPr="00313DDC" w:rsidRDefault="00313DDC" w:rsidP="00313DDC">
      <w:pPr>
        <w:jc w:val="both"/>
        <w:rPr>
          <w:rFonts w:asciiTheme="minorHAnsi" w:hAnsiTheme="minorHAnsi" w:cstheme="minorHAnsi"/>
          <w:b/>
          <w:bCs/>
          <w:color w:val="000000"/>
          <w:sz w:val="24"/>
          <w:szCs w:val="24"/>
        </w:rPr>
      </w:pPr>
      <w:r w:rsidRPr="00313DDC">
        <w:rPr>
          <w:rFonts w:asciiTheme="minorHAnsi" w:hAnsiTheme="minorHAnsi" w:cstheme="minorHAnsi"/>
          <w:b/>
          <w:bCs/>
          <w:color w:val="000000"/>
          <w:sz w:val="24"/>
          <w:szCs w:val="24"/>
        </w:rPr>
        <w:t>In  relazione al potenziamento della dotazione finanziaria del fondo, lo stesso è stato impiegato per:</w:t>
      </w:r>
    </w:p>
    <w:p w14:paraId="434E89F9" w14:textId="77777777" w:rsidR="00450F74" w:rsidRDefault="00313DDC" w:rsidP="0065013F">
      <w:pPr>
        <w:spacing w:line="20" w:lineRule="atLeast"/>
        <w:jc w:val="both"/>
        <w:rPr>
          <w:rFonts w:asciiTheme="minorHAnsi" w:hAnsiTheme="minorHAnsi" w:cstheme="minorHAnsi"/>
          <w:b/>
          <w:bCs/>
          <w:color w:val="000000"/>
          <w:sz w:val="24"/>
          <w:szCs w:val="24"/>
        </w:rPr>
      </w:pPr>
      <w:r w:rsidRPr="00313DDC">
        <w:rPr>
          <w:rFonts w:asciiTheme="minorHAnsi" w:hAnsiTheme="minorHAnsi" w:cstheme="minorHAnsi"/>
          <w:b/>
          <w:bCs/>
          <w:i/>
          <w:iCs/>
          <w:color w:val="000000"/>
          <w:sz w:val="24"/>
          <w:szCs w:val="24"/>
        </w:rPr>
        <w:t>a)</w:t>
      </w:r>
      <w:r w:rsidRPr="00313DDC">
        <w:rPr>
          <w:rFonts w:asciiTheme="minorHAnsi" w:hAnsiTheme="minorHAnsi" w:cstheme="minorHAnsi"/>
          <w:b/>
          <w:bCs/>
          <w:color w:val="000000"/>
          <w:sz w:val="24"/>
          <w:szCs w:val="24"/>
        </w:rPr>
        <w:t xml:space="preserve"> finanziare l'elaborazione, realizzata d'intesa con le altre amministrazioni statali competenti e con la Conferenza unificata di un piano nazionale per la famiglia che costituisca il quadro conoscitivo, promozionale e orientativo degli interventi relativi all'attuazione dei diritti della famiglia, nonch</w:t>
      </w:r>
      <w:r>
        <w:rPr>
          <w:rFonts w:asciiTheme="minorHAnsi" w:hAnsiTheme="minorHAnsi" w:cstheme="minorHAnsi"/>
          <w:b/>
          <w:bCs/>
          <w:color w:val="000000"/>
          <w:sz w:val="24"/>
          <w:szCs w:val="24"/>
        </w:rPr>
        <w:t>é</w:t>
      </w:r>
      <w:r w:rsidRPr="00313DDC">
        <w:rPr>
          <w:rFonts w:asciiTheme="minorHAnsi" w:hAnsiTheme="minorHAnsi" w:cstheme="minorHAnsi"/>
          <w:b/>
          <w:bCs/>
          <w:color w:val="000000"/>
          <w:sz w:val="24"/>
          <w:szCs w:val="24"/>
        </w:rPr>
        <w:t xml:space="preserve"> acquisire proposte e indicazioni utili per il Piano e verificarne successivamente l'efficacia, attraverso la promozione e l'organizzazione con cadenza biennale di una Conferenza </w:t>
      </w:r>
    </w:p>
    <w:p w14:paraId="2D592739" w14:textId="434A4A1C" w:rsidR="00450F74" w:rsidRDefault="00313DDC" w:rsidP="00450F74">
      <w:pPr>
        <w:spacing w:line="20" w:lineRule="atLeast"/>
        <w:rPr>
          <w:rFonts w:asciiTheme="minorHAnsi" w:hAnsiTheme="minorHAnsi" w:cstheme="minorHAnsi"/>
          <w:b/>
          <w:bCs/>
          <w:color w:val="000000"/>
          <w:sz w:val="24"/>
          <w:szCs w:val="24"/>
        </w:rPr>
      </w:pPr>
      <w:r w:rsidRPr="00313DDC">
        <w:rPr>
          <w:rFonts w:asciiTheme="minorHAnsi" w:hAnsiTheme="minorHAnsi" w:cstheme="minorHAnsi"/>
          <w:b/>
          <w:bCs/>
          <w:color w:val="000000"/>
          <w:sz w:val="24"/>
          <w:szCs w:val="24"/>
        </w:rPr>
        <w:t>nazionale</w:t>
      </w:r>
      <w:r w:rsidR="00450F74">
        <w:rPr>
          <w:rFonts w:asciiTheme="minorHAnsi" w:hAnsiTheme="minorHAnsi" w:cstheme="minorHAnsi"/>
          <w:b/>
          <w:bCs/>
          <w:color w:val="000000"/>
          <w:sz w:val="24"/>
          <w:szCs w:val="24"/>
        </w:rPr>
        <w:t xml:space="preserve"> </w:t>
      </w:r>
      <w:r w:rsidRPr="00313DDC">
        <w:rPr>
          <w:rFonts w:asciiTheme="minorHAnsi" w:hAnsiTheme="minorHAnsi" w:cstheme="minorHAnsi"/>
          <w:b/>
          <w:bCs/>
          <w:color w:val="000000"/>
          <w:sz w:val="24"/>
          <w:szCs w:val="24"/>
        </w:rPr>
        <w:t xml:space="preserve"> sulla famiglia;</w:t>
      </w:r>
      <w:r w:rsidRPr="00313DDC">
        <w:rPr>
          <w:rFonts w:asciiTheme="minorHAnsi" w:hAnsiTheme="minorHAnsi" w:cstheme="minorHAnsi"/>
          <w:b/>
          <w:bCs/>
          <w:color w:val="000000"/>
          <w:sz w:val="24"/>
          <w:szCs w:val="24"/>
        </w:rPr>
        <w:br w:type="textWrapping" w:clear="all"/>
      </w:r>
      <w:r w:rsidRPr="00313DDC">
        <w:rPr>
          <w:rFonts w:asciiTheme="minorHAnsi" w:hAnsiTheme="minorHAnsi" w:cstheme="minorHAnsi"/>
          <w:b/>
          <w:bCs/>
          <w:i/>
          <w:iCs/>
          <w:color w:val="000000"/>
          <w:sz w:val="24"/>
          <w:szCs w:val="24"/>
        </w:rPr>
        <w:t>b)</w:t>
      </w:r>
      <w:r w:rsidRPr="00313DDC">
        <w:rPr>
          <w:rFonts w:asciiTheme="minorHAnsi" w:hAnsiTheme="minorHAnsi" w:cstheme="minorHAnsi"/>
          <w:b/>
          <w:bCs/>
          <w:color w:val="000000"/>
          <w:sz w:val="24"/>
          <w:szCs w:val="24"/>
        </w:rPr>
        <w:t xml:space="preserve"> realizzare, unitamente al Ministro della salute, una intesa in sede di Conferenza unificata, avente ad oggetto criteri e modalit</w:t>
      </w:r>
      <w:r w:rsidR="0065013F">
        <w:rPr>
          <w:rFonts w:asciiTheme="minorHAnsi" w:hAnsiTheme="minorHAnsi" w:cstheme="minorHAnsi"/>
          <w:b/>
          <w:bCs/>
          <w:color w:val="000000"/>
          <w:sz w:val="24"/>
          <w:szCs w:val="24"/>
        </w:rPr>
        <w:t>à</w:t>
      </w:r>
      <w:r w:rsidRPr="00313DDC">
        <w:rPr>
          <w:rFonts w:asciiTheme="minorHAnsi" w:hAnsiTheme="minorHAnsi" w:cstheme="minorHAnsi"/>
          <w:b/>
          <w:bCs/>
          <w:color w:val="000000"/>
          <w:sz w:val="24"/>
          <w:szCs w:val="24"/>
        </w:rPr>
        <w:t xml:space="preserve"> per la riorganizzazione dei consultori familiari, finalizzata a</w:t>
      </w:r>
    </w:p>
    <w:p w14:paraId="34CBAFA9" w14:textId="42D0C00B" w:rsidR="00450F74" w:rsidRDefault="00313DDC" w:rsidP="00450F74">
      <w:pPr>
        <w:spacing w:line="20" w:lineRule="atLeast"/>
        <w:rPr>
          <w:rFonts w:asciiTheme="minorHAnsi" w:hAnsiTheme="minorHAnsi" w:cstheme="minorHAnsi"/>
          <w:b/>
          <w:bCs/>
          <w:i/>
          <w:iCs/>
          <w:color w:val="000000"/>
          <w:sz w:val="24"/>
          <w:szCs w:val="24"/>
        </w:rPr>
      </w:pPr>
      <w:r w:rsidRPr="00313DDC">
        <w:rPr>
          <w:rFonts w:asciiTheme="minorHAnsi" w:hAnsiTheme="minorHAnsi" w:cstheme="minorHAnsi"/>
          <w:b/>
          <w:bCs/>
          <w:color w:val="000000"/>
          <w:sz w:val="24"/>
          <w:szCs w:val="24"/>
        </w:rPr>
        <w:t>potenziarne gli interventi sociali</w:t>
      </w:r>
      <w:r w:rsidR="0065013F">
        <w:rPr>
          <w:rFonts w:asciiTheme="minorHAnsi" w:hAnsiTheme="minorHAnsi" w:cstheme="minorHAnsi"/>
          <w:b/>
          <w:bCs/>
          <w:color w:val="000000"/>
          <w:sz w:val="24"/>
          <w:szCs w:val="24"/>
        </w:rPr>
        <w:t xml:space="preserve"> </w:t>
      </w:r>
      <w:r w:rsidRPr="00313DDC">
        <w:rPr>
          <w:rFonts w:asciiTheme="minorHAnsi" w:hAnsiTheme="minorHAnsi" w:cstheme="minorHAnsi"/>
          <w:b/>
          <w:bCs/>
          <w:color w:val="000000"/>
          <w:sz w:val="24"/>
          <w:szCs w:val="24"/>
        </w:rPr>
        <w:t xml:space="preserve"> in favore delle famiglie;</w:t>
      </w:r>
    </w:p>
    <w:p w14:paraId="0B43A116" w14:textId="562717DF" w:rsidR="00313DDC" w:rsidRPr="00313DDC" w:rsidRDefault="00313DDC" w:rsidP="0065013F">
      <w:pPr>
        <w:spacing w:line="20" w:lineRule="atLeast"/>
        <w:jc w:val="both"/>
        <w:rPr>
          <w:rFonts w:asciiTheme="minorHAnsi" w:hAnsiTheme="minorHAnsi" w:cstheme="minorHAnsi"/>
          <w:b/>
          <w:bCs/>
          <w:color w:val="000000"/>
          <w:sz w:val="24"/>
          <w:szCs w:val="24"/>
        </w:rPr>
      </w:pPr>
      <w:r w:rsidRPr="00313DDC">
        <w:rPr>
          <w:rFonts w:asciiTheme="minorHAnsi" w:hAnsiTheme="minorHAnsi" w:cstheme="minorHAnsi"/>
          <w:b/>
          <w:bCs/>
          <w:i/>
          <w:iCs/>
          <w:color w:val="000000"/>
          <w:sz w:val="24"/>
          <w:szCs w:val="24"/>
        </w:rPr>
        <w:t>c)</w:t>
      </w:r>
      <w:r w:rsidRPr="00313DDC">
        <w:rPr>
          <w:rFonts w:asciiTheme="minorHAnsi" w:hAnsiTheme="minorHAnsi" w:cstheme="minorHAnsi"/>
          <w:b/>
          <w:bCs/>
          <w:color w:val="000000"/>
          <w:sz w:val="24"/>
          <w:szCs w:val="24"/>
        </w:rPr>
        <w:t xml:space="preserve"> promuovere e attuare in sede di Conferenza unificata un accordo tra lo Stato, le regioni e le province autonome di Trento e di Bolzano per la qualificazione del lavoro delle assistenti familiari. </w:t>
      </w:r>
    </w:p>
    <w:p w14:paraId="3C878D8D" w14:textId="0ED99086" w:rsidR="00313DDC" w:rsidRPr="0091622C" w:rsidRDefault="00313DDC" w:rsidP="00313DDC">
      <w:pPr>
        <w:tabs>
          <w:tab w:val="left" w:pos="0"/>
          <w:tab w:val="right" w:pos="2908"/>
        </w:tabs>
        <w:jc w:val="both"/>
        <w:rPr>
          <w:rFonts w:asciiTheme="minorHAnsi" w:hAnsiTheme="minorHAnsi" w:cstheme="minorHAnsi"/>
          <w:b/>
          <w:bCs/>
          <w:sz w:val="24"/>
          <w:szCs w:val="24"/>
        </w:rPr>
      </w:pPr>
      <w:r w:rsidRPr="0091622C">
        <w:rPr>
          <w:rFonts w:asciiTheme="minorHAnsi" w:hAnsiTheme="minorHAnsi" w:cstheme="minorHAnsi"/>
          <w:b/>
          <w:bCs/>
          <w:sz w:val="24"/>
          <w:szCs w:val="24"/>
        </w:rPr>
        <w:t xml:space="preserve">Lo sviluppo successivo è stato definito con la legge finanziaria Legge  24 Dicembre 2007, n. 244 Disposizioni per la formazione del bilancio annuale e pluriennale dello Stato (legge finanziaria 2008). </w:t>
      </w:r>
    </w:p>
    <w:p w14:paraId="4F582E2A" w14:textId="3E5E2416" w:rsidR="00313DDC" w:rsidRPr="0091622C" w:rsidRDefault="00313DDC" w:rsidP="00313DDC">
      <w:pPr>
        <w:pStyle w:val="Default"/>
        <w:jc w:val="both"/>
        <w:rPr>
          <w:rFonts w:asciiTheme="minorHAnsi" w:hAnsiTheme="minorHAnsi" w:cstheme="minorHAnsi"/>
          <w:b/>
          <w:bCs/>
        </w:rPr>
      </w:pPr>
      <w:r w:rsidRPr="00313DDC">
        <w:rPr>
          <w:rFonts w:asciiTheme="minorHAnsi" w:hAnsiTheme="minorHAnsi" w:cstheme="minorHAnsi"/>
          <w:b/>
          <w:bCs/>
        </w:rPr>
        <w:t>In tale contesto, confermando la linea governativa di potenziare e sviluppare interventi e servizi rivolti alla famiglia, sono state dettate disposizioni per le famiglie numerose</w:t>
      </w:r>
      <w:r w:rsidR="00893C72">
        <w:rPr>
          <w:rFonts w:asciiTheme="minorHAnsi" w:hAnsiTheme="minorHAnsi" w:cstheme="minorHAnsi"/>
          <w:b/>
          <w:bCs/>
        </w:rPr>
        <w:t xml:space="preserve">, </w:t>
      </w:r>
      <w:r w:rsidR="0065013F" w:rsidRPr="0091622C">
        <w:rPr>
          <w:rFonts w:asciiTheme="minorHAnsi" w:hAnsiTheme="minorHAnsi" w:cstheme="minorHAnsi"/>
          <w:b/>
          <w:bCs/>
        </w:rPr>
        <w:t xml:space="preserve"> </w:t>
      </w:r>
      <w:r w:rsidRPr="0091622C">
        <w:rPr>
          <w:rFonts w:asciiTheme="minorHAnsi" w:hAnsiTheme="minorHAnsi" w:cstheme="minorHAnsi"/>
          <w:b/>
          <w:bCs/>
        </w:rPr>
        <w:t>la rideterminazione degli assegni familiari, nonché le detrazioni IRPEF sulle rette asili nido, e le detrazioni per carichi di famiglia.</w:t>
      </w:r>
    </w:p>
    <w:p w14:paraId="5528B170" w14:textId="77777777" w:rsid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Nel</w:t>
      </w:r>
      <w:r>
        <w:rPr>
          <w:rFonts w:asciiTheme="minorHAnsi" w:hAnsiTheme="minorHAnsi" w:cstheme="minorHAnsi"/>
          <w:b/>
          <w:bCs/>
        </w:rPr>
        <w:t xml:space="preserve">  2</w:t>
      </w:r>
      <w:r w:rsidRPr="0065013F">
        <w:rPr>
          <w:rFonts w:asciiTheme="minorHAnsi" w:hAnsiTheme="minorHAnsi" w:cstheme="minorHAnsi"/>
          <w:b/>
          <w:bCs/>
        </w:rPr>
        <w:t xml:space="preserve">008 </w:t>
      </w:r>
      <w:r>
        <w:rPr>
          <w:rFonts w:asciiTheme="minorHAnsi" w:hAnsiTheme="minorHAnsi" w:cstheme="minorHAnsi"/>
          <w:b/>
          <w:bCs/>
        </w:rPr>
        <w:t>l</w:t>
      </w:r>
      <w:r w:rsidRPr="0065013F">
        <w:rPr>
          <w:rFonts w:asciiTheme="minorHAnsi" w:hAnsiTheme="minorHAnsi" w:cstheme="minorHAnsi"/>
          <w:b/>
          <w:bCs/>
        </w:rPr>
        <w:t>e risorse afferenti al Fondo per le politiche della Famiglia</w:t>
      </w:r>
      <w:r>
        <w:rPr>
          <w:rFonts w:asciiTheme="minorHAnsi" w:hAnsiTheme="minorHAnsi" w:cstheme="minorHAnsi"/>
          <w:b/>
          <w:bCs/>
        </w:rPr>
        <w:t xml:space="preserve"> a</w:t>
      </w:r>
      <w:r w:rsidRPr="0065013F">
        <w:rPr>
          <w:rFonts w:asciiTheme="minorHAnsi" w:hAnsiTheme="minorHAnsi" w:cstheme="minorHAnsi"/>
          <w:b/>
          <w:bCs/>
        </w:rPr>
        <w:t>mm</w:t>
      </w:r>
      <w:r>
        <w:rPr>
          <w:rFonts w:asciiTheme="minorHAnsi" w:hAnsiTheme="minorHAnsi" w:cstheme="minorHAnsi"/>
          <w:b/>
          <w:bCs/>
        </w:rPr>
        <w:t>onta</w:t>
      </w:r>
      <w:r w:rsidRPr="0065013F">
        <w:rPr>
          <w:rFonts w:asciiTheme="minorHAnsi" w:hAnsiTheme="minorHAnsi" w:cstheme="minorHAnsi"/>
          <w:b/>
          <w:bCs/>
        </w:rPr>
        <w:t>n</w:t>
      </w:r>
      <w:r>
        <w:rPr>
          <w:rFonts w:asciiTheme="minorHAnsi" w:hAnsiTheme="minorHAnsi" w:cstheme="minorHAnsi"/>
          <w:b/>
          <w:bCs/>
        </w:rPr>
        <w:t>o</w:t>
      </w:r>
      <w:r w:rsidRPr="0065013F">
        <w:rPr>
          <w:rFonts w:asciiTheme="minorHAnsi" w:hAnsiTheme="minorHAnsi" w:cstheme="minorHAnsi"/>
          <w:b/>
          <w:bCs/>
        </w:rPr>
        <w:t xml:space="preserve"> nel complesso a € 173.131.188</w:t>
      </w:r>
      <w:r>
        <w:rPr>
          <w:rFonts w:asciiTheme="minorHAnsi" w:hAnsiTheme="minorHAnsi" w:cstheme="minorHAnsi"/>
          <w:b/>
          <w:bCs/>
        </w:rPr>
        <w:t>,</w:t>
      </w:r>
      <w:r w:rsidRPr="0065013F">
        <w:rPr>
          <w:rFonts w:asciiTheme="minorHAnsi" w:hAnsiTheme="minorHAnsi" w:cstheme="minorHAnsi"/>
          <w:b/>
          <w:bCs/>
        </w:rPr>
        <w:t xml:space="preserve"> rimodulate fra i seguenti settori di intervento: </w:t>
      </w:r>
    </w:p>
    <w:p w14:paraId="50C1E907" w14:textId="77777777" w:rsid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 xml:space="preserve">1. Interventi relativi a compiti ed attività di competenza statale: </w:t>
      </w:r>
    </w:p>
    <w:p w14:paraId="65F8D2A3" w14:textId="77777777" w:rsid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 xml:space="preserve">a) risorse destinate al finanziamento dell'Osservatorio nazionale sulla famiglia: € 2.500.000; </w:t>
      </w:r>
    </w:p>
    <w:p w14:paraId="72EF07B8" w14:textId="77777777" w:rsid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 xml:space="preserve">b) risorse destinate al sostegno dell'attività dell'Osservatorio nazionale per l'infanzia e del Centro nazionale di documentazione e di analisi per l'infanzia: € 1.500.000; </w:t>
      </w:r>
    </w:p>
    <w:p w14:paraId="6B8CDA17" w14:textId="77777777" w:rsid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lastRenderedPageBreak/>
        <w:t xml:space="preserve">c) risorse destinate al sostegno delle adozioni internazionali ed al pieno funzionamento della Commissione per le adozioni internazionali: € 25.000.000; </w:t>
      </w:r>
    </w:p>
    <w:p w14:paraId="724C5941" w14:textId="77777777" w:rsid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 xml:space="preserve">d) risorse destinate all'elaborazione, d'intesa con le altre amministrazioni statali competenti e con la Conferenza unificata di cui all'art. 8 del decreto legislativo 28 agosto 1997, n. 281, del Piano nazionale per la famiglia: € 3.000.000; </w:t>
      </w:r>
    </w:p>
    <w:p w14:paraId="50D0FF8A" w14:textId="77777777" w:rsid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 xml:space="preserve">e) risorse destinate allo sviluppo di iniziative che diffondano e valorizzino i migliori progetti in materia di politiche familiari adottate da soggetti pubblici e privati: € 3.000.000; </w:t>
      </w:r>
    </w:p>
    <w:p w14:paraId="07DBD58B" w14:textId="50A0EEDD" w:rsid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 xml:space="preserve">f) risorse destinate al finanziamento delle iniziative di conciliazione del tempo di vita e di lavora: € 14.131.188; </w:t>
      </w:r>
    </w:p>
    <w:p w14:paraId="51683F99" w14:textId="77777777" w:rsid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 xml:space="preserve">g) risorse destinate a finanziare iniziative di carattere informativo ed educativo volte alla prevenzione di ogni forma di abuso sessuale nei confronti dei minori promosse dall'Osservatorio per il contrasto della pedofilia e della pornografia minorile e al sostegno delle attività dello stesso: € 2.000.000. </w:t>
      </w:r>
    </w:p>
    <w:p w14:paraId="27FA4ECE" w14:textId="5A06E24D" w:rsid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Interventi definiti con l'intesa in sede di Conferenza Unificata del 27 giugno 2007</w:t>
      </w:r>
      <w:r w:rsidR="00BE2BE8">
        <w:rPr>
          <w:rFonts w:asciiTheme="minorHAnsi" w:hAnsiTheme="minorHAnsi" w:cstheme="minorHAnsi"/>
          <w:b/>
          <w:bCs/>
        </w:rPr>
        <w:t xml:space="preserve"> per </w:t>
      </w:r>
      <w:r w:rsidRPr="0065013F">
        <w:rPr>
          <w:rFonts w:asciiTheme="minorHAnsi" w:hAnsiTheme="minorHAnsi" w:cstheme="minorHAnsi"/>
          <w:b/>
          <w:bCs/>
        </w:rPr>
        <w:t xml:space="preserve"> le attività di monitoraggio e di assistenza tecnica per un ammontare complessivo di € 97.000.000, finalizzati a: </w:t>
      </w:r>
    </w:p>
    <w:p w14:paraId="11358651" w14:textId="77777777" w:rsidR="00BE2BE8"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 xml:space="preserve">h) proseguimento della riorganizzazione dei consultori familiari, finalizzati a potenziarne gli interventi sociali in favore delle famiglie, con erogazione alle Regioni e Province autonome degli importi con le modalità individuate nell'intesa stessa; </w:t>
      </w:r>
    </w:p>
    <w:p w14:paraId="357F5757" w14:textId="2BC0742C" w:rsidR="003E17F4"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i) proseguimento della qualificazione del lavoro delle assistenti familiari, con erogazione alle Regioni e Province autonome degli importi con le modalità individuate nell'intesa stessa;</w:t>
      </w:r>
    </w:p>
    <w:p w14:paraId="38342FAC" w14:textId="77777777" w:rsidR="003E17F4"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 xml:space="preserve"> j) proseguimento della sperimentazione di iniziative di abbattimento dei costi dei servizi per le famiglie con numero di figli pari o superiore a quattro, con erogazione alle Regioni e Province autonome degli importi con le modalità individuate nell'intesa stessa.</w:t>
      </w:r>
    </w:p>
    <w:p w14:paraId="4BC2ED3E" w14:textId="32AF68A8" w:rsidR="0065013F" w:rsidRPr="0065013F" w:rsidRDefault="0065013F" w:rsidP="0065013F">
      <w:pPr>
        <w:pStyle w:val="Default"/>
        <w:jc w:val="both"/>
        <w:rPr>
          <w:rFonts w:asciiTheme="minorHAnsi" w:hAnsiTheme="minorHAnsi" w:cstheme="minorHAnsi"/>
          <w:b/>
          <w:bCs/>
        </w:rPr>
      </w:pPr>
      <w:r w:rsidRPr="0065013F">
        <w:rPr>
          <w:rFonts w:asciiTheme="minorHAnsi" w:hAnsiTheme="minorHAnsi" w:cstheme="minorHAnsi"/>
          <w:b/>
          <w:bCs/>
        </w:rPr>
        <w:t xml:space="preserve"> Iniziative da realizzazione unitamente al Ministero della solidarietà sociale e della salute con una intesa in sede di Conferenza unificata </w:t>
      </w:r>
      <w:r w:rsidR="00BE2BE8">
        <w:rPr>
          <w:rFonts w:asciiTheme="minorHAnsi" w:hAnsiTheme="minorHAnsi" w:cstheme="minorHAnsi"/>
          <w:b/>
          <w:bCs/>
        </w:rPr>
        <w:t xml:space="preserve">per </w:t>
      </w:r>
      <w:r w:rsidRPr="0065013F">
        <w:rPr>
          <w:rFonts w:asciiTheme="minorHAnsi" w:hAnsiTheme="minorHAnsi" w:cstheme="minorHAnsi"/>
          <w:b/>
          <w:bCs/>
        </w:rPr>
        <w:t xml:space="preserve"> la definizione dei criteri e delle modalità sulla base dei quali le regioni, in concorso con gli enti locali, definiscono ed attuano un programma sperimentale di interventi al quale concorrono i sistemi regionali integrati dei servizi alla persona, per favorire la permanenza o il ritorno nella comunità familiare di persone parzialmente o totalmente non autosufficienti in alternativa al ricovero in strutture residenziali socio sanitarie per un ammontare complessivo di € 25.000.000. </w:t>
      </w:r>
    </w:p>
    <w:p w14:paraId="219A3243" w14:textId="543DEC1A" w:rsidR="002D0D84" w:rsidRPr="0091622C" w:rsidRDefault="003E17F4" w:rsidP="003E17F4">
      <w:pPr>
        <w:pStyle w:val="Default"/>
        <w:jc w:val="both"/>
        <w:rPr>
          <w:rFonts w:asciiTheme="minorHAnsi" w:hAnsiTheme="minorHAnsi" w:cstheme="minorHAnsi"/>
          <w:b/>
          <w:bCs/>
        </w:rPr>
      </w:pPr>
      <w:r w:rsidRPr="0091622C">
        <w:rPr>
          <w:rFonts w:asciiTheme="minorHAnsi" w:hAnsiTheme="minorHAnsi" w:cstheme="minorHAnsi"/>
          <w:b/>
          <w:bCs/>
        </w:rPr>
        <w:t xml:space="preserve">Nel 2009, </w:t>
      </w:r>
      <w:r w:rsidR="002D0D84" w:rsidRPr="0091622C">
        <w:rPr>
          <w:rFonts w:asciiTheme="minorHAnsi" w:hAnsiTheme="minorHAnsi" w:cstheme="minorHAnsi"/>
          <w:b/>
          <w:bCs/>
        </w:rPr>
        <w:t>In linea di continuità con i precedenti provvedimenti,  per ciò che concerne il Fondo per la famiglia, il Sottosegretario di Stato con delega alle politiche della famiglia con Decreto 3 febbraio 2009 – ha disposto la Ripartizione del Fondo per le politiche per la famiglia - anno 2009</w:t>
      </w:r>
      <w:r w:rsidR="00893C72">
        <w:rPr>
          <w:rFonts w:asciiTheme="minorHAnsi" w:hAnsiTheme="minorHAnsi" w:cstheme="minorHAnsi"/>
          <w:b/>
          <w:bCs/>
        </w:rPr>
        <w:t>,</w:t>
      </w:r>
      <w:r w:rsidR="002D0D84" w:rsidRPr="0091622C">
        <w:rPr>
          <w:rFonts w:asciiTheme="minorHAnsi" w:hAnsiTheme="minorHAnsi" w:cstheme="minorHAnsi"/>
          <w:b/>
          <w:bCs/>
        </w:rPr>
        <w:t xml:space="preserve"> pari a    € 186.571.000,00.</w:t>
      </w:r>
    </w:p>
    <w:p w14:paraId="596E0A45" w14:textId="2928E856" w:rsidR="002D0D84" w:rsidRPr="0091622C" w:rsidRDefault="002D0D84" w:rsidP="002D0D84">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t>Gli interventi sono così individuati</w:t>
      </w:r>
    </w:p>
    <w:p w14:paraId="6D8CEC87" w14:textId="77777777" w:rsidR="002D0D84" w:rsidRPr="0091622C" w:rsidRDefault="002D0D84" w:rsidP="002D0D84">
      <w:pPr>
        <w:pStyle w:val="Default"/>
        <w:jc w:val="both"/>
        <w:rPr>
          <w:rFonts w:asciiTheme="minorHAnsi" w:hAnsiTheme="minorHAnsi" w:cstheme="minorHAnsi"/>
          <w:b/>
          <w:bCs/>
        </w:rPr>
      </w:pPr>
      <w:r w:rsidRPr="0091622C">
        <w:rPr>
          <w:rFonts w:asciiTheme="minorHAnsi" w:hAnsiTheme="minorHAnsi" w:cstheme="minorHAnsi"/>
          <w:b/>
          <w:bCs/>
        </w:rPr>
        <w:t xml:space="preserve">  *   Interventi  relativi  a  compiti  ed  attività di competenza statale: </w:t>
      </w:r>
    </w:p>
    <w:p w14:paraId="525AF3B9" w14:textId="669796C8" w:rsidR="002D0D84" w:rsidRPr="0091622C" w:rsidRDefault="002D0D84" w:rsidP="002D0D84">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t xml:space="preserve">   a)  risorse destinate al finanziamento dell'Osservatorio nazionale sulla  famiglia  : € 2.500.000,00;</w:t>
      </w:r>
    </w:p>
    <w:p w14:paraId="1BDDBF7B" w14:textId="3ACF14B8" w:rsidR="002D0D84" w:rsidRPr="0091622C" w:rsidRDefault="002D0D84" w:rsidP="002D0D84">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t xml:space="preserve">   b)  risorse  destinate  all'elaborazione,  d'intesa  con  le altre amministrazioni  statali  competenti e con la Conferenza unificata del</w:t>
      </w:r>
      <w:r w:rsidR="00893C72">
        <w:rPr>
          <w:rFonts w:asciiTheme="minorHAnsi" w:hAnsiTheme="minorHAnsi" w:cstheme="minorHAnsi"/>
          <w:b/>
          <w:bCs/>
          <w:sz w:val="24"/>
          <w:szCs w:val="24"/>
        </w:rPr>
        <w:t xml:space="preserve"> </w:t>
      </w:r>
      <w:r w:rsidRPr="0091622C">
        <w:rPr>
          <w:rFonts w:asciiTheme="minorHAnsi" w:hAnsiTheme="minorHAnsi" w:cstheme="minorHAnsi"/>
          <w:b/>
          <w:bCs/>
          <w:sz w:val="24"/>
          <w:szCs w:val="24"/>
        </w:rPr>
        <w:t>Piano  nazionale  per la famiglia: € 3.000.000,00;</w:t>
      </w:r>
    </w:p>
    <w:p w14:paraId="58CCF98D" w14:textId="355A9E67" w:rsidR="002D0D84" w:rsidRPr="0091622C" w:rsidRDefault="002D0D84" w:rsidP="002D0D84">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t>c)  risorse dedicate alla realizzazione della Conferenza nazionale della  famiglia: € 3.000.000,00;</w:t>
      </w:r>
    </w:p>
    <w:p w14:paraId="4A8E8471" w14:textId="707B9ACD" w:rsidR="002D0D84" w:rsidRPr="0091622C" w:rsidRDefault="002D0D84" w:rsidP="002D0D84">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t xml:space="preserve">   d)  risorse destinate al sostegno dell'attività dell'Osservatorio nazionale  per  l'infanzia e del Centro nazionale di documentazione e di  analisi  per l'infanzia: € 1.500.000,00;</w:t>
      </w:r>
    </w:p>
    <w:p w14:paraId="1F26DBB3" w14:textId="308A9068" w:rsidR="002D0D84" w:rsidRPr="0091622C" w:rsidRDefault="002D0D84" w:rsidP="002D0D84">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t xml:space="preserve">   e)  risorse destinate al sostegno delle adozioni internazionali ed al   pieno   funzionamento   della   Commissione   per   le  adozioni internazionali : €</w:t>
      </w:r>
      <w:r w:rsidR="001812B9">
        <w:rPr>
          <w:rFonts w:asciiTheme="minorHAnsi" w:hAnsiTheme="minorHAnsi" w:cstheme="minorHAnsi"/>
          <w:b/>
          <w:bCs/>
          <w:sz w:val="24"/>
          <w:szCs w:val="24"/>
        </w:rPr>
        <w:t xml:space="preserve"> </w:t>
      </w:r>
      <w:r w:rsidRPr="0091622C">
        <w:rPr>
          <w:rFonts w:asciiTheme="minorHAnsi" w:hAnsiTheme="minorHAnsi" w:cstheme="minorHAnsi"/>
          <w:b/>
          <w:bCs/>
          <w:sz w:val="24"/>
          <w:szCs w:val="24"/>
        </w:rPr>
        <w:t>25.000.000,00;</w:t>
      </w:r>
    </w:p>
    <w:p w14:paraId="30C72311" w14:textId="4ED2AFBC" w:rsidR="002D0D84" w:rsidRPr="0091622C" w:rsidRDefault="002D0D84" w:rsidP="002D0D84">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t xml:space="preserve">   f)   risorse   destinate  al  finanziamento  delle  iniziative  di conciliazione del tempo di vita e del tempo di lavoro: € 15.000.000,00;</w:t>
      </w:r>
    </w:p>
    <w:p w14:paraId="250C8A5F" w14:textId="1116B2E5" w:rsidR="002D0D84" w:rsidRPr="0091622C" w:rsidRDefault="002D0D84" w:rsidP="002D0D84">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t xml:space="preserve">   g)  risorse destinate all'alimentazione del Fondo di credito per i nuovi  nati : €</w:t>
      </w:r>
      <w:r w:rsidR="0091622C">
        <w:rPr>
          <w:rFonts w:asciiTheme="minorHAnsi" w:hAnsiTheme="minorHAnsi" w:cstheme="minorHAnsi"/>
          <w:b/>
          <w:bCs/>
          <w:sz w:val="24"/>
          <w:szCs w:val="24"/>
        </w:rPr>
        <w:t xml:space="preserve"> </w:t>
      </w:r>
      <w:r w:rsidRPr="0091622C">
        <w:rPr>
          <w:rFonts w:asciiTheme="minorHAnsi" w:hAnsiTheme="minorHAnsi" w:cstheme="minorHAnsi"/>
          <w:b/>
          <w:bCs/>
          <w:sz w:val="24"/>
          <w:szCs w:val="24"/>
        </w:rPr>
        <w:t>25.000.000,00;</w:t>
      </w:r>
    </w:p>
    <w:p w14:paraId="6D2523D1" w14:textId="77777777" w:rsidR="002D0D84" w:rsidRPr="0091622C" w:rsidRDefault="002D0D84" w:rsidP="002D0D84">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lastRenderedPageBreak/>
        <w:t xml:space="preserve">   h)   risorse   destinate  a  promuovere  iniziative  di  interesse nazionale  o  a  carattere  sperimentale  in  materie  inerenti  alle politiche familiari: € 11.571.000,00.</w:t>
      </w:r>
    </w:p>
    <w:p w14:paraId="44DC09CD" w14:textId="77777777" w:rsidR="002D0D84" w:rsidRPr="0091622C" w:rsidRDefault="002D0D84" w:rsidP="002D0D84">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t xml:space="preserve"> *  Interventi  relativi  a  compiti  ed  attività di competenza regionale:</w:t>
      </w:r>
    </w:p>
    <w:p w14:paraId="2E6DCDCD" w14:textId="7B7A58BE" w:rsidR="002D0D84" w:rsidRDefault="002D0D84" w:rsidP="00893C72">
      <w:pPr>
        <w:pStyle w:val="PreformattatoHTML"/>
        <w:jc w:val="both"/>
        <w:rPr>
          <w:rFonts w:asciiTheme="minorHAnsi" w:hAnsiTheme="minorHAnsi" w:cstheme="minorHAnsi"/>
          <w:b/>
          <w:bCs/>
          <w:sz w:val="24"/>
          <w:szCs w:val="24"/>
        </w:rPr>
      </w:pPr>
      <w:r w:rsidRPr="0091622C">
        <w:rPr>
          <w:rFonts w:asciiTheme="minorHAnsi" w:hAnsiTheme="minorHAnsi" w:cstheme="minorHAnsi"/>
          <w:b/>
          <w:bCs/>
          <w:sz w:val="24"/>
          <w:szCs w:val="24"/>
        </w:rPr>
        <w:t xml:space="preserve">   a)  risorse  destinate all'attuazione di un piano straordinario di intervento  per  lo  sviluppo  del  sistema  territoriale dei servizi socio-educativi: € 100.000.000,00.</w:t>
      </w:r>
    </w:p>
    <w:p w14:paraId="138792FE" w14:textId="77777777" w:rsidR="0091622C"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2010</w:t>
      </w:r>
    </w:p>
    <w:p w14:paraId="5ED4BEF5" w14:textId="600FC9C5" w:rsidR="0091622C"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 xml:space="preserve">Le risorse afferenti al Fondo per e politiche della famiglia per l’anno 2010, ammontanti nel complesso ad euro 174.288.066.25, sono ripartite come di seguito specificato: </w:t>
      </w:r>
    </w:p>
    <w:p w14:paraId="23333C39" w14:textId="677AAA8D" w:rsidR="0091622C"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 xml:space="preserve">Interventi relativi a compiti ed attività di competenza statale: </w:t>
      </w:r>
    </w:p>
    <w:p w14:paraId="5687DC16" w14:textId="29A57C04" w:rsidR="0091622C" w:rsidRPr="001812B9" w:rsidRDefault="006B1D61" w:rsidP="0091622C">
      <w:pPr>
        <w:pStyle w:val="Default"/>
        <w:jc w:val="both"/>
        <w:rPr>
          <w:rFonts w:asciiTheme="minorHAnsi" w:hAnsiTheme="minorHAnsi" w:cstheme="minorHAnsi"/>
          <w:b/>
          <w:bCs/>
        </w:rPr>
      </w:pPr>
      <w:r>
        <w:rPr>
          <w:rFonts w:asciiTheme="minorHAnsi" w:hAnsiTheme="minorHAnsi" w:cstheme="minorHAnsi"/>
          <w:b/>
          <w:bCs/>
        </w:rPr>
        <w:t>-</w:t>
      </w:r>
      <w:r w:rsidR="0091622C" w:rsidRPr="001812B9">
        <w:rPr>
          <w:rFonts w:asciiTheme="minorHAnsi" w:hAnsiTheme="minorHAnsi" w:cstheme="minorHAnsi"/>
          <w:b/>
          <w:bCs/>
        </w:rPr>
        <w:t xml:space="preserve">) risorse destinate al finanziamento dell'Osservatorio nazionale sulla famiglia e alla realizzazione della Conferenza nazionale della famiglia: fino ad euro 4.000.000; </w:t>
      </w:r>
    </w:p>
    <w:p w14:paraId="38CADC9A" w14:textId="17AA56D2" w:rsidR="0091622C" w:rsidRPr="001812B9" w:rsidRDefault="006B1D61" w:rsidP="0091622C">
      <w:pPr>
        <w:pStyle w:val="Default"/>
        <w:jc w:val="both"/>
        <w:rPr>
          <w:rFonts w:asciiTheme="minorHAnsi" w:hAnsiTheme="minorHAnsi" w:cstheme="minorHAnsi"/>
          <w:b/>
          <w:bCs/>
        </w:rPr>
      </w:pPr>
      <w:r>
        <w:rPr>
          <w:rFonts w:asciiTheme="minorHAnsi" w:hAnsiTheme="minorHAnsi" w:cstheme="minorHAnsi"/>
          <w:b/>
          <w:bCs/>
        </w:rPr>
        <w:t>-</w:t>
      </w:r>
      <w:r w:rsidR="0091622C" w:rsidRPr="001812B9">
        <w:rPr>
          <w:rFonts w:asciiTheme="minorHAnsi" w:hAnsiTheme="minorHAnsi" w:cstheme="minorHAnsi"/>
          <w:b/>
          <w:bCs/>
        </w:rPr>
        <w:t xml:space="preserve"> risorse destinate al funzionamento e all’attività dell’Osservatorio nazionale per l’infanzia e del Centro nazionale di documentazione e di analisi per l'infanzia: fino ad euro 1.500.000; </w:t>
      </w:r>
    </w:p>
    <w:p w14:paraId="4B0A91D9" w14:textId="050D1C1D" w:rsidR="0091622C" w:rsidRPr="001812B9" w:rsidRDefault="006B1D61" w:rsidP="0091622C">
      <w:pPr>
        <w:pStyle w:val="Default"/>
        <w:jc w:val="both"/>
        <w:rPr>
          <w:rFonts w:asciiTheme="minorHAnsi" w:hAnsiTheme="minorHAnsi" w:cstheme="minorHAnsi"/>
          <w:b/>
          <w:bCs/>
        </w:rPr>
      </w:pPr>
      <w:r>
        <w:rPr>
          <w:rFonts w:asciiTheme="minorHAnsi" w:hAnsiTheme="minorHAnsi" w:cstheme="minorHAnsi"/>
          <w:b/>
          <w:bCs/>
        </w:rPr>
        <w:t>-</w:t>
      </w:r>
      <w:r w:rsidR="0091622C" w:rsidRPr="001812B9">
        <w:rPr>
          <w:rFonts w:asciiTheme="minorHAnsi" w:hAnsiTheme="minorHAnsi" w:cstheme="minorHAnsi"/>
          <w:b/>
          <w:bCs/>
        </w:rPr>
        <w:t xml:space="preserve"> risorse dedicate alla realizzazione di azioni previste dal Piano nazionale di azioni e di interventi per la tutela del diritti e lo sviluppo dei soggetti in età evolutiva: fino ad euro 5.000.000; </w:t>
      </w:r>
    </w:p>
    <w:p w14:paraId="1E6D1178" w14:textId="0AF86256" w:rsidR="0091622C" w:rsidRPr="001812B9" w:rsidRDefault="006B1D61" w:rsidP="0091622C">
      <w:pPr>
        <w:pStyle w:val="Default"/>
        <w:jc w:val="both"/>
        <w:rPr>
          <w:rFonts w:asciiTheme="minorHAnsi" w:hAnsiTheme="minorHAnsi" w:cstheme="minorHAnsi"/>
          <w:b/>
          <w:bCs/>
        </w:rPr>
      </w:pPr>
      <w:r>
        <w:rPr>
          <w:rFonts w:asciiTheme="minorHAnsi" w:hAnsiTheme="minorHAnsi" w:cstheme="minorHAnsi"/>
          <w:b/>
          <w:bCs/>
        </w:rPr>
        <w:t>-</w:t>
      </w:r>
      <w:r w:rsidR="0091622C" w:rsidRPr="001812B9">
        <w:rPr>
          <w:rFonts w:asciiTheme="minorHAnsi" w:hAnsiTheme="minorHAnsi" w:cstheme="minorHAnsi"/>
          <w:b/>
          <w:bCs/>
        </w:rPr>
        <w:t xml:space="preserve"> risorse destinate al sostegno delle adozioni internazionali ed al pieno funzionamento della Commissione per le adozioni internazionali: fino ad euro 24.000.000; </w:t>
      </w:r>
    </w:p>
    <w:p w14:paraId="1CE55EA0" w14:textId="13804D01" w:rsidR="0091622C" w:rsidRPr="001812B9" w:rsidRDefault="006B1D61" w:rsidP="0091622C">
      <w:pPr>
        <w:pStyle w:val="Default"/>
        <w:jc w:val="both"/>
        <w:rPr>
          <w:rFonts w:asciiTheme="minorHAnsi" w:hAnsiTheme="minorHAnsi" w:cstheme="minorHAnsi"/>
          <w:b/>
          <w:bCs/>
        </w:rPr>
      </w:pPr>
      <w:r>
        <w:rPr>
          <w:rFonts w:asciiTheme="minorHAnsi" w:hAnsiTheme="minorHAnsi" w:cstheme="minorHAnsi"/>
          <w:b/>
          <w:bCs/>
        </w:rPr>
        <w:t>-</w:t>
      </w:r>
      <w:r w:rsidR="0091622C" w:rsidRPr="001812B9">
        <w:rPr>
          <w:rFonts w:asciiTheme="minorHAnsi" w:hAnsiTheme="minorHAnsi" w:cstheme="minorHAnsi"/>
          <w:b/>
          <w:bCs/>
        </w:rPr>
        <w:t xml:space="preserve"> risorse destinate al finanziamento delle iniziative di conciliazione del tempo di vita e del tempo di lavoro: fino ad euro 14.000.000</w:t>
      </w:r>
      <w:r w:rsidR="00BE2BE8" w:rsidRPr="001812B9">
        <w:rPr>
          <w:rFonts w:asciiTheme="minorHAnsi" w:hAnsiTheme="minorHAnsi" w:cstheme="minorHAnsi"/>
          <w:b/>
          <w:bCs/>
        </w:rPr>
        <w:t>;</w:t>
      </w:r>
    </w:p>
    <w:p w14:paraId="7C3E6267" w14:textId="13C05ACD" w:rsidR="00BE2BE8" w:rsidRPr="001812B9" w:rsidRDefault="006B1D61" w:rsidP="0091622C">
      <w:pPr>
        <w:pStyle w:val="Default"/>
        <w:jc w:val="both"/>
        <w:rPr>
          <w:rFonts w:asciiTheme="minorHAnsi" w:hAnsiTheme="minorHAnsi" w:cstheme="minorHAnsi"/>
          <w:b/>
          <w:bCs/>
        </w:rPr>
      </w:pPr>
      <w:r>
        <w:rPr>
          <w:rFonts w:asciiTheme="minorHAnsi" w:hAnsiTheme="minorHAnsi" w:cstheme="minorHAnsi"/>
          <w:b/>
          <w:bCs/>
        </w:rPr>
        <w:t>-</w:t>
      </w:r>
      <w:r w:rsidR="0091622C" w:rsidRPr="001812B9">
        <w:rPr>
          <w:rFonts w:asciiTheme="minorHAnsi" w:hAnsiTheme="minorHAnsi" w:cstheme="minorHAnsi"/>
          <w:b/>
          <w:bCs/>
        </w:rPr>
        <w:t xml:space="preserve"> risorse destinate all’alimentazione del Fondo di credito per i nuovi nati; euro 25.000.000; </w:t>
      </w:r>
    </w:p>
    <w:p w14:paraId="3402F234" w14:textId="025AA2DD" w:rsidR="00BE2BE8" w:rsidRPr="001812B9" w:rsidRDefault="006B1D61" w:rsidP="0091622C">
      <w:pPr>
        <w:pStyle w:val="Default"/>
        <w:jc w:val="both"/>
        <w:rPr>
          <w:rFonts w:asciiTheme="minorHAnsi" w:hAnsiTheme="minorHAnsi" w:cstheme="minorHAnsi"/>
          <w:b/>
          <w:bCs/>
        </w:rPr>
      </w:pPr>
      <w:r>
        <w:rPr>
          <w:rFonts w:asciiTheme="minorHAnsi" w:hAnsiTheme="minorHAnsi" w:cstheme="minorHAnsi"/>
          <w:b/>
          <w:bCs/>
        </w:rPr>
        <w:t>--</w:t>
      </w:r>
      <w:r w:rsidR="0091622C" w:rsidRPr="001812B9">
        <w:rPr>
          <w:rFonts w:asciiTheme="minorHAnsi" w:hAnsiTheme="minorHAnsi" w:cstheme="minorHAnsi"/>
          <w:b/>
          <w:bCs/>
        </w:rPr>
        <w:t xml:space="preserve"> risorse destinate ad intese da stipulare con altre pubbliche amministrazioni e a promuovere iniziative di interesse nazionale o a carattere sperimentale in materie inerenti alle politiche familiari:: euro 100.000.000.</w:t>
      </w:r>
    </w:p>
    <w:p w14:paraId="61B95A0C" w14:textId="126ACB14" w:rsidR="0091622C"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 xml:space="preserve"> 2011</w:t>
      </w:r>
    </w:p>
    <w:p w14:paraId="07B94F6C" w14:textId="30CAE37A" w:rsidR="00BE2BE8"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 xml:space="preserve">La dotazione del Fondo per le politiche della famiglia per l'anno 2011, pari a euro 25.062.434; è </w:t>
      </w:r>
      <w:r w:rsidR="006B1D61">
        <w:rPr>
          <w:rFonts w:asciiTheme="minorHAnsi" w:hAnsiTheme="minorHAnsi" w:cstheme="minorHAnsi"/>
          <w:b/>
          <w:bCs/>
        </w:rPr>
        <w:t xml:space="preserve">stata  </w:t>
      </w:r>
      <w:r w:rsidRPr="001812B9">
        <w:rPr>
          <w:rFonts w:asciiTheme="minorHAnsi" w:hAnsiTheme="minorHAnsi" w:cstheme="minorHAnsi"/>
          <w:b/>
          <w:bCs/>
        </w:rPr>
        <w:t xml:space="preserve">destinata al perseguimento delle seguenti specifiche finalità: </w:t>
      </w:r>
    </w:p>
    <w:p w14:paraId="2BF7746F" w14:textId="47728303" w:rsidR="00BE2BE8"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a) alimentazione del Fondo di credito per i nuovi nati</w:t>
      </w:r>
      <w:r w:rsidR="00BE2BE8" w:rsidRPr="001812B9">
        <w:rPr>
          <w:rFonts w:asciiTheme="minorHAnsi" w:hAnsiTheme="minorHAnsi" w:cstheme="minorHAnsi"/>
          <w:b/>
          <w:bCs/>
        </w:rPr>
        <w:t>;</w:t>
      </w:r>
      <w:r w:rsidRPr="001812B9">
        <w:rPr>
          <w:rFonts w:asciiTheme="minorHAnsi" w:hAnsiTheme="minorHAnsi" w:cstheme="minorHAnsi"/>
          <w:b/>
          <w:bCs/>
        </w:rPr>
        <w:t xml:space="preserve"> </w:t>
      </w:r>
    </w:p>
    <w:p w14:paraId="066A4C89" w14:textId="77777777" w:rsidR="006B1D61"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 xml:space="preserve">b) funzionamento dell'Osservatorio nazionale della famiglia ed elaborazione, d'intesa con le altre amministrazioni statali competenti e con la Conferenza unificata, del Piano nazionale per la famiglia </w:t>
      </w:r>
    </w:p>
    <w:p w14:paraId="3359C84A" w14:textId="72857F1C" w:rsidR="00BE2BE8"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c) funzionamento e attività dell'Osservatorio nazionale per l'infanzia e del Centro nazionale di documentazione e di analisi per l'infanzia</w:t>
      </w:r>
      <w:r w:rsidR="00BE2BE8" w:rsidRPr="001812B9">
        <w:rPr>
          <w:rFonts w:asciiTheme="minorHAnsi" w:hAnsiTheme="minorHAnsi" w:cstheme="minorHAnsi"/>
          <w:b/>
          <w:bCs/>
        </w:rPr>
        <w:t>;</w:t>
      </w:r>
    </w:p>
    <w:p w14:paraId="1CA6EEB3" w14:textId="77777777" w:rsidR="00BE2BE8"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 xml:space="preserve">d) sostegno delle adozioni internazionali e funzionamento della Commissione per le adozioni internazionali </w:t>
      </w:r>
    </w:p>
    <w:p w14:paraId="2606E873" w14:textId="77777777" w:rsidR="00BE2BE8"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 xml:space="preserve">e) finanziamento delle iniziative di conciliazione del tempo di vita e del tempo di lavoro </w:t>
      </w:r>
    </w:p>
    <w:p w14:paraId="1EC067B6" w14:textId="0EEA6CBA" w:rsidR="0091622C"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 xml:space="preserve">f) promozione di iniziative di interesse nazionale o a carattere sperimentale in materie inerenti alle politiche familiari da realizzare anche attraverso la stipula di intese con altre pubbliche amministrazioni e tenendo conto della programmazione regionale di settore. </w:t>
      </w:r>
    </w:p>
    <w:p w14:paraId="0F7835BF" w14:textId="2469818E" w:rsidR="00AA5742" w:rsidRPr="001812B9" w:rsidRDefault="00AA5742" w:rsidP="0091622C">
      <w:pPr>
        <w:pStyle w:val="Default"/>
        <w:jc w:val="both"/>
        <w:rPr>
          <w:rFonts w:asciiTheme="minorHAnsi" w:hAnsiTheme="minorHAnsi" w:cstheme="minorHAnsi"/>
          <w:b/>
          <w:bCs/>
        </w:rPr>
      </w:pPr>
      <w:r w:rsidRPr="001812B9">
        <w:rPr>
          <w:rFonts w:asciiTheme="minorHAnsi" w:hAnsiTheme="minorHAnsi" w:cstheme="minorHAnsi"/>
          <w:b/>
          <w:bCs/>
        </w:rPr>
        <w:t>Per gli anni successivi,  il Fondo, pur articolato nelle finalità a quelle degli anni precedenti, è oggetto di ulteriori  definanziamenti</w:t>
      </w:r>
      <w:r w:rsidR="00841048" w:rsidRPr="001812B9">
        <w:rPr>
          <w:rFonts w:asciiTheme="minorHAnsi" w:hAnsiTheme="minorHAnsi" w:cstheme="minorHAnsi"/>
          <w:b/>
          <w:bCs/>
        </w:rPr>
        <w:t>, come i seguito specificato</w:t>
      </w:r>
      <w:r w:rsidRPr="001812B9">
        <w:rPr>
          <w:rFonts w:asciiTheme="minorHAnsi" w:hAnsiTheme="minorHAnsi" w:cstheme="minorHAnsi"/>
          <w:b/>
          <w:bCs/>
        </w:rPr>
        <w:t>:</w:t>
      </w:r>
    </w:p>
    <w:p w14:paraId="5657736D" w14:textId="76305FDF" w:rsidR="0091622C"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2012</w:t>
      </w:r>
      <w:r w:rsidR="00AA5742" w:rsidRPr="001812B9">
        <w:rPr>
          <w:rFonts w:asciiTheme="minorHAnsi" w:hAnsiTheme="minorHAnsi" w:cstheme="minorHAnsi"/>
          <w:b/>
          <w:bCs/>
        </w:rPr>
        <w:t>:</w:t>
      </w:r>
    </w:p>
    <w:p w14:paraId="73F41348" w14:textId="77777777" w:rsidR="0091622C"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Il Fondo subisce una ulteriore drastica riduzione, e determinato  in euro 10.849.041</w:t>
      </w:r>
    </w:p>
    <w:p w14:paraId="7594A691" w14:textId="38DAE60C" w:rsidR="0091622C" w:rsidRPr="001812B9" w:rsidRDefault="0091622C" w:rsidP="0091622C">
      <w:pPr>
        <w:pStyle w:val="Default"/>
        <w:jc w:val="both"/>
        <w:rPr>
          <w:rFonts w:asciiTheme="minorHAnsi" w:hAnsiTheme="minorHAnsi" w:cstheme="minorHAnsi"/>
          <w:b/>
          <w:bCs/>
        </w:rPr>
      </w:pPr>
      <w:r w:rsidRPr="001812B9">
        <w:rPr>
          <w:rFonts w:asciiTheme="minorHAnsi" w:hAnsiTheme="minorHAnsi" w:cstheme="minorHAnsi"/>
          <w:b/>
          <w:bCs/>
        </w:rPr>
        <w:t>2013</w:t>
      </w:r>
      <w:r w:rsidR="00AA5742" w:rsidRPr="001812B9">
        <w:rPr>
          <w:rFonts w:asciiTheme="minorHAnsi" w:hAnsiTheme="minorHAnsi" w:cstheme="minorHAnsi"/>
          <w:b/>
          <w:bCs/>
        </w:rPr>
        <w:t>:</w:t>
      </w:r>
    </w:p>
    <w:p w14:paraId="3245BB95" w14:textId="322C6700" w:rsidR="00AA5742" w:rsidRPr="001812B9" w:rsidRDefault="00AA5742" w:rsidP="0091622C">
      <w:pPr>
        <w:pStyle w:val="Default"/>
        <w:jc w:val="both"/>
        <w:rPr>
          <w:rFonts w:asciiTheme="minorHAnsi" w:hAnsiTheme="minorHAnsi" w:cstheme="minorHAnsi"/>
          <w:b/>
          <w:bCs/>
        </w:rPr>
      </w:pPr>
      <w:r w:rsidRPr="001812B9">
        <w:rPr>
          <w:rFonts w:asciiTheme="minorHAnsi" w:hAnsiTheme="minorHAnsi" w:cstheme="minorHAnsi"/>
          <w:b/>
          <w:bCs/>
        </w:rPr>
        <w:t>16.921.426 euro</w:t>
      </w:r>
    </w:p>
    <w:p w14:paraId="62C6FACA" w14:textId="5CAD37C9" w:rsidR="0091622C" w:rsidRPr="001812B9" w:rsidRDefault="00AA5742" w:rsidP="0091622C">
      <w:pPr>
        <w:pStyle w:val="Default"/>
        <w:jc w:val="both"/>
        <w:rPr>
          <w:rFonts w:asciiTheme="minorHAnsi" w:hAnsiTheme="minorHAnsi" w:cstheme="minorHAnsi"/>
          <w:b/>
          <w:bCs/>
        </w:rPr>
      </w:pPr>
      <w:r w:rsidRPr="001812B9">
        <w:rPr>
          <w:rFonts w:asciiTheme="minorHAnsi" w:hAnsiTheme="minorHAnsi" w:cstheme="minorHAnsi"/>
          <w:b/>
          <w:bCs/>
        </w:rPr>
        <w:t>2014</w:t>
      </w:r>
      <w:r w:rsidR="00841048" w:rsidRPr="001812B9">
        <w:rPr>
          <w:rFonts w:asciiTheme="minorHAnsi" w:hAnsiTheme="minorHAnsi" w:cstheme="minorHAnsi"/>
          <w:b/>
          <w:bCs/>
        </w:rPr>
        <w:t>:</w:t>
      </w:r>
    </w:p>
    <w:p w14:paraId="75ABDAB7" w14:textId="7E9BE6F8" w:rsidR="00AA5742" w:rsidRPr="001812B9" w:rsidRDefault="00AA5742" w:rsidP="0091622C">
      <w:pPr>
        <w:pStyle w:val="Default"/>
        <w:jc w:val="both"/>
        <w:rPr>
          <w:rFonts w:asciiTheme="minorHAnsi" w:hAnsiTheme="minorHAnsi" w:cstheme="minorHAnsi"/>
          <w:b/>
          <w:bCs/>
        </w:rPr>
      </w:pPr>
      <w:r w:rsidRPr="001812B9">
        <w:rPr>
          <w:rFonts w:asciiTheme="minorHAnsi" w:hAnsiTheme="minorHAnsi" w:cstheme="minorHAnsi"/>
          <w:b/>
          <w:bCs/>
        </w:rPr>
        <w:t>16.695.</w:t>
      </w:r>
      <w:r w:rsidR="00841048" w:rsidRPr="001812B9">
        <w:rPr>
          <w:rFonts w:asciiTheme="minorHAnsi" w:hAnsiTheme="minorHAnsi" w:cstheme="minorHAnsi"/>
          <w:b/>
          <w:bCs/>
        </w:rPr>
        <w:t>248 euro</w:t>
      </w:r>
    </w:p>
    <w:p w14:paraId="1F590C13" w14:textId="77777777" w:rsidR="00915AE1" w:rsidRDefault="00915AE1" w:rsidP="0091622C">
      <w:pPr>
        <w:pStyle w:val="Default"/>
        <w:jc w:val="both"/>
        <w:rPr>
          <w:rFonts w:asciiTheme="minorHAnsi" w:hAnsiTheme="minorHAnsi" w:cstheme="minorHAnsi"/>
          <w:b/>
          <w:bCs/>
        </w:rPr>
      </w:pPr>
    </w:p>
    <w:p w14:paraId="0D49E32C" w14:textId="77777777" w:rsidR="00915AE1" w:rsidRDefault="00915AE1" w:rsidP="0091622C">
      <w:pPr>
        <w:pStyle w:val="Default"/>
        <w:jc w:val="both"/>
        <w:rPr>
          <w:rFonts w:asciiTheme="minorHAnsi" w:hAnsiTheme="minorHAnsi" w:cstheme="minorHAnsi"/>
          <w:b/>
          <w:bCs/>
        </w:rPr>
      </w:pPr>
    </w:p>
    <w:p w14:paraId="3DF8B5C0" w14:textId="3630E83B" w:rsidR="00841048" w:rsidRPr="001812B9" w:rsidRDefault="00841048" w:rsidP="0091622C">
      <w:pPr>
        <w:pStyle w:val="Default"/>
        <w:jc w:val="both"/>
        <w:rPr>
          <w:rFonts w:asciiTheme="minorHAnsi" w:hAnsiTheme="minorHAnsi" w:cstheme="minorHAnsi"/>
          <w:b/>
          <w:bCs/>
        </w:rPr>
      </w:pPr>
      <w:r w:rsidRPr="001812B9">
        <w:rPr>
          <w:rFonts w:asciiTheme="minorHAnsi" w:hAnsiTheme="minorHAnsi" w:cstheme="minorHAnsi"/>
          <w:b/>
          <w:bCs/>
        </w:rPr>
        <w:lastRenderedPageBreak/>
        <w:t>2015:</w:t>
      </w:r>
    </w:p>
    <w:p w14:paraId="1EBCCB64" w14:textId="485FDDF2" w:rsidR="00841048" w:rsidRPr="001812B9" w:rsidRDefault="00841048" w:rsidP="0091622C">
      <w:pPr>
        <w:pStyle w:val="Default"/>
        <w:jc w:val="both"/>
        <w:rPr>
          <w:rFonts w:asciiTheme="minorHAnsi" w:hAnsiTheme="minorHAnsi" w:cstheme="minorHAnsi"/>
          <w:b/>
          <w:bCs/>
        </w:rPr>
      </w:pPr>
      <w:r w:rsidRPr="001812B9">
        <w:rPr>
          <w:rFonts w:asciiTheme="minorHAnsi" w:hAnsiTheme="minorHAnsi" w:cstheme="minorHAnsi"/>
          <w:b/>
          <w:bCs/>
        </w:rPr>
        <w:t>20.534.764 euro</w:t>
      </w:r>
      <w:r w:rsidR="00961D20">
        <w:rPr>
          <w:rFonts w:asciiTheme="minorHAnsi" w:hAnsiTheme="minorHAnsi" w:cstheme="minorHAnsi"/>
          <w:b/>
          <w:bCs/>
        </w:rPr>
        <w:t>; nel contesto del provvedimento, è indicata, fra l’altro, l’impegno  a sviluppare la nascita e lo sviluppo dei  Centri famiglia.</w:t>
      </w:r>
    </w:p>
    <w:p w14:paraId="12967C54" w14:textId="5062311D" w:rsidR="00841048" w:rsidRPr="001812B9" w:rsidRDefault="00841048" w:rsidP="0091622C">
      <w:pPr>
        <w:pStyle w:val="Default"/>
        <w:jc w:val="both"/>
        <w:rPr>
          <w:rFonts w:asciiTheme="minorHAnsi" w:hAnsiTheme="minorHAnsi" w:cstheme="minorHAnsi"/>
          <w:b/>
          <w:bCs/>
        </w:rPr>
      </w:pPr>
      <w:r w:rsidRPr="001812B9">
        <w:rPr>
          <w:rFonts w:asciiTheme="minorHAnsi" w:hAnsiTheme="minorHAnsi" w:cstheme="minorHAnsi"/>
          <w:b/>
          <w:bCs/>
        </w:rPr>
        <w:t>2016:</w:t>
      </w:r>
    </w:p>
    <w:p w14:paraId="6202F2C9" w14:textId="1D15EF30" w:rsidR="00841048" w:rsidRPr="001812B9" w:rsidRDefault="00841048" w:rsidP="0091622C">
      <w:pPr>
        <w:pStyle w:val="Default"/>
        <w:jc w:val="both"/>
        <w:rPr>
          <w:rFonts w:asciiTheme="minorHAnsi" w:hAnsiTheme="minorHAnsi" w:cstheme="minorHAnsi"/>
          <w:b/>
          <w:bCs/>
        </w:rPr>
      </w:pPr>
      <w:r w:rsidRPr="001812B9">
        <w:rPr>
          <w:rFonts w:asciiTheme="minorHAnsi" w:hAnsiTheme="minorHAnsi" w:cstheme="minorHAnsi"/>
          <w:b/>
          <w:bCs/>
        </w:rPr>
        <w:t>15.158.618 euro</w:t>
      </w:r>
    </w:p>
    <w:p w14:paraId="6D85C5EC" w14:textId="76AB527F" w:rsidR="00841048" w:rsidRPr="001812B9" w:rsidRDefault="00841048" w:rsidP="0091622C">
      <w:pPr>
        <w:pStyle w:val="Default"/>
        <w:jc w:val="both"/>
        <w:rPr>
          <w:rFonts w:asciiTheme="minorHAnsi" w:hAnsiTheme="minorHAnsi" w:cstheme="minorHAnsi"/>
          <w:b/>
          <w:bCs/>
        </w:rPr>
      </w:pPr>
      <w:r w:rsidRPr="001812B9">
        <w:rPr>
          <w:rFonts w:asciiTheme="minorHAnsi" w:hAnsiTheme="minorHAnsi" w:cstheme="minorHAnsi"/>
          <w:b/>
          <w:bCs/>
        </w:rPr>
        <w:t>2017:</w:t>
      </w:r>
    </w:p>
    <w:p w14:paraId="2588CCDF" w14:textId="1C198953" w:rsidR="00841048" w:rsidRPr="001812B9" w:rsidRDefault="00841048" w:rsidP="0091622C">
      <w:pPr>
        <w:pStyle w:val="Default"/>
        <w:jc w:val="both"/>
        <w:rPr>
          <w:rFonts w:asciiTheme="minorHAnsi" w:hAnsiTheme="minorHAnsi" w:cstheme="minorHAnsi"/>
          <w:b/>
          <w:bCs/>
        </w:rPr>
      </w:pPr>
      <w:r w:rsidRPr="001812B9">
        <w:rPr>
          <w:rFonts w:asciiTheme="minorHAnsi" w:hAnsiTheme="minorHAnsi" w:cstheme="minorHAnsi"/>
          <w:b/>
          <w:bCs/>
        </w:rPr>
        <w:t>2.780.032 euro</w:t>
      </w:r>
    </w:p>
    <w:p w14:paraId="1AB604CE" w14:textId="65D60C7D" w:rsidR="00841048" w:rsidRPr="001812B9" w:rsidRDefault="00841048" w:rsidP="0091622C">
      <w:pPr>
        <w:pStyle w:val="Default"/>
        <w:jc w:val="both"/>
        <w:rPr>
          <w:rFonts w:asciiTheme="minorHAnsi" w:hAnsiTheme="minorHAnsi" w:cstheme="minorHAnsi"/>
          <w:b/>
          <w:bCs/>
        </w:rPr>
      </w:pPr>
      <w:r w:rsidRPr="001812B9">
        <w:rPr>
          <w:rFonts w:asciiTheme="minorHAnsi" w:hAnsiTheme="minorHAnsi" w:cstheme="minorHAnsi"/>
          <w:b/>
          <w:bCs/>
        </w:rPr>
        <w:t xml:space="preserve">2018: Con l’istituzione del Ministero per la famiglia e le disabilità, nella fase di transizione,  vengono stanziati </w:t>
      </w:r>
      <w:r w:rsidR="00464105" w:rsidRPr="001812B9">
        <w:rPr>
          <w:rFonts w:asciiTheme="minorHAnsi" w:hAnsiTheme="minorHAnsi" w:cstheme="minorHAnsi"/>
          <w:b/>
          <w:bCs/>
        </w:rPr>
        <w:t>4.427.232 euro per finanziare interventi volti al potenziamento dei centri famiglia  e dei consultori familiari.</w:t>
      </w:r>
    </w:p>
    <w:p w14:paraId="5FA9FD89" w14:textId="4263CA58" w:rsidR="00464105" w:rsidRPr="001812B9" w:rsidRDefault="00464105" w:rsidP="0091622C">
      <w:pPr>
        <w:pStyle w:val="Default"/>
        <w:jc w:val="both"/>
        <w:rPr>
          <w:rFonts w:asciiTheme="minorHAnsi" w:hAnsiTheme="minorHAnsi" w:cstheme="minorHAnsi"/>
          <w:b/>
          <w:bCs/>
        </w:rPr>
      </w:pPr>
      <w:r w:rsidRPr="001812B9">
        <w:rPr>
          <w:rFonts w:asciiTheme="minorHAnsi" w:hAnsiTheme="minorHAnsi" w:cstheme="minorHAnsi"/>
          <w:b/>
          <w:bCs/>
        </w:rPr>
        <w:t>201</w:t>
      </w:r>
      <w:r w:rsidR="004B5E74" w:rsidRPr="001812B9">
        <w:rPr>
          <w:rFonts w:asciiTheme="minorHAnsi" w:hAnsiTheme="minorHAnsi" w:cstheme="minorHAnsi"/>
          <w:b/>
          <w:bCs/>
        </w:rPr>
        <w:t>9</w:t>
      </w:r>
      <w:r w:rsidRPr="001812B9">
        <w:rPr>
          <w:rFonts w:asciiTheme="minorHAnsi" w:hAnsiTheme="minorHAnsi" w:cstheme="minorHAnsi"/>
          <w:b/>
          <w:bCs/>
        </w:rPr>
        <w:t>:</w:t>
      </w:r>
    </w:p>
    <w:p w14:paraId="5BB299B7" w14:textId="4FFE8B23" w:rsidR="004B5E74" w:rsidRPr="001812B9" w:rsidRDefault="00464105" w:rsidP="0091622C">
      <w:pPr>
        <w:pStyle w:val="Default"/>
        <w:jc w:val="both"/>
        <w:rPr>
          <w:rFonts w:asciiTheme="minorHAnsi" w:hAnsiTheme="minorHAnsi" w:cstheme="minorHAnsi"/>
          <w:b/>
          <w:bCs/>
        </w:rPr>
      </w:pPr>
      <w:r w:rsidRPr="001812B9">
        <w:rPr>
          <w:rFonts w:asciiTheme="minorHAnsi" w:hAnsiTheme="minorHAnsi" w:cstheme="minorHAnsi"/>
          <w:b/>
          <w:bCs/>
        </w:rPr>
        <w:t xml:space="preserve">Secondo </w:t>
      </w:r>
      <w:r w:rsidR="004B5E74" w:rsidRPr="001812B9">
        <w:rPr>
          <w:rFonts w:asciiTheme="minorHAnsi" w:hAnsiTheme="minorHAnsi" w:cstheme="minorHAnsi"/>
          <w:b/>
          <w:bCs/>
        </w:rPr>
        <w:t>un impegno definito dal governo in carica per il potenziamento degli interventi  il fondo è stato finanziato con 94.000.000 euro, distinguendo fra  interventi a livello statale (79.000.000 euro) e a livello e competenza regionale (15.000.000 euro).</w:t>
      </w:r>
    </w:p>
    <w:p w14:paraId="08A4E8F0" w14:textId="3F50E8F8" w:rsidR="00464105" w:rsidRPr="001812B9" w:rsidRDefault="004B5E74" w:rsidP="0091622C">
      <w:pPr>
        <w:pStyle w:val="Default"/>
        <w:jc w:val="both"/>
        <w:rPr>
          <w:rFonts w:asciiTheme="minorHAnsi" w:hAnsiTheme="minorHAnsi" w:cstheme="minorHAnsi"/>
          <w:b/>
          <w:bCs/>
        </w:rPr>
      </w:pPr>
      <w:r w:rsidRPr="001812B9">
        <w:rPr>
          <w:rFonts w:asciiTheme="minorHAnsi" w:hAnsiTheme="minorHAnsi" w:cstheme="minorHAnsi"/>
          <w:b/>
          <w:bCs/>
        </w:rPr>
        <w:t xml:space="preserve">2020:  </w:t>
      </w:r>
    </w:p>
    <w:p w14:paraId="1E06390E" w14:textId="5E8BB863" w:rsidR="004B5E74" w:rsidRPr="001812B9" w:rsidRDefault="004B5E74" w:rsidP="0091622C">
      <w:pPr>
        <w:pStyle w:val="Default"/>
        <w:jc w:val="both"/>
        <w:rPr>
          <w:rFonts w:asciiTheme="minorHAnsi" w:hAnsiTheme="minorHAnsi" w:cstheme="minorHAnsi"/>
          <w:b/>
          <w:bCs/>
        </w:rPr>
      </w:pPr>
      <w:r w:rsidRPr="001812B9">
        <w:rPr>
          <w:rFonts w:asciiTheme="minorHAnsi" w:hAnsiTheme="minorHAnsi" w:cstheme="minorHAnsi"/>
          <w:b/>
          <w:bCs/>
        </w:rPr>
        <w:t xml:space="preserve">Viene istituito il Ministero per le pari opportunità e la famiglia, e in tale contesto il Fondo viene finanziato con </w:t>
      </w:r>
      <w:r w:rsidR="00A35165" w:rsidRPr="001812B9">
        <w:rPr>
          <w:rFonts w:asciiTheme="minorHAnsi" w:hAnsiTheme="minorHAnsi" w:cstheme="minorHAnsi"/>
          <w:b/>
          <w:bCs/>
        </w:rPr>
        <w:t>59.419.100 euro, distinguendo anche in questo caso fra  interventi a livello statale (47.419.100 euro) e a livello e competenza regionale (12.000.000 euro).</w:t>
      </w:r>
    </w:p>
    <w:p w14:paraId="312DA9E6" w14:textId="3D713B51" w:rsidR="00A35165" w:rsidRPr="001812B9" w:rsidRDefault="00A35165" w:rsidP="0091622C">
      <w:pPr>
        <w:pStyle w:val="Default"/>
        <w:jc w:val="both"/>
        <w:rPr>
          <w:rFonts w:asciiTheme="minorHAnsi" w:hAnsiTheme="minorHAnsi" w:cstheme="minorHAnsi"/>
          <w:b/>
          <w:bCs/>
        </w:rPr>
      </w:pPr>
      <w:r w:rsidRPr="001812B9">
        <w:rPr>
          <w:rFonts w:asciiTheme="minorHAnsi" w:hAnsiTheme="minorHAnsi" w:cstheme="minorHAnsi"/>
          <w:b/>
          <w:bCs/>
        </w:rPr>
        <w:t xml:space="preserve">2021: </w:t>
      </w:r>
    </w:p>
    <w:p w14:paraId="3BFD6B11" w14:textId="0DE74F42" w:rsidR="00A35165" w:rsidRDefault="00A35165" w:rsidP="0091622C">
      <w:pPr>
        <w:pStyle w:val="Default"/>
        <w:jc w:val="both"/>
        <w:rPr>
          <w:rFonts w:asciiTheme="minorHAnsi" w:hAnsiTheme="minorHAnsi" w:cstheme="minorHAnsi"/>
          <w:b/>
          <w:bCs/>
        </w:rPr>
      </w:pPr>
      <w:r w:rsidRPr="001812B9">
        <w:rPr>
          <w:rFonts w:asciiTheme="minorHAnsi" w:hAnsiTheme="minorHAnsi" w:cstheme="minorHAnsi"/>
          <w:b/>
          <w:bCs/>
        </w:rPr>
        <w:t>Il Fondo  è pari a 96.232.250 euro, distinguendo anche in questo caso fra  interventi a livello statale (70.981.805 euro) e a livello e competenza regionale (25.650.445 euro).</w:t>
      </w:r>
    </w:p>
    <w:p w14:paraId="7DD85AA2" w14:textId="1BB44A1F" w:rsidR="001812B9" w:rsidRDefault="001812B9" w:rsidP="0091622C">
      <w:pPr>
        <w:pStyle w:val="Default"/>
        <w:jc w:val="both"/>
        <w:rPr>
          <w:rFonts w:asciiTheme="minorHAnsi" w:hAnsiTheme="minorHAnsi" w:cstheme="minorHAnsi"/>
          <w:b/>
          <w:bCs/>
        </w:rPr>
      </w:pPr>
      <w:r>
        <w:rPr>
          <w:rFonts w:asciiTheme="minorHAnsi" w:hAnsiTheme="minorHAnsi" w:cstheme="minorHAnsi"/>
          <w:b/>
          <w:bCs/>
        </w:rPr>
        <w:t>OSSERVAZIONI</w:t>
      </w:r>
    </w:p>
    <w:p w14:paraId="12AADED8" w14:textId="540BA241" w:rsidR="001812B9" w:rsidRDefault="001812B9" w:rsidP="0091622C">
      <w:pPr>
        <w:pStyle w:val="Default"/>
        <w:jc w:val="both"/>
        <w:rPr>
          <w:rFonts w:asciiTheme="minorHAnsi" w:hAnsiTheme="minorHAnsi" w:cstheme="minorHAnsi"/>
          <w:b/>
          <w:bCs/>
        </w:rPr>
      </w:pPr>
      <w:r>
        <w:rPr>
          <w:rFonts w:asciiTheme="minorHAnsi" w:hAnsiTheme="minorHAnsi" w:cstheme="minorHAnsi"/>
          <w:b/>
          <w:bCs/>
        </w:rPr>
        <w:t xml:space="preserve">Pur partendo con un ragguardevole impegno finanziario nel 2007, il Fondo per la famiglia, come peraltro tutti gli altri Fondi istituiti nel 2006 (non autosufficienze, politiche giovanili, ecc.) nel corso degli anni ha subito variazioni di notevole entità, connesso alle scelte operate dai governi che si sono succeduti, e dalla diversa collocazione, e quindi  del “peso” politico dei dicasteri rispetto agli altri, che si è venuta a definire: dal Ministero per la famiglia </w:t>
      </w:r>
      <w:r w:rsidR="007B5B3E">
        <w:rPr>
          <w:rFonts w:asciiTheme="minorHAnsi" w:hAnsiTheme="minorHAnsi" w:cstheme="minorHAnsi"/>
          <w:b/>
          <w:bCs/>
        </w:rPr>
        <w:t xml:space="preserve">(2006-2008) </w:t>
      </w:r>
      <w:r>
        <w:rPr>
          <w:rFonts w:asciiTheme="minorHAnsi" w:hAnsiTheme="minorHAnsi" w:cstheme="minorHAnsi"/>
          <w:b/>
          <w:bCs/>
        </w:rPr>
        <w:t>si è passati al so</w:t>
      </w:r>
      <w:r w:rsidR="007B5B3E">
        <w:rPr>
          <w:rFonts w:asciiTheme="minorHAnsi" w:hAnsiTheme="minorHAnsi" w:cstheme="minorHAnsi"/>
          <w:b/>
          <w:bCs/>
        </w:rPr>
        <w:t>tt</w:t>
      </w:r>
      <w:r>
        <w:rPr>
          <w:rFonts w:asciiTheme="minorHAnsi" w:hAnsiTheme="minorHAnsi" w:cstheme="minorHAnsi"/>
          <w:b/>
          <w:bCs/>
        </w:rPr>
        <w:t xml:space="preserve">osegretariato </w:t>
      </w:r>
      <w:r w:rsidR="007B5B3E">
        <w:rPr>
          <w:rFonts w:asciiTheme="minorHAnsi" w:hAnsiTheme="minorHAnsi" w:cstheme="minorHAnsi"/>
          <w:b/>
          <w:bCs/>
        </w:rPr>
        <w:t>per  la famiglia (2008-2011), alla competenza diretta della Presidenza del Consiglio (2011-2017) al Ministero per la  famiglia e  per le disabilità, (2018-2020) al Ministero per le pari opportunità e per la famiglia</w:t>
      </w:r>
      <w:r w:rsidR="000B0539">
        <w:rPr>
          <w:rFonts w:asciiTheme="minorHAnsi" w:hAnsiTheme="minorHAnsi" w:cstheme="minorHAnsi"/>
          <w:b/>
          <w:bCs/>
        </w:rPr>
        <w:t xml:space="preserve"> (2020-2022)</w:t>
      </w:r>
      <w:r w:rsidR="007B5B3E">
        <w:rPr>
          <w:rFonts w:asciiTheme="minorHAnsi" w:hAnsiTheme="minorHAnsi" w:cstheme="minorHAnsi"/>
          <w:b/>
          <w:bCs/>
        </w:rPr>
        <w:t>.</w:t>
      </w:r>
    </w:p>
    <w:p w14:paraId="6E9A90E6" w14:textId="55867757" w:rsidR="006F5DB6" w:rsidRDefault="007B5B3E" w:rsidP="0091622C">
      <w:pPr>
        <w:pStyle w:val="Default"/>
        <w:jc w:val="both"/>
        <w:rPr>
          <w:rFonts w:asciiTheme="minorHAnsi" w:hAnsiTheme="minorHAnsi" w:cstheme="minorHAnsi"/>
          <w:b/>
          <w:bCs/>
        </w:rPr>
      </w:pPr>
      <w:r>
        <w:rPr>
          <w:rFonts w:asciiTheme="minorHAnsi" w:hAnsiTheme="minorHAnsi" w:cstheme="minorHAnsi"/>
          <w:b/>
          <w:bCs/>
        </w:rPr>
        <w:t xml:space="preserve">Fra il 2011 ed il 2017 il Fondo è stato oggetto di </w:t>
      </w:r>
      <w:r w:rsidR="006F5DB6">
        <w:rPr>
          <w:rFonts w:asciiTheme="minorHAnsi" w:hAnsiTheme="minorHAnsi" w:cstheme="minorHAnsi"/>
          <w:b/>
          <w:bCs/>
        </w:rPr>
        <w:t>finanziamenti fluttuanti e riferiti ad un susseguirsi di finalità ed impegni, che hanno messo in evidenza la difficoltà di una loro attuazione, a fronte di economie registrate.</w:t>
      </w:r>
    </w:p>
    <w:p w14:paraId="229D2D22" w14:textId="1B574529" w:rsidR="00961D20" w:rsidRDefault="00961D20" w:rsidP="0091622C">
      <w:pPr>
        <w:pStyle w:val="Default"/>
        <w:jc w:val="both"/>
        <w:rPr>
          <w:rFonts w:asciiTheme="minorHAnsi" w:hAnsiTheme="minorHAnsi" w:cstheme="minorHAnsi"/>
          <w:b/>
          <w:bCs/>
        </w:rPr>
      </w:pPr>
      <w:r>
        <w:rPr>
          <w:rFonts w:asciiTheme="minorHAnsi" w:hAnsiTheme="minorHAnsi" w:cstheme="minorHAnsi"/>
          <w:b/>
          <w:bCs/>
        </w:rPr>
        <w:t xml:space="preserve">Nel 2015 è stato introdotto il finanziamento per i Centri per le famiglie, e tale disposizione  è stata confermata anche negli anni successivi. </w:t>
      </w:r>
    </w:p>
    <w:p w14:paraId="2E31F3EE" w14:textId="77777777" w:rsidR="006F5DB6" w:rsidRDefault="006F5DB6" w:rsidP="0091622C">
      <w:pPr>
        <w:pStyle w:val="Default"/>
        <w:jc w:val="both"/>
        <w:rPr>
          <w:rFonts w:asciiTheme="minorHAnsi" w:hAnsiTheme="minorHAnsi" w:cstheme="minorHAnsi"/>
          <w:b/>
          <w:bCs/>
        </w:rPr>
      </w:pPr>
      <w:r>
        <w:rPr>
          <w:rFonts w:asciiTheme="minorHAnsi" w:hAnsiTheme="minorHAnsi" w:cstheme="minorHAnsi"/>
          <w:b/>
          <w:bCs/>
        </w:rPr>
        <w:t xml:space="preserve">Nel 2018 si è determinata una decisa azione volta a rilanciare i finanziamenti per lo svolgimento di specifiche politiche a sostegno della conciliazione tempo di vita e lavoro, della carta famiglia, e </w:t>
      </w:r>
    </w:p>
    <w:p w14:paraId="45D34838" w14:textId="3E7940D0" w:rsidR="00961D20" w:rsidRDefault="006F5DB6" w:rsidP="0091622C">
      <w:pPr>
        <w:pStyle w:val="Default"/>
        <w:jc w:val="both"/>
        <w:rPr>
          <w:rFonts w:asciiTheme="minorHAnsi" w:hAnsiTheme="minorHAnsi" w:cstheme="minorHAnsi"/>
          <w:b/>
          <w:bCs/>
        </w:rPr>
      </w:pPr>
      <w:r>
        <w:rPr>
          <w:rFonts w:asciiTheme="minorHAnsi" w:hAnsiTheme="minorHAnsi" w:cstheme="minorHAnsi"/>
          <w:b/>
          <w:bCs/>
        </w:rPr>
        <w:t xml:space="preserve">negli anni 2020-2021 </w:t>
      </w:r>
      <w:r w:rsidR="00961D20">
        <w:rPr>
          <w:rFonts w:asciiTheme="minorHAnsi" w:hAnsiTheme="minorHAnsi" w:cstheme="minorHAnsi"/>
          <w:b/>
          <w:bCs/>
        </w:rPr>
        <w:t xml:space="preserve">disposta </w:t>
      </w:r>
      <w:r>
        <w:rPr>
          <w:rFonts w:asciiTheme="minorHAnsi" w:hAnsiTheme="minorHAnsi" w:cstheme="minorHAnsi"/>
          <w:b/>
          <w:bCs/>
        </w:rPr>
        <w:t xml:space="preserve">una ripartizione fra interventi dello Stato e delle Regioni, </w:t>
      </w:r>
      <w:r w:rsidR="00961D20">
        <w:rPr>
          <w:rFonts w:asciiTheme="minorHAnsi" w:hAnsiTheme="minorHAnsi" w:cstheme="minorHAnsi"/>
          <w:b/>
          <w:bCs/>
        </w:rPr>
        <w:t xml:space="preserve">prevedendo l’impegno delle Regioni a co-finanziare </w:t>
      </w:r>
      <w:r w:rsidR="00BD59D0">
        <w:rPr>
          <w:rFonts w:asciiTheme="minorHAnsi" w:hAnsiTheme="minorHAnsi" w:cstheme="minorHAnsi"/>
          <w:b/>
          <w:bCs/>
        </w:rPr>
        <w:t>il fondo con il 20%</w:t>
      </w:r>
      <w:r w:rsidR="000B0539">
        <w:rPr>
          <w:rFonts w:asciiTheme="minorHAnsi" w:hAnsiTheme="minorHAnsi" w:cstheme="minorHAnsi"/>
          <w:b/>
          <w:bCs/>
        </w:rPr>
        <w:t>.</w:t>
      </w:r>
    </w:p>
    <w:p w14:paraId="476990C5" w14:textId="624CE37D" w:rsidR="000B0539" w:rsidRPr="001812B9" w:rsidRDefault="000B0539" w:rsidP="000B0539">
      <w:pPr>
        <w:pStyle w:val="Default"/>
        <w:jc w:val="both"/>
        <w:rPr>
          <w:rFonts w:asciiTheme="minorHAnsi" w:hAnsiTheme="minorHAnsi" w:cstheme="minorHAnsi"/>
          <w:b/>
          <w:bCs/>
        </w:rPr>
      </w:pPr>
      <w:r>
        <w:rPr>
          <w:rFonts w:asciiTheme="minorHAnsi" w:hAnsiTheme="minorHAnsi" w:cstheme="minorHAnsi"/>
          <w:b/>
          <w:bCs/>
        </w:rPr>
        <w:t xml:space="preserve">Il rilancio del finanziamento per il fondo, che è passato  nello spazio di due anni da </w:t>
      </w:r>
      <w:r w:rsidRPr="001812B9">
        <w:rPr>
          <w:rFonts w:asciiTheme="minorHAnsi" w:hAnsiTheme="minorHAnsi" w:cstheme="minorHAnsi"/>
          <w:b/>
          <w:bCs/>
        </w:rPr>
        <w:t>2.780.032 euro</w:t>
      </w:r>
    </w:p>
    <w:p w14:paraId="1E878606" w14:textId="33050786" w:rsidR="006B1D61" w:rsidRPr="001812B9" w:rsidRDefault="000B0539" w:rsidP="0091622C">
      <w:pPr>
        <w:pStyle w:val="Default"/>
        <w:jc w:val="both"/>
        <w:rPr>
          <w:rFonts w:asciiTheme="minorHAnsi" w:hAnsiTheme="minorHAnsi" w:cstheme="minorHAnsi"/>
          <w:b/>
          <w:bCs/>
        </w:rPr>
      </w:pPr>
      <w:r>
        <w:rPr>
          <w:rFonts w:asciiTheme="minorHAnsi" w:hAnsiTheme="minorHAnsi" w:cstheme="minorHAnsi"/>
          <w:b/>
          <w:bCs/>
        </w:rPr>
        <w:t xml:space="preserve">del 2017 ai 94.000.000 euro nel 2019,  agli attuali </w:t>
      </w:r>
      <w:r w:rsidRPr="001812B9">
        <w:rPr>
          <w:rFonts w:asciiTheme="minorHAnsi" w:hAnsiTheme="minorHAnsi" w:cstheme="minorHAnsi"/>
          <w:b/>
          <w:bCs/>
        </w:rPr>
        <w:t xml:space="preserve"> 96.232.250 euro</w:t>
      </w:r>
      <w:r>
        <w:rPr>
          <w:rFonts w:asciiTheme="minorHAnsi" w:hAnsiTheme="minorHAnsi" w:cstheme="minorHAnsi"/>
          <w:b/>
          <w:bCs/>
        </w:rPr>
        <w:t xml:space="preserve"> nel 2021, dimostra un deciso cambiamento di rotta, che lascia prefigurare, rispetto al passato, un finanziamento “a regime”, </w:t>
      </w:r>
      <w:r w:rsidR="00816933">
        <w:rPr>
          <w:rFonts w:asciiTheme="minorHAnsi" w:hAnsiTheme="minorHAnsi" w:cstheme="minorHAnsi"/>
          <w:b/>
          <w:bCs/>
        </w:rPr>
        <w:t xml:space="preserve">che, come il Fondo per le non autosufficienze, chiama le Regioni a svolgere le loro proprie funzioni quanto a legislazione, programmazione, atti di indirizzo e di coordinamento, in base a finanziamenti certi e costanti nel tempo. </w:t>
      </w:r>
    </w:p>
    <w:p w14:paraId="27293B67" w14:textId="77777777" w:rsidR="00C07921" w:rsidRDefault="00C07921" w:rsidP="00C07921">
      <w:r>
        <w:rPr>
          <w:noProof/>
        </w:rPr>
        <w:lastRenderedPageBreak/>
        <w:drawing>
          <wp:inline distT="0" distB="0" distL="0" distR="0" wp14:anchorId="73D8AF30" wp14:editId="559F7339">
            <wp:extent cx="5486400" cy="3200400"/>
            <wp:effectExtent l="0" t="0" r="0" b="0"/>
            <wp:docPr id="14" name="Gra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0FB639C" w14:textId="77777777" w:rsidR="00C07921" w:rsidRPr="009211CC" w:rsidRDefault="00C07921" w:rsidP="005D15AA">
      <w:pPr>
        <w:pStyle w:val="Default"/>
        <w:jc w:val="both"/>
        <w:rPr>
          <w:rFonts w:asciiTheme="minorHAnsi" w:hAnsiTheme="minorHAnsi" w:cstheme="minorHAnsi"/>
        </w:rPr>
      </w:pPr>
    </w:p>
    <w:p w14:paraId="55AAF171" w14:textId="77777777" w:rsidR="005D15AA" w:rsidRPr="009211CC" w:rsidRDefault="005D15AA" w:rsidP="005D15AA">
      <w:pPr>
        <w:pStyle w:val="Default"/>
        <w:jc w:val="both"/>
        <w:rPr>
          <w:rFonts w:asciiTheme="minorHAnsi" w:hAnsiTheme="minorHAnsi" w:cstheme="minorHAnsi"/>
          <w:b/>
        </w:rPr>
      </w:pPr>
    </w:p>
    <w:p w14:paraId="19FD4D33" w14:textId="24B7215C" w:rsidR="005D15AA" w:rsidRPr="009211CC" w:rsidRDefault="005D15AA" w:rsidP="005D15AA">
      <w:pPr>
        <w:pStyle w:val="Default"/>
        <w:jc w:val="both"/>
        <w:rPr>
          <w:rFonts w:asciiTheme="minorHAnsi" w:hAnsiTheme="minorHAnsi" w:cstheme="minorHAnsi"/>
          <w:b/>
          <w:u w:val="single"/>
        </w:rPr>
      </w:pPr>
      <w:r w:rsidRPr="009211CC">
        <w:rPr>
          <w:rFonts w:asciiTheme="minorHAnsi" w:hAnsiTheme="minorHAnsi" w:cstheme="minorHAnsi"/>
          <w:b/>
          <w:u w:val="single"/>
        </w:rPr>
        <w:t>LA FASE  2008-20</w:t>
      </w:r>
      <w:r w:rsidR="00003438">
        <w:rPr>
          <w:rFonts w:asciiTheme="minorHAnsi" w:hAnsiTheme="minorHAnsi" w:cstheme="minorHAnsi"/>
          <w:b/>
          <w:u w:val="single"/>
        </w:rPr>
        <w:t>18</w:t>
      </w:r>
    </w:p>
    <w:p w14:paraId="25876C81" w14:textId="77777777" w:rsidR="005D15AA" w:rsidRPr="00003438" w:rsidRDefault="005D15AA" w:rsidP="005D15AA">
      <w:pPr>
        <w:pStyle w:val="Default"/>
        <w:jc w:val="both"/>
        <w:rPr>
          <w:rFonts w:asciiTheme="minorHAnsi" w:hAnsiTheme="minorHAnsi" w:cstheme="minorHAnsi"/>
          <w:b/>
          <w:bCs/>
        </w:rPr>
      </w:pPr>
      <w:r w:rsidRPr="00003438">
        <w:rPr>
          <w:rFonts w:asciiTheme="minorHAnsi" w:hAnsiTheme="minorHAnsi" w:cstheme="minorHAnsi"/>
          <w:b/>
          <w:bCs/>
        </w:rPr>
        <w:t>Con il decreto legge n. 85/08, convertito in legge n. 121/08 è stata profondamente modificata la precedente organizzazione del Governo.</w:t>
      </w:r>
    </w:p>
    <w:p w14:paraId="575A5592" w14:textId="5575216E" w:rsidR="005D15AA" w:rsidRPr="00003438" w:rsidRDefault="005D15AA" w:rsidP="005D15AA">
      <w:pPr>
        <w:pStyle w:val="Default"/>
        <w:jc w:val="both"/>
        <w:rPr>
          <w:rFonts w:asciiTheme="minorHAnsi" w:hAnsiTheme="minorHAnsi" w:cstheme="minorHAnsi"/>
          <w:b/>
          <w:bCs/>
        </w:rPr>
      </w:pPr>
      <w:r w:rsidRPr="00003438">
        <w:rPr>
          <w:rFonts w:asciiTheme="minorHAnsi" w:hAnsiTheme="minorHAnsi" w:cstheme="minorHAnsi"/>
          <w:b/>
          <w:bCs/>
        </w:rPr>
        <w:t>E’ stato istituito il Ministero del lavoro, della salute e delle politiche sociali</w:t>
      </w:r>
      <w:r w:rsidR="00003438" w:rsidRPr="00003438">
        <w:rPr>
          <w:rFonts w:asciiTheme="minorHAnsi" w:hAnsiTheme="minorHAnsi" w:cstheme="minorHAnsi"/>
          <w:b/>
          <w:bCs/>
        </w:rPr>
        <w:t xml:space="preserve"> con il </w:t>
      </w:r>
      <w:r w:rsidRPr="00003438">
        <w:rPr>
          <w:rFonts w:asciiTheme="minorHAnsi" w:hAnsiTheme="minorHAnsi" w:cstheme="minorHAnsi"/>
          <w:b/>
          <w:bCs/>
        </w:rPr>
        <w:t xml:space="preserve"> trasferi</w:t>
      </w:r>
      <w:r w:rsidR="00003438" w:rsidRPr="00003438">
        <w:rPr>
          <w:rFonts w:asciiTheme="minorHAnsi" w:hAnsiTheme="minorHAnsi" w:cstheme="minorHAnsi"/>
          <w:b/>
          <w:bCs/>
        </w:rPr>
        <w:t xml:space="preserve">mento, </w:t>
      </w:r>
      <w:r w:rsidRPr="00003438">
        <w:rPr>
          <w:rFonts w:asciiTheme="minorHAnsi" w:hAnsiTheme="minorHAnsi" w:cstheme="minorHAnsi"/>
          <w:b/>
          <w:bCs/>
        </w:rPr>
        <w:t xml:space="preserve"> fra  l’altro,  le funzioni già attribuite al Ministero della solidarietà sociale.</w:t>
      </w:r>
    </w:p>
    <w:p w14:paraId="3F91B188" w14:textId="200B06E6" w:rsidR="005D15AA" w:rsidRPr="00003438" w:rsidRDefault="005D15AA" w:rsidP="005D15AA">
      <w:pPr>
        <w:pStyle w:val="Default"/>
        <w:jc w:val="both"/>
        <w:rPr>
          <w:rFonts w:asciiTheme="minorHAnsi" w:hAnsiTheme="minorHAnsi" w:cstheme="minorHAnsi"/>
          <w:b/>
          <w:bCs/>
        </w:rPr>
      </w:pPr>
      <w:r w:rsidRPr="00003438">
        <w:rPr>
          <w:rFonts w:asciiTheme="minorHAnsi" w:hAnsiTheme="minorHAnsi" w:cstheme="minorHAnsi"/>
          <w:b/>
          <w:bCs/>
        </w:rPr>
        <w:t xml:space="preserve">Il Ministero delle politiche della famiglia è stato sostituito dal Sottosegretariato di Stato con delega alle politiche della famiglia, </w:t>
      </w:r>
      <w:r w:rsidR="00003438" w:rsidRPr="00003438">
        <w:rPr>
          <w:rFonts w:asciiTheme="minorHAnsi" w:hAnsiTheme="minorHAnsi" w:cstheme="minorHAnsi"/>
          <w:b/>
          <w:bCs/>
        </w:rPr>
        <w:t xml:space="preserve">con </w:t>
      </w:r>
      <w:r w:rsidRPr="00003438">
        <w:rPr>
          <w:rFonts w:asciiTheme="minorHAnsi" w:hAnsiTheme="minorHAnsi" w:cstheme="minorHAnsi"/>
          <w:b/>
          <w:bCs/>
        </w:rPr>
        <w:t xml:space="preserve"> le competenze specifiche intorno agli interventi rivolti alle famiglie.</w:t>
      </w:r>
    </w:p>
    <w:p w14:paraId="53549309" w14:textId="77777777" w:rsidR="005D15AA" w:rsidRPr="00003438" w:rsidRDefault="005D15AA" w:rsidP="005D15AA">
      <w:pPr>
        <w:jc w:val="both"/>
        <w:rPr>
          <w:rFonts w:asciiTheme="minorHAnsi" w:hAnsiTheme="minorHAnsi" w:cstheme="minorHAnsi"/>
          <w:b/>
          <w:bCs/>
          <w:sz w:val="24"/>
          <w:szCs w:val="24"/>
        </w:rPr>
      </w:pPr>
      <w:r w:rsidRPr="00003438">
        <w:rPr>
          <w:rFonts w:asciiTheme="minorHAnsi" w:hAnsiTheme="minorHAnsi" w:cstheme="minorHAnsi"/>
          <w:b/>
          <w:bCs/>
          <w:sz w:val="24"/>
          <w:szCs w:val="24"/>
        </w:rPr>
        <w:t>Le competenze più importanti sono:</w:t>
      </w:r>
    </w:p>
    <w:p w14:paraId="6E9997EF" w14:textId="77777777" w:rsidR="005D15AA" w:rsidRPr="00003438" w:rsidRDefault="005D15AA" w:rsidP="005D15AA">
      <w:pPr>
        <w:jc w:val="both"/>
        <w:rPr>
          <w:rFonts w:asciiTheme="minorHAnsi" w:hAnsiTheme="minorHAnsi" w:cstheme="minorHAnsi"/>
          <w:b/>
          <w:bCs/>
          <w:sz w:val="24"/>
          <w:szCs w:val="24"/>
        </w:rPr>
      </w:pPr>
      <w:r w:rsidRPr="00003438">
        <w:rPr>
          <w:rFonts w:asciiTheme="minorHAnsi" w:hAnsiTheme="minorHAnsi" w:cstheme="minorHAnsi"/>
          <w:b/>
          <w:bCs/>
          <w:sz w:val="24"/>
          <w:szCs w:val="24"/>
        </w:rPr>
        <w:t>*  coordinamento delle politiche a favore della famiglia, di interventi per il sostegno della maternità e della paternità, di conciliazione dei tempi di lavoro e dei tempi di cura della famiglia, di misure di sostegno alla famiglia, alla genitorialità e alla natalità;</w:t>
      </w:r>
    </w:p>
    <w:p w14:paraId="15669999" w14:textId="77777777" w:rsidR="005D15AA" w:rsidRPr="00003438" w:rsidRDefault="005D15AA" w:rsidP="005D15AA">
      <w:pPr>
        <w:jc w:val="both"/>
        <w:rPr>
          <w:rFonts w:asciiTheme="minorHAnsi" w:hAnsiTheme="minorHAnsi" w:cstheme="minorHAnsi"/>
          <w:b/>
          <w:bCs/>
          <w:sz w:val="24"/>
          <w:szCs w:val="24"/>
        </w:rPr>
      </w:pPr>
      <w:r w:rsidRPr="00003438">
        <w:rPr>
          <w:rFonts w:asciiTheme="minorHAnsi" w:hAnsiTheme="minorHAnsi" w:cstheme="minorHAnsi"/>
          <w:b/>
          <w:bCs/>
          <w:sz w:val="24"/>
          <w:szCs w:val="24"/>
        </w:rPr>
        <w:t>* Osservatorio nazionale sulla famiglia;</w:t>
      </w:r>
    </w:p>
    <w:p w14:paraId="1C1F3A1B" w14:textId="77777777" w:rsidR="005D15AA" w:rsidRPr="00003438" w:rsidRDefault="005D15AA" w:rsidP="005D15AA">
      <w:pPr>
        <w:jc w:val="both"/>
        <w:rPr>
          <w:rFonts w:asciiTheme="minorHAnsi" w:hAnsiTheme="minorHAnsi" w:cstheme="minorHAnsi"/>
          <w:b/>
          <w:bCs/>
          <w:sz w:val="24"/>
          <w:szCs w:val="24"/>
        </w:rPr>
      </w:pPr>
      <w:r w:rsidRPr="00003438">
        <w:rPr>
          <w:rFonts w:asciiTheme="minorHAnsi" w:hAnsiTheme="minorHAnsi" w:cstheme="minorHAnsi"/>
          <w:b/>
          <w:bCs/>
          <w:sz w:val="24"/>
          <w:szCs w:val="24"/>
        </w:rPr>
        <w:t>* Osservatorio nazionale per l'infanzia e l'adolescenza.</w:t>
      </w:r>
    </w:p>
    <w:p w14:paraId="7504E822" w14:textId="43014A0F" w:rsidR="005D15AA" w:rsidRPr="00003438" w:rsidRDefault="005D15AA" w:rsidP="005D15AA">
      <w:pPr>
        <w:autoSpaceDE w:val="0"/>
        <w:autoSpaceDN w:val="0"/>
        <w:adjustRightInd w:val="0"/>
        <w:jc w:val="both"/>
        <w:rPr>
          <w:rFonts w:asciiTheme="minorHAnsi" w:hAnsiTheme="minorHAnsi" w:cstheme="minorHAnsi"/>
          <w:b/>
          <w:bCs/>
          <w:color w:val="000000"/>
          <w:sz w:val="24"/>
          <w:szCs w:val="24"/>
        </w:rPr>
      </w:pPr>
      <w:r w:rsidRPr="00003438">
        <w:rPr>
          <w:rFonts w:asciiTheme="minorHAnsi" w:hAnsiTheme="minorHAnsi" w:cstheme="minorHAnsi"/>
          <w:b/>
          <w:bCs/>
          <w:color w:val="000000"/>
          <w:sz w:val="24"/>
          <w:szCs w:val="24"/>
        </w:rPr>
        <w:t>Nel DPEF 2008-20</w:t>
      </w:r>
      <w:r w:rsidR="00003438" w:rsidRPr="00003438">
        <w:rPr>
          <w:rFonts w:asciiTheme="minorHAnsi" w:hAnsiTheme="minorHAnsi" w:cstheme="minorHAnsi"/>
          <w:b/>
          <w:bCs/>
          <w:color w:val="000000"/>
          <w:sz w:val="24"/>
          <w:szCs w:val="24"/>
        </w:rPr>
        <w:t>1</w:t>
      </w:r>
      <w:r w:rsidRPr="00003438">
        <w:rPr>
          <w:rFonts w:asciiTheme="minorHAnsi" w:hAnsiTheme="minorHAnsi" w:cstheme="minorHAnsi"/>
          <w:b/>
          <w:bCs/>
          <w:color w:val="000000"/>
          <w:sz w:val="24"/>
          <w:szCs w:val="24"/>
        </w:rPr>
        <w:t>1 è stato dedicato uno specifico paragrafo alle  politiche per l’equità’ sociale</w:t>
      </w:r>
    </w:p>
    <w:p w14:paraId="584A67BF" w14:textId="77777777" w:rsidR="005D15AA" w:rsidRPr="00003438" w:rsidRDefault="005D15AA" w:rsidP="005D15AA">
      <w:pPr>
        <w:autoSpaceDE w:val="0"/>
        <w:autoSpaceDN w:val="0"/>
        <w:adjustRightInd w:val="0"/>
        <w:jc w:val="both"/>
        <w:rPr>
          <w:rFonts w:asciiTheme="minorHAnsi" w:hAnsiTheme="minorHAnsi" w:cstheme="minorHAnsi"/>
          <w:b/>
          <w:bCs/>
          <w:color w:val="000000"/>
          <w:sz w:val="24"/>
          <w:szCs w:val="24"/>
        </w:rPr>
      </w:pPr>
      <w:r w:rsidRPr="00003438">
        <w:rPr>
          <w:rFonts w:asciiTheme="minorHAnsi" w:hAnsiTheme="minorHAnsi" w:cstheme="minorHAnsi"/>
          <w:b/>
          <w:bCs/>
          <w:color w:val="000000"/>
          <w:sz w:val="24"/>
          <w:szCs w:val="24"/>
        </w:rPr>
        <w:t>con la specificazione di attuare politiche di sostegno al reddito con incremento degli assegni per l'infanzia, interventi fiscali per gli incapienti, ripresa del progetto di Reddito minimo di inserimento.</w:t>
      </w:r>
    </w:p>
    <w:p w14:paraId="397AECEB" w14:textId="77777777" w:rsidR="005D15AA" w:rsidRPr="00003438" w:rsidRDefault="005D15AA" w:rsidP="005D15AA">
      <w:pPr>
        <w:autoSpaceDE w:val="0"/>
        <w:autoSpaceDN w:val="0"/>
        <w:adjustRightInd w:val="0"/>
        <w:jc w:val="both"/>
        <w:rPr>
          <w:rFonts w:asciiTheme="minorHAnsi" w:hAnsiTheme="minorHAnsi" w:cstheme="minorHAnsi"/>
          <w:b/>
          <w:bCs/>
          <w:color w:val="000000"/>
          <w:sz w:val="24"/>
          <w:szCs w:val="24"/>
        </w:rPr>
      </w:pPr>
      <w:r w:rsidRPr="00003438">
        <w:rPr>
          <w:rFonts w:asciiTheme="minorHAnsi" w:hAnsiTheme="minorHAnsi" w:cstheme="minorHAnsi"/>
          <w:b/>
          <w:bCs/>
          <w:color w:val="000000"/>
          <w:sz w:val="24"/>
          <w:szCs w:val="24"/>
        </w:rPr>
        <w:t xml:space="preserve">E’ stato altresì previsto l’aumento dei servizi per l'infanzia, in particolare degli asili nido. Particolare rilievo è stato dato all’obiettivo di  costruire il Sistema informativo dei servizi sociali. </w:t>
      </w:r>
    </w:p>
    <w:p w14:paraId="3BDFC7BE" w14:textId="1B724AB6" w:rsidR="005D15AA" w:rsidRPr="00003438" w:rsidRDefault="005D15AA" w:rsidP="005D15AA">
      <w:pPr>
        <w:jc w:val="both"/>
        <w:rPr>
          <w:rFonts w:asciiTheme="minorHAnsi" w:hAnsiTheme="minorHAnsi" w:cstheme="minorHAnsi"/>
          <w:b/>
          <w:bCs/>
          <w:color w:val="000000"/>
          <w:sz w:val="24"/>
          <w:szCs w:val="24"/>
        </w:rPr>
      </w:pPr>
      <w:r w:rsidRPr="00003438">
        <w:rPr>
          <w:rFonts w:asciiTheme="minorHAnsi" w:hAnsiTheme="minorHAnsi" w:cstheme="minorHAnsi"/>
          <w:b/>
          <w:bCs/>
          <w:color w:val="000000"/>
          <w:sz w:val="24"/>
          <w:szCs w:val="24"/>
        </w:rPr>
        <w:t>Nella legge 133/08 recante “ Conversione in legge, con modificazioni, del decreto-legge 25 giugno 2008, recante disposizioni urgenti per lo sviluppo economico, la semplificazione, la compet</w:t>
      </w:r>
      <w:r w:rsidR="00955DEA">
        <w:rPr>
          <w:rFonts w:asciiTheme="minorHAnsi" w:hAnsiTheme="minorHAnsi" w:cstheme="minorHAnsi"/>
          <w:b/>
          <w:bCs/>
          <w:color w:val="000000"/>
          <w:sz w:val="24"/>
          <w:szCs w:val="24"/>
        </w:rPr>
        <w:t>i</w:t>
      </w:r>
      <w:r w:rsidRPr="00003438">
        <w:rPr>
          <w:rFonts w:asciiTheme="minorHAnsi" w:hAnsiTheme="minorHAnsi" w:cstheme="minorHAnsi"/>
          <w:b/>
          <w:bCs/>
          <w:color w:val="000000"/>
          <w:sz w:val="24"/>
          <w:szCs w:val="24"/>
        </w:rPr>
        <w:t>t</w:t>
      </w:r>
      <w:r w:rsidR="00955DEA">
        <w:rPr>
          <w:rFonts w:asciiTheme="minorHAnsi" w:hAnsiTheme="minorHAnsi" w:cstheme="minorHAnsi"/>
          <w:b/>
          <w:bCs/>
          <w:color w:val="000000"/>
          <w:sz w:val="24"/>
          <w:szCs w:val="24"/>
        </w:rPr>
        <w:t>i</w:t>
      </w:r>
      <w:r w:rsidRPr="00003438">
        <w:rPr>
          <w:rFonts w:asciiTheme="minorHAnsi" w:hAnsiTheme="minorHAnsi" w:cstheme="minorHAnsi"/>
          <w:b/>
          <w:bCs/>
          <w:color w:val="000000"/>
          <w:sz w:val="24"/>
          <w:szCs w:val="24"/>
        </w:rPr>
        <w:t>vità, la stabilizzazione della finanza pubblica e la perequazione tributaria” (GU n. 95 del 21.8.08, S.O.)</w:t>
      </w:r>
    </w:p>
    <w:p w14:paraId="12FE8BBC" w14:textId="77777777" w:rsidR="005D15AA" w:rsidRPr="00003438" w:rsidRDefault="005D15AA" w:rsidP="005D15AA">
      <w:pPr>
        <w:pStyle w:val="PreformattatoHTML"/>
        <w:spacing w:line="20" w:lineRule="atLeast"/>
        <w:jc w:val="both"/>
        <w:rPr>
          <w:rFonts w:asciiTheme="minorHAnsi" w:hAnsiTheme="minorHAnsi" w:cstheme="minorHAnsi"/>
          <w:b/>
          <w:bCs/>
          <w:sz w:val="24"/>
          <w:szCs w:val="24"/>
        </w:rPr>
      </w:pPr>
      <w:r w:rsidRPr="00003438">
        <w:rPr>
          <w:rFonts w:asciiTheme="minorHAnsi" w:hAnsiTheme="minorHAnsi" w:cstheme="minorHAnsi"/>
          <w:b/>
          <w:bCs/>
          <w:iCs/>
          <w:sz w:val="24"/>
          <w:szCs w:val="24"/>
        </w:rPr>
        <w:t xml:space="preserve"> e con la Legge 22 dicembre 2008 n. 203  sono state dettate, fra l’altro, specifiche indicazioni intorno all’ impegno a una specifica attenzione verso la famiglia: infatti è  stato disposto che n</w:t>
      </w:r>
      <w:r w:rsidRPr="00003438">
        <w:rPr>
          <w:rFonts w:asciiTheme="minorHAnsi" w:hAnsiTheme="minorHAnsi" w:cstheme="minorHAnsi"/>
          <w:b/>
          <w:bCs/>
          <w:sz w:val="24"/>
          <w:szCs w:val="24"/>
        </w:rPr>
        <w:t xml:space="preserve">ell’eventualità di maggiori disponibilità di finanza pubblica che si realizzassero nel 2009 rispetto alle previsioni del Documento di Previsione Economica e Finanziaria per gli anni 2009-2013, al fine di fronteggiare la diminuzione della domanda interna, le stesse sono destinate alla riduzione della </w:t>
      </w:r>
      <w:r w:rsidRPr="00003438">
        <w:rPr>
          <w:rFonts w:asciiTheme="minorHAnsi" w:hAnsiTheme="minorHAnsi" w:cstheme="minorHAnsi"/>
          <w:b/>
          <w:bCs/>
          <w:sz w:val="24"/>
          <w:szCs w:val="24"/>
        </w:rPr>
        <w:lastRenderedPageBreak/>
        <w:t xml:space="preserve">pressione fiscale nei confronti delle famiglie con figli e dei percettori di reddito medio-basso, con priorità per i lavoratori dipendenti e pensionati.  </w:t>
      </w:r>
    </w:p>
    <w:p w14:paraId="4A435841" w14:textId="77777777" w:rsidR="005D15AA" w:rsidRPr="00955DEA" w:rsidRDefault="005D15AA" w:rsidP="005D15AA">
      <w:pPr>
        <w:pStyle w:val="PreformattatoHTML"/>
        <w:spacing w:line="20" w:lineRule="atLeast"/>
        <w:jc w:val="both"/>
        <w:rPr>
          <w:rFonts w:asciiTheme="minorHAnsi" w:hAnsiTheme="minorHAnsi" w:cstheme="minorHAnsi"/>
          <w:b/>
          <w:bCs/>
          <w:sz w:val="24"/>
          <w:szCs w:val="24"/>
        </w:rPr>
      </w:pPr>
      <w:r w:rsidRPr="00955DEA">
        <w:rPr>
          <w:rFonts w:asciiTheme="minorHAnsi" w:hAnsiTheme="minorHAnsi" w:cstheme="minorHAnsi"/>
          <w:b/>
          <w:bCs/>
          <w:sz w:val="24"/>
          <w:szCs w:val="24"/>
        </w:rPr>
        <w:t xml:space="preserve">Con varie disposizioni di legge sono stati istituiti i “bonus” a favore delle famiglie, fino alla “social card” per gli anziani. </w:t>
      </w:r>
    </w:p>
    <w:p w14:paraId="3D6C9CAB" w14:textId="220368F9" w:rsidR="005D15AA" w:rsidRDefault="005D15AA" w:rsidP="005D15AA">
      <w:pPr>
        <w:jc w:val="both"/>
        <w:rPr>
          <w:rFonts w:asciiTheme="minorHAnsi" w:hAnsiTheme="minorHAnsi" w:cstheme="minorHAnsi"/>
          <w:b/>
          <w:bCs/>
          <w:sz w:val="24"/>
          <w:szCs w:val="24"/>
        </w:rPr>
      </w:pPr>
      <w:r w:rsidRPr="00955DEA">
        <w:rPr>
          <w:rFonts w:asciiTheme="minorHAnsi" w:hAnsiTheme="minorHAnsi" w:cstheme="minorHAnsi"/>
          <w:b/>
          <w:bCs/>
          <w:sz w:val="24"/>
          <w:szCs w:val="24"/>
        </w:rPr>
        <w:t>Nel prosieguo di un disegno volto a sostenere le famiglie, con il Decreto-legge  29 novembre 2008, n. 185</w:t>
      </w:r>
      <w:r w:rsidR="00955DEA">
        <w:rPr>
          <w:rFonts w:asciiTheme="minorHAnsi" w:hAnsiTheme="minorHAnsi" w:cstheme="minorHAnsi"/>
          <w:b/>
          <w:bCs/>
          <w:sz w:val="24"/>
          <w:szCs w:val="24"/>
        </w:rPr>
        <w:t xml:space="preserve"> -  </w:t>
      </w:r>
      <w:r w:rsidR="00955DEA" w:rsidRPr="00955DEA">
        <w:rPr>
          <w:rFonts w:asciiTheme="minorHAnsi" w:hAnsiTheme="minorHAnsi" w:cstheme="minorHAnsi"/>
          <w:b/>
          <w:bCs/>
          <w:color w:val="000000"/>
          <w:sz w:val="24"/>
          <w:szCs w:val="24"/>
        </w:rPr>
        <w:t xml:space="preserve">convertito, con modificazioni,  in  Legge 28 gennaio 2009, n. 2 </w:t>
      </w:r>
      <w:r w:rsidRPr="00955DEA">
        <w:rPr>
          <w:rFonts w:asciiTheme="minorHAnsi" w:hAnsiTheme="minorHAnsi" w:cstheme="minorHAnsi"/>
          <w:b/>
          <w:bCs/>
          <w:sz w:val="24"/>
          <w:szCs w:val="24"/>
        </w:rPr>
        <w:t xml:space="preserve"> -</w:t>
      </w:r>
      <w:r w:rsidR="00955DEA">
        <w:rPr>
          <w:rFonts w:asciiTheme="minorHAnsi" w:hAnsiTheme="minorHAnsi" w:cstheme="minorHAnsi"/>
          <w:b/>
          <w:bCs/>
          <w:sz w:val="24"/>
          <w:szCs w:val="24"/>
        </w:rPr>
        <w:t xml:space="preserve"> </w:t>
      </w:r>
      <w:r w:rsidRPr="00955DEA">
        <w:rPr>
          <w:rFonts w:asciiTheme="minorHAnsi" w:hAnsiTheme="minorHAnsi" w:cstheme="minorHAnsi"/>
          <w:b/>
          <w:bCs/>
          <w:sz w:val="24"/>
          <w:szCs w:val="24"/>
        </w:rPr>
        <w:t xml:space="preserve"> Misure urgenti per il sostegno a famiglie, lavoro, occupazione e impresa e per ridisegnare </w:t>
      </w:r>
      <w:r w:rsidRPr="00955DEA">
        <w:rPr>
          <w:rFonts w:asciiTheme="minorHAnsi" w:hAnsiTheme="minorHAnsi" w:cstheme="minorHAnsi"/>
          <w:b/>
          <w:bCs/>
          <w:color w:val="000000"/>
          <w:sz w:val="24"/>
          <w:szCs w:val="24"/>
        </w:rPr>
        <w:t>in funzione anti-crisi il quadro strategico nazionale</w:t>
      </w:r>
      <w:r w:rsidR="00955DEA">
        <w:rPr>
          <w:rFonts w:asciiTheme="minorHAnsi" w:hAnsiTheme="minorHAnsi" w:cstheme="minorHAnsi"/>
          <w:b/>
          <w:bCs/>
          <w:color w:val="000000"/>
          <w:sz w:val="24"/>
          <w:szCs w:val="24"/>
        </w:rPr>
        <w:t xml:space="preserve"> </w:t>
      </w:r>
      <w:r w:rsidRPr="00955DEA">
        <w:rPr>
          <w:rFonts w:asciiTheme="minorHAnsi" w:hAnsiTheme="minorHAnsi" w:cstheme="minorHAnsi"/>
          <w:b/>
          <w:bCs/>
          <w:color w:val="000000"/>
          <w:sz w:val="24"/>
          <w:szCs w:val="24"/>
        </w:rPr>
        <w:t xml:space="preserve">sono stati disposti ulteriori interventi di carattere economico a favore delle famiglie, </w:t>
      </w:r>
      <w:r w:rsidRPr="00955DEA">
        <w:rPr>
          <w:rFonts w:asciiTheme="minorHAnsi" w:hAnsiTheme="minorHAnsi" w:cstheme="minorHAnsi"/>
          <w:b/>
          <w:bCs/>
          <w:sz w:val="24"/>
          <w:szCs w:val="24"/>
        </w:rPr>
        <w:t xml:space="preserve"> favorendone l'incremento  del potere di acquisto delle famiglie attraverso misure straordinarie. (</w:t>
      </w:r>
      <w:r w:rsidR="00955DEA">
        <w:rPr>
          <w:rFonts w:asciiTheme="minorHAnsi" w:hAnsiTheme="minorHAnsi" w:cstheme="minorHAnsi"/>
          <w:b/>
          <w:bCs/>
          <w:sz w:val="24"/>
          <w:szCs w:val="24"/>
        </w:rPr>
        <w:t>3</w:t>
      </w:r>
      <w:r w:rsidRPr="00955DEA">
        <w:rPr>
          <w:rFonts w:asciiTheme="minorHAnsi" w:hAnsiTheme="minorHAnsi" w:cstheme="minorHAnsi"/>
          <w:b/>
          <w:bCs/>
          <w:sz w:val="24"/>
          <w:szCs w:val="24"/>
        </w:rPr>
        <w:t xml:space="preserve">) </w:t>
      </w:r>
    </w:p>
    <w:p w14:paraId="3992DDE0" w14:textId="77777777" w:rsidR="002E6FDB" w:rsidRPr="00955DEA" w:rsidRDefault="002E6FDB" w:rsidP="002E6FDB">
      <w:pPr>
        <w:pStyle w:val="PreformattatoHTML"/>
        <w:spacing w:line="20" w:lineRule="atLeast"/>
        <w:jc w:val="both"/>
        <w:rPr>
          <w:rFonts w:asciiTheme="minorHAnsi" w:hAnsiTheme="minorHAnsi" w:cstheme="minorHAnsi"/>
          <w:b/>
          <w:bCs/>
          <w:sz w:val="24"/>
          <w:szCs w:val="24"/>
        </w:rPr>
      </w:pPr>
      <w:r w:rsidRPr="00955DEA">
        <w:rPr>
          <w:rFonts w:asciiTheme="minorHAnsi" w:hAnsiTheme="minorHAnsi" w:cstheme="minorHAnsi"/>
          <w:b/>
          <w:bCs/>
          <w:sz w:val="24"/>
          <w:szCs w:val="24"/>
        </w:rPr>
        <w:t>Sono stati altresì disposti ulteriori sostegni relativi a:</w:t>
      </w:r>
    </w:p>
    <w:p w14:paraId="5256B39D" w14:textId="77777777" w:rsidR="002E6FDB" w:rsidRPr="00955DEA" w:rsidRDefault="002E6FDB" w:rsidP="002E6FDB">
      <w:pPr>
        <w:pStyle w:val="PreformattatoHTML"/>
        <w:spacing w:line="20" w:lineRule="atLeast"/>
        <w:jc w:val="both"/>
        <w:rPr>
          <w:rFonts w:asciiTheme="minorHAnsi" w:hAnsiTheme="minorHAnsi" w:cstheme="minorHAnsi"/>
          <w:b/>
          <w:bCs/>
          <w:sz w:val="24"/>
          <w:szCs w:val="24"/>
        </w:rPr>
      </w:pPr>
      <w:r w:rsidRPr="00955DEA">
        <w:rPr>
          <w:rFonts w:asciiTheme="minorHAnsi" w:hAnsiTheme="minorHAnsi" w:cstheme="minorHAnsi"/>
          <w:b/>
          <w:bCs/>
          <w:sz w:val="24"/>
          <w:szCs w:val="24"/>
        </w:rPr>
        <w:t>Mutui  prima  casa;</w:t>
      </w:r>
    </w:p>
    <w:p w14:paraId="633574AF" w14:textId="77777777" w:rsidR="002E6FDB" w:rsidRPr="00955DEA" w:rsidRDefault="002E6FDB" w:rsidP="002E6FDB">
      <w:pPr>
        <w:pStyle w:val="PreformattatoHTML"/>
        <w:spacing w:line="20" w:lineRule="atLeast"/>
        <w:jc w:val="both"/>
        <w:rPr>
          <w:rFonts w:asciiTheme="minorHAnsi" w:hAnsiTheme="minorHAnsi" w:cstheme="minorHAnsi"/>
          <w:b/>
          <w:bCs/>
          <w:sz w:val="24"/>
          <w:szCs w:val="24"/>
        </w:rPr>
      </w:pPr>
      <w:r w:rsidRPr="00955DEA">
        <w:rPr>
          <w:rFonts w:asciiTheme="minorHAnsi" w:hAnsiTheme="minorHAnsi" w:cstheme="minorHAnsi"/>
          <w:b/>
          <w:bCs/>
          <w:sz w:val="24"/>
          <w:szCs w:val="24"/>
        </w:rPr>
        <w:t>Blocco e riduzione delle tariffe;</w:t>
      </w:r>
    </w:p>
    <w:p w14:paraId="14CA57EF" w14:textId="77777777" w:rsidR="002E6FDB" w:rsidRPr="00955DEA" w:rsidRDefault="002E6FDB" w:rsidP="002E6FDB">
      <w:pPr>
        <w:pStyle w:val="PreformattatoHTML"/>
        <w:spacing w:line="20" w:lineRule="atLeast"/>
        <w:jc w:val="both"/>
        <w:rPr>
          <w:rFonts w:asciiTheme="minorHAnsi" w:hAnsiTheme="minorHAnsi" w:cstheme="minorHAnsi"/>
          <w:b/>
          <w:bCs/>
          <w:sz w:val="24"/>
          <w:szCs w:val="24"/>
        </w:rPr>
      </w:pPr>
      <w:r w:rsidRPr="00955DEA">
        <w:rPr>
          <w:rFonts w:asciiTheme="minorHAnsi" w:hAnsiTheme="minorHAnsi" w:cstheme="minorHAnsi"/>
          <w:b/>
          <w:bCs/>
          <w:sz w:val="24"/>
          <w:szCs w:val="24"/>
        </w:rPr>
        <w:t>Fondo  per il credito per i nuovi nati.</w:t>
      </w:r>
    </w:p>
    <w:p w14:paraId="319C370E" w14:textId="77777777" w:rsidR="002E6FDB" w:rsidRPr="00955DEA" w:rsidRDefault="002E6FDB" w:rsidP="002E6FDB">
      <w:pPr>
        <w:pStyle w:val="PreformattatoHTML"/>
        <w:jc w:val="both"/>
        <w:rPr>
          <w:rFonts w:asciiTheme="minorHAnsi" w:hAnsiTheme="minorHAnsi" w:cstheme="minorHAnsi"/>
          <w:b/>
          <w:bCs/>
          <w:sz w:val="24"/>
          <w:szCs w:val="24"/>
        </w:rPr>
      </w:pPr>
      <w:r w:rsidRPr="00955DEA">
        <w:rPr>
          <w:rFonts w:asciiTheme="minorHAnsi" w:hAnsiTheme="minorHAnsi" w:cstheme="minorHAnsi"/>
          <w:b/>
          <w:bCs/>
          <w:sz w:val="24"/>
          <w:szCs w:val="24"/>
        </w:rPr>
        <w:t>Con DPCM 10 marzo 2009, n. 43 recante: Regolamento recante istituzione e funzionamento del nuovo Osservatorio nazionale sulla famiglia</w:t>
      </w:r>
      <w:r>
        <w:rPr>
          <w:rFonts w:asciiTheme="minorHAnsi" w:hAnsiTheme="minorHAnsi" w:cstheme="minorHAnsi"/>
          <w:b/>
          <w:bCs/>
          <w:sz w:val="24"/>
          <w:szCs w:val="24"/>
        </w:rPr>
        <w:t xml:space="preserve">, </w:t>
      </w:r>
      <w:r w:rsidRPr="00955DEA">
        <w:rPr>
          <w:rFonts w:asciiTheme="minorHAnsi" w:hAnsiTheme="minorHAnsi" w:cstheme="minorHAnsi"/>
          <w:b/>
          <w:bCs/>
          <w:sz w:val="24"/>
          <w:szCs w:val="24"/>
        </w:rPr>
        <w:t xml:space="preserve"> ne è stata ridefinita l’organizzazione. </w:t>
      </w:r>
    </w:p>
    <w:p w14:paraId="50F8D5A6" w14:textId="77777777" w:rsidR="002E6FDB" w:rsidRPr="00955DEA" w:rsidRDefault="002E6FDB" w:rsidP="002E6FDB">
      <w:pPr>
        <w:pStyle w:val="PreformattatoHTML"/>
        <w:jc w:val="both"/>
        <w:rPr>
          <w:rFonts w:asciiTheme="minorHAnsi" w:hAnsiTheme="minorHAnsi" w:cstheme="minorHAnsi"/>
          <w:b/>
          <w:bCs/>
          <w:sz w:val="24"/>
          <w:szCs w:val="24"/>
        </w:rPr>
      </w:pPr>
      <w:r w:rsidRPr="00955DEA">
        <w:rPr>
          <w:rFonts w:asciiTheme="minorHAnsi" w:hAnsiTheme="minorHAnsi" w:cstheme="minorHAnsi"/>
          <w:b/>
          <w:bCs/>
          <w:sz w:val="24"/>
          <w:szCs w:val="24"/>
        </w:rPr>
        <w:t>In estrema sintesi le funzioni dell’Osservatorio sono:</w:t>
      </w:r>
    </w:p>
    <w:p w14:paraId="752918AB" w14:textId="77777777" w:rsidR="002E6FDB" w:rsidRPr="00955DEA" w:rsidRDefault="002E6FDB" w:rsidP="002E6FDB">
      <w:pPr>
        <w:autoSpaceDE w:val="0"/>
        <w:autoSpaceDN w:val="0"/>
        <w:adjustRightInd w:val="0"/>
        <w:jc w:val="both"/>
        <w:rPr>
          <w:rFonts w:asciiTheme="minorHAnsi" w:hAnsiTheme="minorHAnsi" w:cstheme="minorHAnsi"/>
          <w:b/>
          <w:bCs/>
          <w:sz w:val="24"/>
          <w:szCs w:val="24"/>
        </w:rPr>
      </w:pPr>
      <w:r w:rsidRPr="00955DEA">
        <w:rPr>
          <w:rFonts w:asciiTheme="minorHAnsi" w:hAnsiTheme="minorHAnsi" w:cstheme="minorHAnsi"/>
          <w:b/>
          <w:bCs/>
          <w:sz w:val="24"/>
          <w:szCs w:val="24"/>
        </w:rPr>
        <w:t>* organismo di supporto tecnico-scientifico per l'elaborazione delle politiche nazionali per la famiglia.</w:t>
      </w:r>
    </w:p>
    <w:p w14:paraId="44A45062" w14:textId="77777777" w:rsidR="002E6FDB" w:rsidRPr="00955DEA" w:rsidRDefault="002E6FDB" w:rsidP="002E6FDB">
      <w:pPr>
        <w:autoSpaceDE w:val="0"/>
        <w:autoSpaceDN w:val="0"/>
        <w:adjustRightInd w:val="0"/>
        <w:jc w:val="both"/>
        <w:rPr>
          <w:rFonts w:asciiTheme="minorHAnsi" w:hAnsiTheme="minorHAnsi" w:cstheme="minorHAnsi"/>
          <w:b/>
          <w:bCs/>
          <w:sz w:val="24"/>
          <w:szCs w:val="24"/>
        </w:rPr>
      </w:pPr>
      <w:r w:rsidRPr="00955DEA">
        <w:rPr>
          <w:rFonts w:asciiTheme="minorHAnsi" w:hAnsiTheme="minorHAnsi" w:cstheme="minorHAnsi"/>
          <w:b/>
          <w:bCs/>
          <w:sz w:val="24"/>
          <w:szCs w:val="24"/>
        </w:rPr>
        <w:t>* studio, ricerca, documentazione,</w:t>
      </w:r>
      <w:r>
        <w:rPr>
          <w:rFonts w:asciiTheme="minorHAnsi" w:hAnsiTheme="minorHAnsi" w:cstheme="minorHAnsi"/>
          <w:b/>
          <w:bCs/>
          <w:sz w:val="24"/>
          <w:szCs w:val="24"/>
        </w:rPr>
        <w:t xml:space="preserve"> </w:t>
      </w:r>
      <w:r w:rsidRPr="00955DEA">
        <w:rPr>
          <w:rFonts w:asciiTheme="minorHAnsi" w:hAnsiTheme="minorHAnsi" w:cstheme="minorHAnsi"/>
          <w:b/>
          <w:bCs/>
          <w:sz w:val="24"/>
          <w:szCs w:val="24"/>
        </w:rPr>
        <w:t>promozione e consulenza sulle politiche in favore della famiglia</w:t>
      </w:r>
    </w:p>
    <w:p w14:paraId="075CBF4E" w14:textId="77777777" w:rsidR="002E6FDB" w:rsidRPr="00955DEA" w:rsidRDefault="002E6FDB" w:rsidP="002E6FDB">
      <w:pPr>
        <w:autoSpaceDE w:val="0"/>
        <w:autoSpaceDN w:val="0"/>
        <w:adjustRightInd w:val="0"/>
        <w:jc w:val="both"/>
        <w:rPr>
          <w:rFonts w:asciiTheme="minorHAnsi" w:hAnsiTheme="minorHAnsi" w:cstheme="minorHAnsi"/>
          <w:b/>
          <w:bCs/>
          <w:sz w:val="24"/>
          <w:szCs w:val="24"/>
        </w:rPr>
      </w:pPr>
      <w:r w:rsidRPr="00955DEA">
        <w:rPr>
          <w:rFonts w:asciiTheme="minorHAnsi" w:hAnsiTheme="minorHAnsi" w:cstheme="minorHAnsi"/>
          <w:b/>
          <w:bCs/>
          <w:sz w:val="24"/>
          <w:szCs w:val="24"/>
        </w:rPr>
        <w:t>* supporto al Dipartimento per le politiche della famiglia ai fini della predisposizione del Piano nazionale per la famiglia;</w:t>
      </w:r>
    </w:p>
    <w:p w14:paraId="77DECE07" w14:textId="249CE46C" w:rsidR="002E6FDB" w:rsidRDefault="002E6FDB" w:rsidP="002E6FDB">
      <w:pPr>
        <w:jc w:val="both"/>
        <w:rPr>
          <w:rFonts w:asciiTheme="minorHAnsi" w:hAnsiTheme="minorHAnsi" w:cstheme="minorHAnsi"/>
          <w:b/>
          <w:bCs/>
          <w:sz w:val="24"/>
          <w:szCs w:val="24"/>
        </w:rPr>
      </w:pPr>
      <w:r w:rsidRPr="00955DEA">
        <w:rPr>
          <w:rFonts w:asciiTheme="minorHAnsi" w:hAnsiTheme="minorHAnsi" w:cstheme="minorHAnsi"/>
          <w:b/>
          <w:bCs/>
          <w:sz w:val="24"/>
          <w:szCs w:val="24"/>
        </w:rPr>
        <w:t>*  sviluppo delle funzioni di analisi e studio della condizione e delle problematiche familiari, anche attraverso la realizzazione di un rapporto biennale sulla condizione familiare in Italia finalizzato ad aggiornare le conoscenze sulle principali dinamiche demografiche, sociologiche, economiche e</w:t>
      </w:r>
    </w:p>
    <w:p w14:paraId="6F0586A8" w14:textId="77777777" w:rsidR="002E6FDB" w:rsidRPr="00955DEA" w:rsidRDefault="002E6FDB" w:rsidP="002E6FDB">
      <w:pPr>
        <w:autoSpaceDE w:val="0"/>
        <w:autoSpaceDN w:val="0"/>
        <w:adjustRightInd w:val="0"/>
        <w:jc w:val="both"/>
        <w:rPr>
          <w:rFonts w:asciiTheme="minorHAnsi" w:hAnsiTheme="minorHAnsi" w:cstheme="minorHAnsi"/>
          <w:b/>
          <w:bCs/>
          <w:sz w:val="24"/>
          <w:szCs w:val="24"/>
        </w:rPr>
      </w:pPr>
      <w:r w:rsidRPr="00955DEA">
        <w:rPr>
          <w:rFonts w:asciiTheme="minorHAnsi" w:hAnsiTheme="minorHAnsi" w:cstheme="minorHAnsi"/>
          <w:b/>
          <w:bCs/>
          <w:sz w:val="24"/>
          <w:szCs w:val="24"/>
        </w:rPr>
        <w:t>di politica familiare; iniziative ed incontri seminariali per favorire la conoscenza dei risultati delle ricerche e indagini e la diffusione delle buone pratiche attraverso lo scambio di esperienze;</w:t>
      </w:r>
    </w:p>
    <w:p w14:paraId="31F3BF7A" w14:textId="77777777" w:rsidR="002E6FDB" w:rsidRDefault="002E6FDB" w:rsidP="002E6FDB">
      <w:pPr>
        <w:jc w:val="both"/>
        <w:rPr>
          <w:rFonts w:asciiTheme="minorHAnsi" w:hAnsiTheme="minorHAnsi" w:cstheme="minorHAnsi"/>
          <w:b/>
          <w:bCs/>
          <w:sz w:val="24"/>
          <w:szCs w:val="24"/>
        </w:rPr>
      </w:pPr>
    </w:p>
    <w:p w14:paraId="5B0B8BF8" w14:textId="016CF148" w:rsidR="00A35165" w:rsidRDefault="00A35165" w:rsidP="005D15AA">
      <w:pPr>
        <w:jc w:val="both"/>
        <w:rPr>
          <w:rFonts w:asciiTheme="minorHAnsi" w:hAnsiTheme="minorHAnsi" w:cstheme="minorHAnsi"/>
          <w:b/>
          <w:bCs/>
          <w:sz w:val="24"/>
          <w:szCs w:val="24"/>
        </w:rPr>
      </w:pPr>
      <w:r>
        <w:rPr>
          <w:rFonts w:asciiTheme="minorHAnsi" w:hAnsiTheme="minorHAnsi" w:cstheme="minorHAnsi"/>
          <w:b/>
          <w:bCs/>
          <w:sz w:val="24"/>
          <w:szCs w:val="24"/>
        </w:rPr>
        <w:t>-----------------------------------------------------------------------------------------------------------------------------</w:t>
      </w:r>
    </w:p>
    <w:p w14:paraId="5FFDA2DE" w14:textId="77777777" w:rsidR="00A35165" w:rsidRPr="00955DEA" w:rsidRDefault="00A35165" w:rsidP="00A35165">
      <w:pPr>
        <w:pStyle w:val="PreformattatoHTML"/>
        <w:spacing w:line="20" w:lineRule="atLeast"/>
        <w:jc w:val="both"/>
        <w:rPr>
          <w:rFonts w:asciiTheme="minorHAnsi" w:hAnsiTheme="minorHAnsi" w:cstheme="minorHAnsi"/>
          <w:b/>
          <w:bCs/>
        </w:rPr>
      </w:pPr>
      <w:r w:rsidRPr="00955DEA">
        <w:rPr>
          <w:rFonts w:asciiTheme="minorHAnsi" w:hAnsiTheme="minorHAnsi" w:cstheme="minorHAnsi"/>
          <w:b/>
          <w:bCs/>
        </w:rPr>
        <w:t>3) Gli aspetti più importati sono stati:</w:t>
      </w:r>
    </w:p>
    <w:p w14:paraId="205E0DEB" w14:textId="77777777" w:rsidR="00A35165" w:rsidRPr="00955DEA" w:rsidRDefault="00A35165" w:rsidP="00A35165">
      <w:pPr>
        <w:pStyle w:val="PreformattatoHTML"/>
        <w:spacing w:line="20" w:lineRule="atLeast"/>
        <w:jc w:val="both"/>
        <w:rPr>
          <w:rFonts w:asciiTheme="minorHAnsi" w:hAnsiTheme="minorHAnsi" w:cstheme="minorHAnsi"/>
          <w:b/>
          <w:bCs/>
        </w:rPr>
      </w:pPr>
      <w:r w:rsidRPr="00955DEA">
        <w:rPr>
          <w:rFonts w:asciiTheme="minorHAnsi" w:hAnsiTheme="minorHAnsi" w:cstheme="minorHAnsi"/>
          <w:b/>
          <w:bCs/>
        </w:rPr>
        <w:t xml:space="preserve">Attribuzione di un bonus straordinario, per il solo anno 2009, ai soggetti residenti, componenti di un nucleo familiare a basso reddito  </w:t>
      </w:r>
    </w:p>
    <w:p w14:paraId="5348C018" w14:textId="77777777" w:rsidR="00A35165" w:rsidRPr="00955DEA" w:rsidRDefault="00A35165" w:rsidP="00A35165">
      <w:pPr>
        <w:pStyle w:val="PreformattatoHTML"/>
        <w:spacing w:line="20" w:lineRule="atLeast"/>
        <w:jc w:val="both"/>
        <w:rPr>
          <w:rFonts w:asciiTheme="minorHAnsi" w:hAnsiTheme="minorHAnsi" w:cstheme="minorHAnsi"/>
          <w:b/>
          <w:bCs/>
        </w:rPr>
      </w:pPr>
      <w:r w:rsidRPr="00955DEA">
        <w:rPr>
          <w:rFonts w:asciiTheme="minorHAnsi" w:hAnsiTheme="minorHAnsi" w:cstheme="minorHAnsi"/>
          <w:b/>
          <w:bCs/>
        </w:rPr>
        <w:t>Il  beneficio e' attribuito per gli importi di seguito  indicati,  in dipendenza del numero di componenti del nucleo familiare,  degli  eventuali  componenti  portatori di handicap e del reddito  complessivo familiare riferiti al periodo d'imposta 2007 per il  quale  sussistano  i  requisiti  di  cui  al  comma 1,  salvo, in alternativa, la facolta' prevista al comma 12:</w:t>
      </w:r>
    </w:p>
    <w:p w14:paraId="28FE3CC0" w14:textId="6EAC879B" w:rsidR="00A35165" w:rsidRDefault="00A35165" w:rsidP="00A35165">
      <w:pPr>
        <w:pStyle w:val="PreformattatoHTML"/>
        <w:spacing w:line="20" w:lineRule="atLeast"/>
        <w:jc w:val="both"/>
        <w:rPr>
          <w:rFonts w:asciiTheme="minorHAnsi" w:hAnsiTheme="minorHAnsi" w:cstheme="minorHAnsi"/>
          <w:b/>
          <w:bCs/>
        </w:rPr>
      </w:pPr>
      <w:r w:rsidRPr="00955DEA">
        <w:rPr>
          <w:rFonts w:asciiTheme="minorHAnsi" w:hAnsiTheme="minorHAnsi" w:cstheme="minorHAnsi"/>
          <w:b/>
          <w:bCs/>
        </w:rPr>
        <w:t xml:space="preserve">    a) euro  duecento  nei confronti dei soggetti titolari di reddito di  pensione  ed  unici  componenti  del nucleo familiare, qualora il reddito complessivo non sia superiore ad euro quindicimila;</w:t>
      </w:r>
    </w:p>
    <w:p w14:paraId="61E96F8F" w14:textId="77777777" w:rsidR="002E6FDB" w:rsidRPr="00955DEA" w:rsidRDefault="002E6FDB" w:rsidP="002E6FDB">
      <w:pPr>
        <w:pStyle w:val="PreformattatoHTML"/>
        <w:spacing w:line="20" w:lineRule="atLeast"/>
        <w:jc w:val="both"/>
        <w:rPr>
          <w:rFonts w:asciiTheme="minorHAnsi" w:hAnsiTheme="minorHAnsi" w:cstheme="minorHAnsi"/>
          <w:b/>
          <w:bCs/>
        </w:rPr>
      </w:pPr>
      <w:r w:rsidRPr="00955DEA">
        <w:rPr>
          <w:rFonts w:asciiTheme="minorHAnsi" w:hAnsiTheme="minorHAnsi" w:cstheme="minorHAnsi"/>
          <w:b/>
          <w:bCs/>
        </w:rPr>
        <w:t>b) euro  trecento  per  il  nucleo  familiare  di due componenti, qualora  il  reddito  complessivo familiare non sia superiore ad euro diciassettemila;</w:t>
      </w:r>
    </w:p>
    <w:p w14:paraId="186F0603" w14:textId="77777777" w:rsidR="002E6FDB" w:rsidRPr="00955DEA" w:rsidRDefault="002E6FDB" w:rsidP="002E6FDB">
      <w:pPr>
        <w:pStyle w:val="PreformattatoHTML"/>
        <w:spacing w:line="20" w:lineRule="atLeast"/>
        <w:jc w:val="both"/>
        <w:rPr>
          <w:rFonts w:asciiTheme="minorHAnsi" w:hAnsiTheme="minorHAnsi" w:cstheme="minorHAnsi"/>
          <w:b/>
          <w:bCs/>
        </w:rPr>
      </w:pPr>
      <w:r w:rsidRPr="00955DEA">
        <w:rPr>
          <w:rFonts w:asciiTheme="minorHAnsi" w:hAnsiTheme="minorHAnsi" w:cstheme="minorHAnsi"/>
          <w:b/>
          <w:bCs/>
        </w:rPr>
        <w:t xml:space="preserve">    c) euro  quattrocentocinquanta  per  il  nucleo  familiare di tre componenti,   qualora   il  reddito  complessivo  familiare  non  sia superiore ad euro diciassettemila;</w:t>
      </w:r>
    </w:p>
    <w:p w14:paraId="76464FD8" w14:textId="77777777" w:rsidR="002E6FDB" w:rsidRPr="00955DEA" w:rsidRDefault="002E6FDB" w:rsidP="002E6FDB">
      <w:pPr>
        <w:pStyle w:val="PreformattatoHTML"/>
        <w:spacing w:line="20" w:lineRule="atLeast"/>
        <w:jc w:val="both"/>
        <w:rPr>
          <w:rFonts w:asciiTheme="minorHAnsi" w:hAnsiTheme="minorHAnsi" w:cstheme="minorHAnsi"/>
          <w:b/>
          <w:bCs/>
        </w:rPr>
      </w:pPr>
      <w:r w:rsidRPr="00955DEA">
        <w:rPr>
          <w:rFonts w:asciiTheme="minorHAnsi" w:hAnsiTheme="minorHAnsi" w:cstheme="minorHAnsi"/>
          <w:b/>
          <w:bCs/>
        </w:rPr>
        <w:t xml:space="preserve">   d) euro   cinquecento   per   il   nucleo  familiare  di  quattro componenti,   qualora   il  reddito  complessivo  familiare  non  sia superiore ad euro ventimila;</w:t>
      </w:r>
    </w:p>
    <w:p w14:paraId="0271F880" w14:textId="77777777" w:rsidR="002E6FDB" w:rsidRPr="00955DEA" w:rsidRDefault="002E6FDB" w:rsidP="002E6FDB">
      <w:pPr>
        <w:pStyle w:val="PreformattatoHTML"/>
        <w:spacing w:line="20" w:lineRule="atLeast"/>
        <w:jc w:val="both"/>
        <w:rPr>
          <w:rFonts w:asciiTheme="minorHAnsi" w:hAnsiTheme="minorHAnsi" w:cstheme="minorHAnsi"/>
          <w:b/>
          <w:bCs/>
        </w:rPr>
      </w:pPr>
      <w:r w:rsidRPr="00955DEA">
        <w:rPr>
          <w:rFonts w:asciiTheme="minorHAnsi" w:hAnsiTheme="minorHAnsi" w:cstheme="minorHAnsi"/>
          <w:b/>
          <w:bCs/>
        </w:rPr>
        <w:t xml:space="preserve">    e) euro  seicento  per  il nucleo familiare di cinque componenti, qualora  il  reddito  complessivo familiare non sia superiore ad euro ventimila;</w:t>
      </w:r>
    </w:p>
    <w:p w14:paraId="6956F0AF" w14:textId="77777777" w:rsidR="002E6FDB" w:rsidRPr="00955DEA" w:rsidRDefault="002E6FDB" w:rsidP="002E6FDB">
      <w:pPr>
        <w:pStyle w:val="PreformattatoHTML"/>
        <w:spacing w:line="20" w:lineRule="atLeast"/>
        <w:jc w:val="both"/>
        <w:rPr>
          <w:rFonts w:asciiTheme="minorHAnsi" w:hAnsiTheme="minorHAnsi" w:cstheme="minorHAnsi"/>
          <w:b/>
          <w:bCs/>
        </w:rPr>
      </w:pPr>
      <w:r w:rsidRPr="00955DEA">
        <w:rPr>
          <w:rFonts w:asciiTheme="minorHAnsi" w:hAnsiTheme="minorHAnsi" w:cstheme="minorHAnsi"/>
          <w:b/>
          <w:bCs/>
        </w:rPr>
        <w:t xml:space="preserve">    f) euro mille per il nucleo familiare di oltre cinque componenti, qualora  il  reddito  complessivo familiare non sia superiore ad euro ventiduemila;</w:t>
      </w:r>
    </w:p>
    <w:p w14:paraId="475C4D88" w14:textId="77777777" w:rsidR="002E6FDB" w:rsidRPr="00955DEA" w:rsidRDefault="002E6FDB" w:rsidP="002E6FDB">
      <w:pPr>
        <w:pStyle w:val="PreformattatoHTML"/>
        <w:spacing w:line="20" w:lineRule="atLeast"/>
        <w:jc w:val="both"/>
        <w:rPr>
          <w:rFonts w:asciiTheme="minorHAnsi" w:hAnsiTheme="minorHAnsi" w:cstheme="minorHAnsi"/>
          <w:b/>
          <w:bCs/>
        </w:rPr>
      </w:pPr>
      <w:r w:rsidRPr="00955DEA">
        <w:rPr>
          <w:rFonts w:asciiTheme="minorHAnsi" w:hAnsiTheme="minorHAnsi" w:cstheme="minorHAnsi"/>
          <w:b/>
          <w:bCs/>
        </w:rPr>
        <w:t xml:space="preserve">    g) euro mille per il nucleo familiare con componenti portatori di handicap    per    i   quali   ricorrano   le   condizioni   previste dall'articolo 12, comma 1, del citato testo unico, qualora il reddito complessivo familiare non sia superiore ad euro trentacinquemila.</w:t>
      </w:r>
    </w:p>
    <w:p w14:paraId="32519496" w14:textId="32C491A8" w:rsidR="005D15AA" w:rsidRDefault="005D15AA" w:rsidP="005D15AA">
      <w:pPr>
        <w:autoSpaceDE w:val="0"/>
        <w:autoSpaceDN w:val="0"/>
        <w:adjustRightInd w:val="0"/>
        <w:jc w:val="both"/>
        <w:rPr>
          <w:rFonts w:asciiTheme="minorHAnsi" w:hAnsiTheme="minorHAnsi" w:cstheme="minorHAnsi"/>
          <w:b/>
          <w:bCs/>
          <w:sz w:val="24"/>
          <w:szCs w:val="24"/>
        </w:rPr>
      </w:pPr>
      <w:r w:rsidRPr="00955DEA">
        <w:rPr>
          <w:rFonts w:asciiTheme="minorHAnsi" w:hAnsiTheme="minorHAnsi" w:cstheme="minorHAnsi"/>
          <w:b/>
          <w:bCs/>
          <w:sz w:val="24"/>
          <w:szCs w:val="24"/>
        </w:rPr>
        <w:lastRenderedPageBreak/>
        <w:t>*  coordinamento delle proprie attivi</w:t>
      </w:r>
      <w:r w:rsidR="00955DEA">
        <w:rPr>
          <w:rFonts w:asciiTheme="minorHAnsi" w:hAnsiTheme="minorHAnsi" w:cstheme="minorHAnsi"/>
          <w:b/>
          <w:bCs/>
          <w:sz w:val="24"/>
          <w:szCs w:val="24"/>
        </w:rPr>
        <w:t>tà</w:t>
      </w:r>
      <w:r w:rsidRPr="00955DEA">
        <w:rPr>
          <w:rFonts w:asciiTheme="minorHAnsi" w:hAnsiTheme="minorHAnsi" w:cstheme="minorHAnsi"/>
          <w:b/>
          <w:bCs/>
          <w:sz w:val="24"/>
          <w:szCs w:val="24"/>
        </w:rPr>
        <w:t xml:space="preserve"> di ricerca e documentazione con quelle dell'Osservatorio nazionale per l'infanzia e l'adolescenza per quanto concerne il Piano di azione e di interventi per la tutela dei diritti e lo sviluppo dei soggetti in et</w:t>
      </w:r>
      <w:r w:rsidR="00955DEA">
        <w:rPr>
          <w:rFonts w:asciiTheme="minorHAnsi" w:hAnsiTheme="minorHAnsi" w:cstheme="minorHAnsi"/>
          <w:b/>
          <w:bCs/>
          <w:sz w:val="24"/>
          <w:szCs w:val="24"/>
        </w:rPr>
        <w:t>à</w:t>
      </w:r>
      <w:r w:rsidRPr="00955DEA">
        <w:rPr>
          <w:rFonts w:asciiTheme="minorHAnsi" w:hAnsiTheme="minorHAnsi" w:cstheme="minorHAnsi"/>
          <w:b/>
          <w:bCs/>
          <w:sz w:val="24"/>
          <w:szCs w:val="24"/>
        </w:rPr>
        <w:t xml:space="preserve"> evolutiva nonché  con quelle degli Osservatori regionali e locali. </w:t>
      </w:r>
    </w:p>
    <w:p w14:paraId="6F252DE2" w14:textId="77777777" w:rsidR="005211A2" w:rsidRPr="00E81F72" w:rsidRDefault="005211A2" w:rsidP="005211A2">
      <w:pPr>
        <w:jc w:val="both"/>
        <w:rPr>
          <w:rFonts w:asciiTheme="minorHAnsi" w:hAnsiTheme="minorHAnsi" w:cstheme="minorHAnsi"/>
          <w:b/>
          <w:bCs/>
          <w:sz w:val="24"/>
          <w:szCs w:val="24"/>
        </w:rPr>
      </w:pPr>
      <w:r w:rsidRPr="00955DEA">
        <w:rPr>
          <w:rFonts w:asciiTheme="minorHAnsi" w:hAnsiTheme="minorHAnsi" w:cstheme="minorHAnsi"/>
          <w:b/>
          <w:bCs/>
          <w:sz w:val="24"/>
          <w:szCs w:val="24"/>
        </w:rPr>
        <w:t>Infine con la legge 3 agosto 2009, n. 102 - Conversione in legge, con modificazioni, del decreto-legge 1° luglio 2009, n. 78, recante provvedimenti anticrisi, nonch</w:t>
      </w:r>
      <w:r>
        <w:rPr>
          <w:rFonts w:asciiTheme="minorHAnsi" w:hAnsiTheme="minorHAnsi" w:cstheme="minorHAnsi"/>
          <w:b/>
          <w:bCs/>
          <w:sz w:val="24"/>
          <w:szCs w:val="24"/>
        </w:rPr>
        <w:t>é</w:t>
      </w:r>
      <w:r w:rsidRPr="00955DEA">
        <w:rPr>
          <w:rFonts w:asciiTheme="minorHAnsi" w:hAnsiTheme="minorHAnsi" w:cstheme="minorHAnsi"/>
          <w:b/>
          <w:bCs/>
          <w:sz w:val="24"/>
          <w:szCs w:val="24"/>
        </w:rPr>
        <w:t xml:space="preserve"> proroga di termini e della partecipazione italiana a missioni internazionali sono state dettate disposizioni in merito alla regolarizzazione del badantato, con l’obbligo che fa capo alle famiglie che impiegano le badanti di </w:t>
      </w:r>
      <w:r w:rsidRPr="00E81F72">
        <w:rPr>
          <w:rFonts w:asciiTheme="minorHAnsi" w:hAnsiTheme="minorHAnsi" w:cstheme="minorHAnsi"/>
          <w:b/>
          <w:bCs/>
          <w:sz w:val="24"/>
          <w:szCs w:val="24"/>
        </w:rPr>
        <w:t xml:space="preserve">provvedervi, con il pagamento di un contributo di 500 euro. </w:t>
      </w:r>
    </w:p>
    <w:p w14:paraId="346BF08F" w14:textId="76E468DF" w:rsidR="005211A2" w:rsidRDefault="005211A2" w:rsidP="005211A2">
      <w:pPr>
        <w:tabs>
          <w:tab w:val="left" w:pos="0"/>
          <w:tab w:val="right" w:pos="2908"/>
        </w:tabs>
        <w:jc w:val="both"/>
        <w:rPr>
          <w:rFonts w:asciiTheme="minorHAnsi" w:hAnsiTheme="minorHAnsi" w:cstheme="minorHAnsi"/>
          <w:b/>
          <w:bCs/>
          <w:sz w:val="24"/>
          <w:szCs w:val="24"/>
        </w:rPr>
      </w:pPr>
      <w:r>
        <w:rPr>
          <w:rFonts w:asciiTheme="minorHAnsi" w:hAnsiTheme="minorHAnsi" w:cstheme="minorHAnsi"/>
          <w:b/>
          <w:bCs/>
          <w:sz w:val="24"/>
          <w:szCs w:val="24"/>
        </w:rPr>
        <w:t>N</w:t>
      </w:r>
      <w:r w:rsidRPr="00E81F72">
        <w:rPr>
          <w:rFonts w:asciiTheme="minorHAnsi" w:hAnsiTheme="minorHAnsi" w:cstheme="minorHAnsi"/>
          <w:b/>
          <w:bCs/>
          <w:sz w:val="24"/>
          <w:szCs w:val="24"/>
        </w:rPr>
        <w:t xml:space="preserve">el 2015, nel contesto della legge </w:t>
      </w:r>
      <w:r>
        <w:rPr>
          <w:rFonts w:asciiTheme="minorHAnsi" w:hAnsiTheme="minorHAnsi" w:cstheme="minorHAnsi"/>
          <w:b/>
          <w:bCs/>
          <w:sz w:val="24"/>
          <w:szCs w:val="24"/>
        </w:rPr>
        <w:t xml:space="preserve"> di stabilità 2016 del 28 dicembre, </w:t>
      </w:r>
      <w:r w:rsidRPr="00E81F72">
        <w:rPr>
          <w:rFonts w:asciiTheme="minorHAnsi" w:hAnsiTheme="minorHAnsi" w:cstheme="minorHAnsi"/>
          <w:b/>
          <w:bCs/>
          <w:sz w:val="24"/>
          <w:szCs w:val="24"/>
        </w:rPr>
        <w:t>è stata istituita</w:t>
      </w:r>
      <w:r>
        <w:rPr>
          <w:rFonts w:asciiTheme="minorHAnsi" w:hAnsiTheme="minorHAnsi" w:cstheme="minorHAnsi"/>
          <w:b/>
          <w:bCs/>
          <w:sz w:val="24"/>
          <w:szCs w:val="24"/>
        </w:rPr>
        <w:t xml:space="preserve">, </w:t>
      </w:r>
      <w:r w:rsidRPr="00E81F72">
        <w:rPr>
          <w:rFonts w:asciiTheme="minorHAnsi" w:hAnsiTheme="minorHAnsi" w:cstheme="minorHAnsi"/>
          <w:b/>
          <w:bCs/>
          <w:sz w:val="24"/>
          <w:szCs w:val="24"/>
        </w:rPr>
        <w:t xml:space="preserve"> </w:t>
      </w:r>
      <w:r>
        <w:rPr>
          <w:rFonts w:asciiTheme="minorHAnsi" w:hAnsiTheme="minorHAnsi" w:cstheme="minorHAnsi"/>
          <w:b/>
          <w:bCs/>
          <w:sz w:val="24"/>
          <w:szCs w:val="24"/>
        </w:rPr>
        <w:t xml:space="preserve">al comma </w:t>
      </w:r>
      <w:r w:rsidRPr="00E81F72">
        <w:rPr>
          <w:rFonts w:asciiTheme="minorHAnsi" w:hAnsiTheme="minorHAnsi" w:cstheme="minorHAnsi"/>
          <w:b/>
          <w:bCs/>
          <w:sz w:val="24"/>
          <w:szCs w:val="24"/>
        </w:rPr>
        <w:t>391</w:t>
      </w:r>
      <w:r>
        <w:rPr>
          <w:rFonts w:asciiTheme="minorHAnsi" w:hAnsiTheme="minorHAnsi" w:cstheme="minorHAnsi"/>
          <w:b/>
          <w:bCs/>
          <w:sz w:val="24"/>
          <w:szCs w:val="24"/>
        </w:rPr>
        <w:t xml:space="preserve"> art. 1, </w:t>
      </w:r>
      <w:r w:rsidRPr="00E81F72">
        <w:rPr>
          <w:rFonts w:asciiTheme="minorHAnsi" w:hAnsiTheme="minorHAnsi" w:cstheme="minorHAnsi"/>
          <w:b/>
          <w:bCs/>
          <w:sz w:val="24"/>
          <w:szCs w:val="24"/>
        </w:rPr>
        <w:t xml:space="preserve"> a decorrere dall’anno 2016 </w:t>
      </w:r>
      <w:r>
        <w:rPr>
          <w:rFonts w:asciiTheme="minorHAnsi" w:hAnsiTheme="minorHAnsi" w:cstheme="minorHAnsi"/>
          <w:b/>
          <w:bCs/>
          <w:sz w:val="24"/>
          <w:szCs w:val="24"/>
        </w:rPr>
        <w:t>l</w:t>
      </w:r>
      <w:r w:rsidRPr="00E81F72">
        <w:rPr>
          <w:rFonts w:asciiTheme="minorHAnsi" w:hAnsiTheme="minorHAnsi" w:cstheme="minorHAnsi"/>
          <w:b/>
          <w:bCs/>
          <w:sz w:val="24"/>
          <w:szCs w:val="24"/>
        </w:rPr>
        <w:t xml:space="preserve">a </w:t>
      </w:r>
      <w:r>
        <w:rPr>
          <w:rFonts w:asciiTheme="minorHAnsi" w:hAnsiTheme="minorHAnsi" w:cstheme="minorHAnsi"/>
          <w:b/>
          <w:bCs/>
          <w:sz w:val="24"/>
          <w:szCs w:val="24"/>
        </w:rPr>
        <w:t>“</w:t>
      </w:r>
      <w:r w:rsidRPr="00E81F72">
        <w:rPr>
          <w:rFonts w:asciiTheme="minorHAnsi" w:hAnsiTheme="minorHAnsi" w:cstheme="minorHAnsi"/>
          <w:b/>
          <w:bCs/>
          <w:sz w:val="24"/>
          <w:szCs w:val="24"/>
        </w:rPr>
        <w:t>carta della famiglia</w:t>
      </w:r>
      <w:r>
        <w:rPr>
          <w:rFonts w:asciiTheme="minorHAnsi" w:hAnsiTheme="minorHAnsi" w:cstheme="minorHAnsi"/>
          <w:b/>
          <w:bCs/>
          <w:sz w:val="24"/>
          <w:szCs w:val="24"/>
        </w:rPr>
        <w:t>”</w:t>
      </w:r>
      <w:r w:rsidRPr="00E81F72">
        <w:rPr>
          <w:rFonts w:asciiTheme="minorHAnsi" w:hAnsiTheme="minorHAnsi" w:cstheme="minorHAnsi"/>
          <w:b/>
          <w:bCs/>
          <w:sz w:val="24"/>
          <w:szCs w:val="24"/>
        </w:rPr>
        <w:t>, destinata alle famiglie costituite da cittadini italiani o da cittadini stranieri regolarmente residenti sul territorio italiano, con almeno tre figli minori a carico. E’ previsto che la carta, emessa dai singoli Comuni, venga rilasciata alle famiglie che ne facciano richiesta, sulla base dell’ISEE</w:t>
      </w:r>
      <w:r>
        <w:rPr>
          <w:rFonts w:asciiTheme="minorHAnsi" w:hAnsiTheme="minorHAnsi" w:cstheme="minorHAnsi"/>
          <w:b/>
          <w:bCs/>
          <w:sz w:val="24"/>
          <w:szCs w:val="24"/>
        </w:rPr>
        <w:t>.</w:t>
      </w:r>
      <w:r w:rsidRPr="00E81F72">
        <w:rPr>
          <w:rFonts w:asciiTheme="minorHAnsi" w:hAnsiTheme="minorHAnsi" w:cstheme="minorHAnsi"/>
          <w:b/>
          <w:bCs/>
          <w:sz w:val="24"/>
          <w:szCs w:val="24"/>
        </w:rPr>
        <w:t xml:space="preserve"> </w:t>
      </w:r>
    </w:p>
    <w:p w14:paraId="6D45A0F0" w14:textId="3965D2B9" w:rsidR="005211A2" w:rsidRDefault="005211A2" w:rsidP="005211A2">
      <w:pPr>
        <w:tabs>
          <w:tab w:val="left" w:pos="0"/>
          <w:tab w:val="right" w:pos="2908"/>
        </w:tabs>
        <w:jc w:val="both"/>
        <w:rPr>
          <w:rFonts w:asciiTheme="minorHAnsi" w:hAnsiTheme="minorHAnsi" w:cstheme="minorHAnsi"/>
          <w:b/>
          <w:bCs/>
          <w:sz w:val="24"/>
          <w:szCs w:val="24"/>
        </w:rPr>
      </w:pPr>
      <w:r w:rsidRPr="00E81F72">
        <w:rPr>
          <w:rFonts w:asciiTheme="minorHAnsi" w:hAnsiTheme="minorHAnsi" w:cstheme="minorHAnsi"/>
          <w:b/>
          <w:bCs/>
          <w:sz w:val="24"/>
          <w:szCs w:val="24"/>
        </w:rPr>
        <w:t>La carta</w:t>
      </w:r>
      <w:r>
        <w:rPr>
          <w:rFonts w:asciiTheme="minorHAnsi" w:hAnsiTheme="minorHAnsi" w:cstheme="minorHAnsi"/>
          <w:b/>
          <w:bCs/>
          <w:sz w:val="24"/>
          <w:szCs w:val="24"/>
        </w:rPr>
        <w:t xml:space="preserve"> è </w:t>
      </w:r>
      <w:r w:rsidRPr="00E81F72">
        <w:rPr>
          <w:rFonts w:asciiTheme="minorHAnsi" w:hAnsiTheme="minorHAnsi" w:cstheme="minorHAnsi"/>
          <w:b/>
          <w:bCs/>
          <w:sz w:val="24"/>
          <w:szCs w:val="24"/>
        </w:rPr>
        <w:t xml:space="preserve"> di durata biennale</w:t>
      </w:r>
      <w:r>
        <w:rPr>
          <w:rFonts w:asciiTheme="minorHAnsi" w:hAnsiTheme="minorHAnsi" w:cstheme="minorHAnsi"/>
          <w:b/>
          <w:bCs/>
          <w:sz w:val="24"/>
          <w:szCs w:val="24"/>
        </w:rPr>
        <w:t xml:space="preserve"> e contiene specifiche agevolazioni che di seguito si elencano:</w:t>
      </w:r>
      <w:r w:rsidRPr="00E81F72">
        <w:rPr>
          <w:rFonts w:asciiTheme="minorHAnsi" w:hAnsiTheme="minorHAnsi" w:cstheme="minorHAnsi"/>
          <w:b/>
          <w:bCs/>
          <w:sz w:val="24"/>
          <w:szCs w:val="24"/>
        </w:rPr>
        <w:t xml:space="preserve"> </w:t>
      </w:r>
    </w:p>
    <w:p w14:paraId="327E5F8B" w14:textId="77777777" w:rsidR="005211A2" w:rsidRDefault="005211A2" w:rsidP="005211A2">
      <w:pPr>
        <w:tabs>
          <w:tab w:val="left" w:pos="0"/>
          <w:tab w:val="right" w:pos="2908"/>
        </w:tabs>
        <w:jc w:val="both"/>
        <w:rPr>
          <w:rFonts w:asciiTheme="minorHAnsi" w:hAnsiTheme="minorHAnsi" w:cstheme="minorHAnsi"/>
          <w:b/>
          <w:bCs/>
          <w:sz w:val="24"/>
          <w:szCs w:val="24"/>
        </w:rPr>
      </w:pPr>
      <w:r w:rsidRPr="00E81F72">
        <w:rPr>
          <w:rFonts w:asciiTheme="minorHAnsi" w:hAnsiTheme="minorHAnsi" w:cstheme="minorHAnsi"/>
          <w:b/>
          <w:bCs/>
          <w:sz w:val="24"/>
          <w:szCs w:val="24"/>
        </w:rPr>
        <w:sym w:font="Symbol" w:char="F0B7"/>
      </w:r>
      <w:r w:rsidRPr="00E81F72">
        <w:rPr>
          <w:rFonts w:asciiTheme="minorHAnsi" w:hAnsiTheme="minorHAnsi" w:cstheme="minorHAnsi"/>
          <w:b/>
          <w:bCs/>
          <w:sz w:val="24"/>
          <w:szCs w:val="24"/>
        </w:rPr>
        <w:t xml:space="preserve"> consente l’accesso a sconti sull’acquisto di beni o servizi ovvero a riduzioni tariffarie con i soggetti pubblici o privati che intendano contribuire all’iniziativa. </w:t>
      </w:r>
    </w:p>
    <w:p w14:paraId="1BC6AAF1" w14:textId="77777777" w:rsidR="00E81F72" w:rsidRDefault="00E81F72" w:rsidP="005D15AA">
      <w:pPr>
        <w:tabs>
          <w:tab w:val="left" w:pos="0"/>
          <w:tab w:val="right" w:pos="2908"/>
        </w:tabs>
        <w:jc w:val="both"/>
        <w:rPr>
          <w:rFonts w:asciiTheme="minorHAnsi" w:hAnsiTheme="minorHAnsi" w:cstheme="minorHAnsi"/>
          <w:b/>
          <w:bCs/>
          <w:sz w:val="24"/>
          <w:szCs w:val="24"/>
        </w:rPr>
      </w:pPr>
      <w:r w:rsidRPr="00E81F72">
        <w:rPr>
          <w:rFonts w:asciiTheme="minorHAnsi" w:hAnsiTheme="minorHAnsi" w:cstheme="minorHAnsi"/>
          <w:b/>
          <w:bCs/>
          <w:sz w:val="24"/>
          <w:szCs w:val="24"/>
        </w:rPr>
        <w:sym w:font="Symbol" w:char="F0B7"/>
      </w:r>
      <w:r w:rsidRPr="00E81F72">
        <w:rPr>
          <w:rFonts w:asciiTheme="minorHAnsi" w:hAnsiTheme="minorHAnsi" w:cstheme="minorHAnsi"/>
          <w:b/>
          <w:bCs/>
          <w:sz w:val="24"/>
          <w:szCs w:val="24"/>
        </w:rPr>
        <w:t xml:space="preserve"> è funzionale alla creazione di uno o più Gruppo di acquisto familiare (Gaf) o gruppi di acquisto solidale (Gas) nazionali, nonché alla fruizione dei biglietti famiglia ed abbonamenti famiglia per servizi di trasporto, culturali, sportivi, ludici, turistici ed altro..</w:t>
      </w:r>
    </w:p>
    <w:p w14:paraId="08D6401B" w14:textId="7B79A9B1" w:rsidR="00E81F72" w:rsidRDefault="00E81F72" w:rsidP="005D15AA">
      <w:pPr>
        <w:tabs>
          <w:tab w:val="left" w:pos="0"/>
          <w:tab w:val="right" w:pos="2908"/>
        </w:tabs>
        <w:jc w:val="both"/>
        <w:rPr>
          <w:rFonts w:asciiTheme="minorHAnsi" w:hAnsiTheme="minorHAnsi" w:cstheme="minorHAnsi"/>
          <w:b/>
          <w:bCs/>
          <w:sz w:val="24"/>
          <w:szCs w:val="24"/>
        </w:rPr>
      </w:pPr>
      <w:r>
        <w:rPr>
          <w:rFonts w:asciiTheme="minorHAnsi" w:hAnsiTheme="minorHAnsi" w:cstheme="minorHAnsi"/>
          <w:b/>
          <w:bCs/>
          <w:sz w:val="24"/>
          <w:szCs w:val="24"/>
        </w:rPr>
        <w:t xml:space="preserve">La suddetta carta è stata </w:t>
      </w:r>
      <w:r w:rsidRPr="00E81F72">
        <w:rPr>
          <w:rFonts w:asciiTheme="minorHAnsi" w:hAnsiTheme="minorHAnsi" w:cstheme="minorHAnsi"/>
          <w:b/>
          <w:bCs/>
          <w:sz w:val="24"/>
          <w:szCs w:val="24"/>
        </w:rPr>
        <w:t xml:space="preserve"> </w:t>
      </w:r>
      <w:r>
        <w:rPr>
          <w:rFonts w:asciiTheme="minorHAnsi" w:hAnsiTheme="minorHAnsi" w:cstheme="minorHAnsi"/>
          <w:b/>
          <w:bCs/>
          <w:sz w:val="24"/>
          <w:szCs w:val="24"/>
        </w:rPr>
        <w:t>confermata anche per gli anni successivi, compreso il 2021.</w:t>
      </w:r>
    </w:p>
    <w:p w14:paraId="1738FFC4" w14:textId="0578242A" w:rsidR="00816933" w:rsidRPr="00816933" w:rsidRDefault="006B1D61" w:rsidP="00816933">
      <w:pPr>
        <w:spacing w:line="20" w:lineRule="atLeast"/>
        <w:jc w:val="both"/>
        <w:rPr>
          <w:rFonts w:asciiTheme="minorHAnsi" w:hAnsiTheme="minorHAnsi" w:cstheme="minorHAnsi"/>
          <w:b/>
          <w:bCs/>
          <w:sz w:val="24"/>
          <w:szCs w:val="24"/>
        </w:rPr>
      </w:pPr>
      <w:r w:rsidRPr="006B1D61">
        <w:rPr>
          <w:rFonts w:asciiTheme="minorHAnsi" w:hAnsiTheme="minorHAnsi" w:cstheme="minorHAnsi"/>
          <w:b/>
          <w:bCs/>
          <w:sz w:val="24"/>
          <w:szCs w:val="24"/>
        </w:rPr>
        <w:t>Va anche ricordato che nel 2012 è stato approvato il Piano nazionale della famiglia</w:t>
      </w:r>
      <w:r w:rsidR="00816933">
        <w:rPr>
          <w:rFonts w:asciiTheme="minorHAnsi" w:hAnsiTheme="minorHAnsi" w:cstheme="minorHAnsi"/>
          <w:b/>
          <w:bCs/>
          <w:sz w:val="24"/>
          <w:szCs w:val="24"/>
        </w:rPr>
        <w:t xml:space="preserve">, a fronte, </w:t>
      </w:r>
      <w:r w:rsidR="00816933" w:rsidRPr="00816933">
        <w:rPr>
          <w:rFonts w:asciiTheme="minorHAnsi" w:hAnsiTheme="minorHAnsi" w:cstheme="minorHAnsi"/>
          <w:b/>
          <w:bCs/>
          <w:sz w:val="24"/>
          <w:szCs w:val="24"/>
        </w:rPr>
        <w:t>comunque, di un finanziamento del Fondo di 10.849 euro.</w:t>
      </w:r>
    </w:p>
    <w:p w14:paraId="6D10192D" w14:textId="1EA4507E" w:rsidR="00816933" w:rsidRPr="00816933" w:rsidRDefault="00816933" w:rsidP="00816933">
      <w:pPr>
        <w:spacing w:line="20" w:lineRule="atLeast"/>
        <w:rPr>
          <w:rFonts w:asciiTheme="minorHAnsi" w:hAnsiTheme="minorHAnsi" w:cstheme="minorHAnsi"/>
          <w:b/>
          <w:bCs/>
          <w:sz w:val="24"/>
          <w:szCs w:val="24"/>
        </w:rPr>
      </w:pPr>
      <w:r w:rsidRPr="00816933">
        <w:rPr>
          <w:rFonts w:asciiTheme="minorHAnsi" w:hAnsiTheme="minorHAnsi" w:cstheme="minorHAnsi"/>
          <w:b/>
          <w:bCs/>
          <w:sz w:val="24"/>
          <w:szCs w:val="24"/>
        </w:rPr>
        <w:t xml:space="preserve">In tale contesto sono state indicati i principi ispiratori:  </w:t>
      </w:r>
    </w:p>
    <w:p w14:paraId="3F128FF2" w14:textId="77777777" w:rsidR="00816933" w:rsidRDefault="006B1D61" w:rsidP="00816933">
      <w:pPr>
        <w:spacing w:line="20" w:lineRule="atLeast"/>
        <w:rPr>
          <w:rFonts w:asciiTheme="minorHAnsi" w:hAnsiTheme="minorHAnsi" w:cstheme="minorHAnsi"/>
          <w:b/>
          <w:bCs/>
          <w:sz w:val="24"/>
          <w:szCs w:val="24"/>
        </w:rPr>
      </w:pPr>
      <w:r w:rsidRPr="00816933">
        <w:rPr>
          <w:rFonts w:asciiTheme="minorHAnsi" w:hAnsiTheme="minorHAnsi" w:cstheme="minorHAnsi"/>
          <w:b/>
          <w:bCs/>
          <w:sz w:val="24"/>
          <w:szCs w:val="24"/>
        </w:rPr>
        <w:t>- cittadinanza sociale della famiglia, intendendo la famiglia quale soggetto su cui investire per il futuro del Paese, valorizzando la sua funzione per la coesione sociale e per un equo rapporto tra le generazioni;</w:t>
      </w:r>
      <w:r w:rsidRPr="00816933">
        <w:rPr>
          <w:rFonts w:asciiTheme="minorHAnsi" w:hAnsiTheme="minorHAnsi" w:cstheme="minorHAnsi"/>
          <w:b/>
          <w:bCs/>
          <w:sz w:val="24"/>
          <w:szCs w:val="24"/>
        </w:rPr>
        <w:br/>
        <w:t>- politiche esplicite sul nucleo familiare delinea</w:t>
      </w:r>
      <w:r w:rsidR="00816933">
        <w:rPr>
          <w:rFonts w:asciiTheme="minorHAnsi" w:hAnsiTheme="minorHAnsi" w:cstheme="minorHAnsi"/>
          <w:b/>
          <w:bCs/>
          <w:sz w:val="24"/>
          <w:szCs w:val="24"/>
        </w:rPr>
        <w:t xml:space="preserve">ndo </w:t>
      </w:r>
      <w:r w:rsidRPr="00816933">
        <w:rPr>
          <w:rFonts w:asciiTheme="minorHAnsi" w:hAnsiTheme="minorHAnsi" w:cstheme="minorHAnsi"/>
          <w:b/>
          <w:bCs/>
          <w:sz w:val="24"/>
          <w:szCs w:val="24"/>
        </w:rPr>
        <w:t xml:space="preserve"> un quadro organico di interventi</w:t>
      </w:r>
      <w:r w:rsidR="00816933">
        <w:rPr>
          <w:rFonts w:asciiTheme="minorHAnsi" w:hAnsiTheme="minorHAnsi" w:cstheme="minorHAnsi"/>
          <w:b/>
          <w:bCs/>
          <w:sz w:val="24"/>
          <w:szCs w:val="24"/>
        </w:rPr>
        <w:t>;</w:t>
      </w:r>
    </w:p>
    <w:p w14:paraId="27F66010" w14:textId="5141673C" w:rsidR="003F6A55" w:rsidRDefault="006B1D61" w:rsidP="00816933">
      <w:pPr>
        <w:spacing w:line="20" w:lineRule="atLeast"/>
        <w:rPr>
          <w:rFonts w:asciiTheme="minorHAnsi" w:hAnsiTheme="minorHAnsi" w:cstheme="minorHAnsi"/>
          <w:b/>
          <w:bCs/>
          <w:sz w:val="24"/>
          <w:szCs w:val="24"/>
        </w:rPr>
      </w:pPr>
      <w:r w:rsidRPr="00816933">
        <w:rPr>
          <w:rFonts w:asciiTheme="minorHAnsi" w:hAnsiTheme="minorHAnsi" w:cstheme="minorHAnsi"/>
          <w:b/>
          <w:bCs/>
          <w:sz w:val="24"/>
          <w:szCs w:val="24"/>
        </w:rPr>
        <w:t>- sussidiarietà e sviluppo del capitale umano e sociale</w:t>
      </w:r>
      <w:r w:rsidR="003F6A55">
        <w:rPr>
          <w:rFonts w:asciiTheme="minorHAnsi" w:hAnsiTheme="minorHAnsi" w:cstheme="minorHAnsi"/>
          <w:b/>
          <w:bCs/>
          <w:sz w:val="24"/>
          <w:szCs w:val="24"/>
        </w:rPr>
        <w:t xml:space="preserve"> rappresentato dalle famiglie, superando il concetto di assistenzialismo, ma sviluppando l’”empowerment”;</w:t>
      </w:r>
    </w:p>
    <w:p w14:paraId="0A12C737" w14:textId="1E6BD880" w:rsidR="006B1D61" w:rsidRPr="00816933" w:rsidRDefault="006B1D61" w:rsidP="00816933">
      <w:pPr>
        <w:spacing w:line="20" w:lineRule="atLeast"/>
        <w:rPr>
          <w:rFonts w:asciiTheme="minorHAnsi" w:hAnsiTheme="minorHAnsi" w:cstheme="minorHAnsi"/>
          <w:b/>
          <w:bCs/>
          <w:sz w:val="24"/>
          <w:szCs w:val="24"/>
        </w:rPr>
      </w:pPr>
      <w:r w:rsidRPr="00816933">
        <w:rPr>
          <w:rFonts w:asciiTheme="minorHAnsi" w:hAnsiTheme="minorHAnsi" w:cstheme="minorHAnsi"/>
          <w:b/>
          <w:bCs/>
          <w:sz w:val="24"/>
          <w:szCs w:val="24"/>
        </w:rPr>
        <w:t>- solidarietà, intesa anche come rafforzamento delle reti associative delle famiglie, soprattutto quando si tratti di associazioni che non solo forniscono servizi alla persona, ma costituiscono sostegno e difesa dalla solitudine, luogo di confronto e di scambio.</w:t>
      </w:r>
      <w:r w:rsidRPr="00816933">
        <w:rPr>
          <w:rFonts w:asciiTheme="minorHAnsi" w:hAnsiTheme="minorHAnsi" w:cstheme="minorHAnsi"/>
          <w:b/>
          <w:bCs/>
          <w:sz w:val="24"/>
          <w:szCs w:val="24"/>
        </w:rPr>
        <w:br/>
        <w:t>Le priorità individuate dal Piano quali aree su cui intervenire con maggior urgenza sono:</w:t>
      </w:r>
      <w:r w:rsidRPr="00816933">
        <w:rPr>
          <w:rFonts w:asciiTheme="minorHAnsi" w:hAnsiTheme="minorHAnsi" w:cstheme="minorHAnsi"/>
          <w:b/>
          <w:bCs/>
          <w:sz w:val="24"/>
          <w:szCs w:val="24"/>
        </w:rPr>
        <w:br/>
        <w:t>- le famiglie con minori, in particolare quelle numerose;</w:t>
      </w:r>
      <w:r w:rsidRPr="00816933">
        <w:rPr>
          <w:rFonts w:asciiTheme="minorHAnsi" w:hAnsiTheme="minorHAnsi" w:cstheme="minorHAnsi"/>
          <w:b/>
          <w:bCs/>
          <w:sz w:val="24"/>
          <w:szCs w:val="24"/>
        </w:rPr>
        <w:br/>
        <w:t>- le famiglie con disabili o anziani non autosufficienti;</w:t>
      </w:r>
      <w:r w:rsidRPr="00816933">
        <w:rPr>
          <w:rFonts w:asciiTheme="minorHAnsi" w:hAnsiTheme="minorHAnsi" w:cstheme="minorHAnsi"/>
          <w:b/>
          <w:bCs/>
          <w:sz w:val="24"/>
          <w:szCs w:val="24"/>
        </w:rPr>
        <w:br/>
        <w:t>- le famiglie con disagi conclamati sia nella coppia, sia nelle relazioni genitori-figli.</w:t>
      </w:r>
      <w:r w:rsidRPr="00816933">
        <w:rPr>
          <w:rFonts w:asciiTheme="minorHAnsi" w:hAnsiTheme="minorHAnsi" w:cstheme="minorHAnsi"/>
          <w:b/>
          <w:bCs/>
          <w:sz w:val="24"/>
          <w:szCs w:val="24"/>
        </w:rPr>
        <w:br/>
        <w:t>Gli interventi si articolano secondo le seguenti direttrici:</w:t>
      </w:r>
      <w:r w:rsidRPr="00816933">
        <w:rPr>
          <w:rFonts w:asciiTheme="minorHAnsi" w:hAnsiTheme="minorHAnsi" w:cstheme="minorHAnsi"/>
          <w:b/>
          <w:bCs/>
          <w:sz w:val="24"/>
          <w:szCs w:val="24"/>
        </w:rPr>
        <w:br/>
        <w:t>- equità economica (fiscalità generale, tributi locali, revisione dell’ISEE);</w:t>
      </w:r>
      <w:r w:rsidRPr="00816933">
        <w:rPr>
          <w:rFonts w:asciiTheme="minorHAnsi" w:hAnsiTheme="minorHAnsi" w:cstheme="minorHAnsi"/>
          <w:b/>
          <w:bCs/>
          <w:sz w:val="24"/>
          <w:szCs w:val="24"/>
        </w:rPr>
        <w:br/>
        <w:t>- politiche abitative per la famiglia;</w:t>
      </w:r>
      <w:r w:rsidRPr="00816933">
        <w:rPr>
          <w:rFonts w:asciiTheme="minorHAnsi" w:hAnsiTheme="minorHAnsi" w:cstheme="minorHAnsi"/>
          <w:b/>
          <w:bCs/>
          <w:sz w:val="24"/>
          <w:szCs w:val="24"/>
        </w:rPr>
        <w:br/>
        <w:t>- lavoro di cura familiare: servizi per la prima infanzia, congedi, tempi di cura e interventi sulla disabilità e non autosufficienza;</w:t>
      </w:r>
      <w:r w:rsidRPr="00816933">
        <w:rPr>
          <w:rFonts w:asciiTheme="minorHAnsi" w:hAnsiTheme="minorHAnsi" w:cstheme="minorHAnsi"/>
          <w:b/>
          <w:bCs/>
          <w:sz w:val="24"/>
          <w:szCs w:val="24"/>
        </w:rPr>
        <w:br/>
        <w:t>- pari opportunità e conciliazione tra famiglia e lavoro;</w:t>
      </w:r>
      <w:r w:rsidRPr="00816933">
        <w:rPr>
          <w:rFonts w:asciiTheme="minorHAnsi" w:hAnsiTheme="minorHAnsi" w:cstheme="minorHAnsi"/>
          <w:b/>
          <w:bCs/>
          <w:sz w:val="24"/>
          <w:szCs w:val="24"/>
        </w:rPr>
        <w:br/>
        <w:t>- privato sociale, terzo settore e reti associative familiari;</w:t>
      </w:r>
      <w:r w:rsidRPr="00816933">
        <w:rPr>
          <w:rFonts w:asciiTheme="minorHAnsi" w:hAnsiTheme="minorHAnsi" w:cstheme="minorHAnsi"/>
          <w:b/>
          <w:bCs/>
          <w:sz w:val="24"/>
          <w:szCs w:val="24"/>
        </w:rPr>
        <w:br/>
        <w:t>- servizi consultoriali e di informazione (consultori, mediazione familiare, centri per le famiglie);</w:t>
      </w:r>
      <w:r w:rsidRPr="00816933">
        <w:rPr>
          <w:rFonts w:asciiTheme="minorHAnsi" w:hAnsiTheme="minorHAnsi" w:cstheme="minorHAnsi"/>
          <w:b/>
          <w:bCs/>
          <w:sz w:val="24"/>
          <w:szCs w:val="24"/>
        </w:rPr>
        <w:br/>
        <w:t>- immigrazione (sostegni alle famiglie immigrate);</w:t>
      </w:r>
      <w:r w:rsidRPr="00816933">
        <w:rPr>
          <w:rFonts w:asciiTheme="minorHAnsi" w:hAnsiTheme="minorHAnsi" w:cstheme="minorHAnsi"/>
          <w:b/>
          <w:bCs/>
          <w:sz w:val="24"/>
          <w:szCs w:val="24"/>
        </w:rPr>
        <w:br/>
        <w:t>- alleanze locali per le famiglie;</w:t>
      </w:r>
      <w:r w:rsidRPr="00816933">
        <w:rPr>
          <w:rFonts w:asciiTheme="minorHAnsi" w:hAnsiTheme="minorHAnsi" w:cstheme="minorHAnsi"/>
          <w:b/>
          <w:bCs/>
          <w:sz w:val="24"/>
          <w:szCs w:val="24"/>
        </w:rPr>
        <w:br/>
        <w:t>- monitoraggio delle politiche familiari.</w:t>
      </w:r>
    </w:p>
    <w:p w14:paraId="65CB72DF" w14:textId="7116477B" w:rsidR="005211A2" w:rsidRDefault="002E6FDB" w:rsidP="005D15AA">
      <w:pPr>
        <w:tabs>
          <w:tab w:val="left" w:pos="0"/>
          <w:tab w:val="right" w:pos="2908"/>
        </w:tabs>
        <w:jc w:val="both"/>
        <w:rPr>
          <w:rFonts w:asciiTheme="minorHAnsi" w:hAnsiTheme="minorHAnsi" w:cstheme="minorHAnsi"/>
          <w:b/>
          <w:bCs/>
          <w:sz w:val="24"/>
          <w:szCs w:val="24"/>
        </w:rPr>
      </w:pPr>
      <w:r>
        <w:rPr>
          <w:rFonts w:asciiTheme="minorHAnsi" w:hAnsiTheme="minorHAnsi" w:cstheme="minorHAnsi"/>
          <w:b/>
          <w:bCs/>
          <w:sz w:val="24"/>
          <w:szCs w:val="24"/>
        </w:rPr>
        <w:lastRenderedPageBreak/>
        <w:t>FASE 2019-2021</w:t>
      </w:r>
    </w:p>
    <w:p w14:paraId="62E9F483" w14:textId="5E25D164" w:rsidR="004F465F" w:rsidRDefault="004F465F" w:rsidP="004F465F">
      <w:pPr>
        <w:tabs>
          <w:tab w:val="left" w:pos="0"/>
          <w:tab w:val="right" w:pos="2908"/>
        </w:tabs>
        <w:jc w:val="both"/>
        <w:rPr>
          <w:rFonts w:asciiTheme="minorHAnsi" w:hAnsiTheme="minorHAnsi" w:cstheme="minorHAnsi"/>
          <w:b/>
          <w:bCs/>
          <w:sz w:val="24"/>
          <w:szCs w:val="24"/>
          <w:shd w:val="clear" w:color="auto" w:fill="FFFFFF"/>
        </w:rPr>
      </w:pPr>
      <w:r w:rsidRPr="004F465F">
        <w:rPr>
          <w:rFonts w:asciiTheme="minorHAnsi" w:hAnsiTheme="minorHAnsi" w:cstheme="minorHAnsi"/>
          <w:b/>
          <w:bCs/>
          <w:sz w:val="24"/>
          <w:szCs w:val="24"/>
        </w:rPr>
        <w:t xml:space="preserve">Nel 2019, con l’insediamento del nuovo governo, </w:t>
      </w:r>
      <w:r>
        <w:rPr>
          <w:rFonts w:asciiTheme="minorHAnsi" w:hAnsiTheme="minorHAnsi" w:cstheme="minorHAnsi"/>
          <w:b/>
          <w:bCs/>
          <w:sz w:val="24"/>
          <w:szCs w:val="24"/>
        </w:rPr>
        <w:t>p</w:t>
      </w:r>
      <w:r w:rsidRPr="004F465F">
        <w:rPr>
          <w:rFonts w:asciiTheme="minorHAnsi" w:hAnsiTheme="minorHAnsi" w:cstheme="minorHAnsi"/>
          <w:b/>
          <w:bCs/>
          <w:sz w:val="24"/>
          <w:szCs w:val="24"/>
          <w:shd w:val="clear" w:color="auto" w:fill="FFFFFF"/>
        </w:rPr>
        <w:t xml:space="preserve">articolare attenzione è stata conferita allo </w:t>
      </w:r>
      <w:r>
        <w:rPr>
          <w:rFonts w:asciiTheme="minorHAnsi" w:hAnsiTheme="minorHAnsi" w:cstheme="minorHAnsi"/>
          <w:b/>
          <w:bCs/>
          <w:sz w:val="24"/>
          <w:szCs w:val="24"/>
          <w:shd w:val="clear" w:color="auto" w:fill="FFFFFF"/>
        </w:rPr>
        <w:t xml:space="preserve">svolgimento </w:t>
      </w:r>
      <w:r w:rsidRPr="004F465F">
        <w:rPr>
          <w:rFonts w:asciiTheme="minorHAnsi" w:hAnsiTheme="minorHAnsi" w:cstheme="minorHAnsi"/>
          <w:b/>
          <w:bCs/>
          <w:sz w:val="24"/>
          <w:szCs w:val="24"/>
          <w:shd w:val="clear" w:color="auto" w:fill="FFFFFF"/>
        </w:rPr>
        <w:t>di un impegnativo</w:t>
      </w:r>
      <w:r>
        <w:rPr>
          <w:rFonts w:asciiTheme="minorHAnsi" w:hAnsiTheme="minorHAnsi" w:cstheme="minorHAnsi"/>
          <w:b/>
          <w:bCs/>
          <w:sz w:val="24"/>
          <w:szCs w:val="24"/>
          <w:shd w:val="clear" w:color="auto" w:fill="FFFFFF"/>
        </w:rPr>
        <w:t xml:space="preserve"> </w:t>
      </w:r>
      <w:r w:rsidRPr="004F465F">
        <w:rPr>
          <w:rFonts w:asciiTheme="minorHAnsi" w:hAnsiTheme="minorHAnsi" w:cstheme="minorHAnsi"/>
          <w:b/>
          <w:bCs/>
          <w:sz w:val="24"/>
          <w:szCs w:val="24"/>
          <w:shd w:val="clear" w:color="auto" w:fill="FFFFFF"/>
        </w:rPr>
        <w:t>programma di politiche social</w:t>
      </w:r>
      <w:r>
        <w:rPr>
          <w:rFonts w:asciiTheme="minorHAnsi" w:hAnsiTheme="minorHAnsi" w:cstheme="minorHAnsi"/>
          <w:b/>
          <w:bCs/>
          <w:sz w:val="24"/>
          <w:szCs w:val="24"/>
          <w:shd w:val="clear" w:color="auto" w:fill="FFFFFF"/>
        </w:rPr>
        <w:t>i</w:t>
      </w:r>
      <w:r w:rsidRPr="004F465F">
        <w:rPr>
          <w:rFonts w:asciiTheme="minorHAnsi" w:hAnsiTheme="minorHAnsi" w:cstheme="minorHAnsi"/>
          <w:b/>
          <w:bCs/>
          <w:sz w:val="24"/>
          <w:szCs w:val="24"/>
          <w:shd w:val="clear" w:color="auto" w:fill="FFFFFF"/>
        </w:rPr>
        <w:t>, definendone le priorità.</w:t>
      </w:r>
      <w:r w:rsidRPr="004F465F">
        <w:rPr>
          <w:rFonts w:asciiTheme="minorHAnsi" w:hAnsiTheme="minorHAnsi" w:cstheme="minorHAnsi"/>
          <w:b/>
          <w:bCs/>
          <w:sz w:val="24"/>
          <w:szCs w:val="24"/>
        </w:rPr>
        <w:br/>
      </w:r>
      <w:r w:rsidRPr="004F465F">
        <w:rPr>
          <w:rFonts w:asciiTheme="minorHAnsi" w:hAnsiTheme="minorHAnsi" w:cstheme="minorHAnsi"/>
          <w:b/>
          <w:bCs/>
          <w:sz w:val="24"/>
          <w:szCs w:val="24"/>
          <w:shd w:val="clear" w:color="auto" w:fill="FFFFFF"/>
        </w:rPr>
        <w:t xml:space="preserve">La prima priorità è </w:t>
      </w:r>
      <w:r w:rsidR="00D01D4C">
        <w:rPr>
          <w:rFonts w:asciiTheme="minorHAnsi" w:hAnsiTheme="minorHAnsi" w:cstheme="minorHAnsi"/>
          <w:b/>
          <w:bCs/>
          <w:sz w:val="24"/>
          <w:szCs w:val="24"/>
          <w:shd w:val="clear" w:color="auto" w:fill="FFFFFF"/>
        </w:rPr>
        <w:t xml:space="preserve">stata </w:t>
      </w:r>
      <w:r w:rsidRPr="004F465F">
        <w:rPr>
          <w:rFonts w:asciiTheme="minorHAnsi" w:hAnsiTheme="minorHAnsi" w:cstheme="minorHAnsi"/>
          <w:b/>
          <w:bCs/>
          <w:sz w:val="24"/>
          <w:szCs w:val="24"/>
          <w:shd w:val="clear" w:color="auto" w:fill="FFFFFF"/>
        </w:rPr>
        <w:t>riferita alle politiche rivolte alla famiglia, riconoscendone il ruolo</w:t>
      </w:r>
      <w:r>
        <w:rPr>
          <w:rFonts w:asciiTheme="minorHAnsi" w:hAnsiTheme="minorHAnsi" w:cstheme="minorHAnsi"/>
          <w:b/>
          <w:bCs/>
          <w:sz w:val="24"/>
          <w:szCs w:val="24"/>
          <w:shd w:val="clear" w:color="auto" w:fill="FFFFFF"/>
        </w:rPr>
        <w:t xml:space="preserve"> </w:t>
      </w:r>
      <w:r w:rsidRPr="004F465F">
        <w:rPr>
          <w:rFonts w:asciiTheme="minorHAnsi" w:hAnsiTheme="minorHAnsi" w:cstheme="minorHAnsi"/>
          <w:b/>
          <w:bCs/>
          <w:sz w:val="24"/>
          <w:szCs w:val="24"/>
          <w:shd w:val="clear" w:color="auto" w:fill="FFFFFF"/>
        </w:rPr>
        <w:t xml:space="preserve">sociale </w:t>
      </w:r>
      <w:r>
        <w:rPr>
          <w:rFonts w:asciiTheme="minorHAnsi" w:hAnsiTheme="minorHAnsi" w:cstheme="minorHAnsi"/>
          <w:b/>
          <w:bCs/>
          <w:sz w:val="24"/>
          <w:szCs w:val="24"/>
          <w:shd w:val="clear" w:color="auto" w:fill="FFFFFF"/>
        </w:rPr>
        <w:t xml:space="preserve"> </w:t>
      </w:r>
      <w:r w:rsidRPr="004F465F">
        <w:rPr>
          <w:rFonts w:asciiTheme="minorHAnsi" w:hAnsiTheme="minorHAnsi" w:cstheme="minorHAnsi"/>
          <w:b/>
          <w:bCs/>
          <w:sz w:val="24"/>
          <w:szCs w:val="24"/>
          <w:shd w:val="clear" w:color="auto" w:fill="FFFFFF"/>
        </w:rPr>
        <w:t xml:space="preserve">insostituibile, con lo svolgimento di interventi integrati, che si fondano sull’istituzione </w:t>
      </w:r>
      <w:r>
        <w:rPr>
          <w:rFonts w:asciiTheme="minorHAnsi" w:hAnsiTheme="minorHAnsi" w:cstheme="minorHAnsi"/>
          <w:b/>
          <w:bCs/>
          <w:sz w:val="24"/>
          <w:szCs w:val="24"/>
          <w:shd w:val="clear" w:color="auto" w:fill="FFFFFF"/>
        </w:rPr>
        <w:t xml:space="preserve"> d</w:t>
      </w:r>
      <w:r w:rsidRPr="004F465F">
        <w:rPr>
          <w:rFonts w:asciiTheme="minorHAnsi" w:hAnsiTheme="minorHAnsi" w:cstheme="minorHAnsi"/>
          <w:b/>
          <w:bCs/>
          <w:sz w:val="24"/>
          <w:szCs w:val="24"/>
          <w:shd w:val="clear" w:color="auto" w:fill="FFFFFF"/>
        </w:rPr>
        <w:t>ell’assegno unico, e l’erogazione di servizi, condizioni di crescita</w:t>
      </w:r>
      <w:r>
        <w:rPr>
          <w:rFonts w:asciiTheme="minorHAnsi" w:hAnsiTheme="minorHAnsi" w:cstheme="minorHAnsi"/>
          <w:b/>
          <w:bCs/>
          <w:sz w:val="24"/>
          <w:szCs w:val="24"/>
          <w:shd w:val="clear" w:color="auto" w:fill="FFFFFF"/>
        </w:rPr>
        <w:t xml:space="preserve"> </w:t>
      </w:r>
      <w:r w:rsidRPr="004F465F">
        <w:rPr>
          <w:rFonts w:asciiTheme="minorHAnsi" w:hAnsiTheme="minorHAnsi" w:cstheme="minorHAnsi"/>
          <w:b/>
          <w:bCs/>
          <w:sz w:val="24"/>
          <w:szCs w:val="24"/>
          <w:shd w:val="clear" w:color="auto" w:fill="FFFFFF"/>
        </w:rPr>
        <w:t>adeguate, a sostegno della natalità.</w:t>
      </w:r>
      <w:r>
        <w:rPr>
          <w:rFonts w:asciiTheme="minorHAnsi" w:hAnsiTheme="minorHAnsi" w:cstheme="minorHAnsi"/>
          <w:b/>
          <w:bCs/>
          <w:sz w:val="24"/>
          <w:szCs w:val="24"/>
          <w:shd w:val="clear" w:color="auto" w:fill="FFFFFF"/>
        </w:rPr>
        <w:t xml:space="preserve"> </w:t>
      </w:r>
      <w:r w:rsidRPr="004F465F">
        <w:rPr>
          <w:rFonts w:asciiTheme="minorHAnsi" w:hAnsiTheme="minorHAnsi" w:cstheme="minorHAnsi"/>
          <w:b/>
          <w:bCs/>
          <w:sz w:val="24"/>
          <w:szCs w:val="24"/>
          <w:shd w:val="clear" w:color="auto" w:fill="FFFFFF"/>
        </w:rPr>
        <w:t>In tale contesto gli asili nido devono configurarsi non più come servizi a domanda</w:t>
      </w:r>
      <w:r w:rsidRPr="004F465F">
        <w:rPr>
          <w:rFonts w:asciiTheme="minorHAnsi" w:hAnsiTheme="minorHAnsi" w:cstheme="minorHAnsi"/>
          <w:b/>
          <w:bCs/>
          <w:sz w:val="24"/>
          <w:szCs w:val="24"/>
        </w:rPr>
        <w:br/>
      </w:r>
      <w:r w:rsidRPr="004F465F">
        <w:rPr>
          <w:rFonts w:asciiTheme="minorHAnsi" w:hAnsiTheme="minorHAnsi" w:cstheme="minorHAnsi"/>
          <w:b/>
          <w:bCs/>
          <w:sz w:val="24"/>
          <w:szCs w:val="24"/>
          <w:shd w:val="clear" w:color="auto" w:fill="FFFFFF"/>
        </w:rPr>
        <w:t>individuale, ma come vero e proprio diritto delle famiglie a usufruirne.</w:t>
      </w:r>
    </w:p>
    <w:p w14:paraId="162A90CF" w14:textId="40D40CC9" w:rsidR="002E6FDB" w:rsidRDefault="002E6FDB" w:rsidP="002E6FDB">
      <w:pPr>
        <w:spacing w:line="20" w:lineRule="atLeast"/>
        <w:jc w:val="both"/>
        <w:rPr>
          <w:rFonts w:asciiTheme="minorHAnsi" w:hAnsiTheme="minorHAnsi"/>
          <w:b/>
          <w:bCs/>
          <w:sz w:val="24"/>
          <w:szCs w:val="24"/>
        </w:rPr>
      </w:pPr>
      <w:r>
        <w:rPr>
          <w:rFonts w:asciiTheme="minorHAnsi" w:hAnsiTheme="minorHAnsi"/>
          <w:b/>
          <w:bCs/>
          <w:sz w:val="24"/>
          <w:szCs w:val="24"/>
        </w:rPr>
        <w:t>FASE 2021-2022</w:t>
      </w:r>
    </w:p>
    <w:p w14:paraId="66D923F9" w14:textId="5037162C" w:rsidR="00B908B3" w:rsidRPr="002E6FDB" w:rsidRDefault="00D802BE" w:rsidP="002E6FDB">
      <w:pPr>
        <w:spacing w:line="20" w:lineRule="atLeast"/>
        <w:jc w:val="both"/>
        <w:rPr>
          <w:rFonts w:asciiTheme="minorHAnsi" w:hAnsiTheme="minorHAnsi"/>
          <w:b/>
          <w:bCs/>
          <w:sz w:val="24"/>
          <w:szCs w:val="24"/>
        </w:rPr>
      </w:pPr>
      <w:r>
        <w:rPr>
          <w:rFonts w:asciiTheme="minorHAnsi" w:hAnsiTheme="minorHAnsi"/>
          <w:b/>
          <w:bCs/>
          <w:sz w:val="24"/>
          <w:szCs w:val="24"/>
        </w:rPr>
        <w:t xml:space="preserve">Con l’avvicendarsi di un nuovo governo, sono stati confermati gli impegni assunti dal precedente, e con la </w:t>
      </w:r>
      <w:r w:rsidR="00B908B3" w:rsidRPr="002E6FDB">
        <w:rPr>
          <w:rFonts w:asciiTheme="minorHAnsi" w:hAnsiTheme="minorHAnsi"/>
          <w:b/>
          <w:bCs/>
          <w:sz w:val="24"/>
          <w:szCs w:val="24"/>
        </w:rPr>
        <w:t xml:space="preserve">LEGGE 01/04/2021, n. 46, </w:t>
      </w:r>
      <w:r>
        <w:rPr>
          <w:rFonts w:asciiTheme="minorHAnsi" w:hAnsiTheme="minorHAnsi"/>
          <w:b/>
          <w:bCs/>
          <w:sz w:val="24"/>
          <w:szCs w:val="24"/>
        </w:rPr>
        <w:t xml:space="preserve"> è stata approvata la </w:t>
      </w:r>
      <w:r w:rsidR="00B908B3" w:rsidRPr="002E6FDB">
        <w:rPr>
          <w:rFonts w:asciiTheme="minorHAnsi" w:hAnsiTheme="minorHAnsi"/>
          <w:b/>
          <w:bCs/>
          <w:sz w:val="24"/>
          <w:szCs w:val="24"/>
        </w:rPr>
        <w:t xml:space="preserve"> Delega al Governo per riordinare, semplificare e potenziare le misure a sostegno dei figli a carico attraverso l’assegno unico e universale</w:t>
      </w:r>
      <w:r>
        <w:rPr>
          <w:rFonts w:asciiTheme="minorHAnsi" w:hAnsiTheme="minorHAnsi"/>
          <w:b/>
          <w:bCs/>
          <w:sz w:val="24"/>
          <w:szCs w:val="24"/>
        </w:rPr>
        <w:t>.</w:t>
      </w:r>
    </w:p>
    <w:p w14:paraId="3345E4AB" w14:textId="7ED26AF1" w:rsidR="00B908B3" w:rsidRPr="002E6FDB" w:rsidRDefault="00D802BE" w:rsidP="002E6FDB">
      <w:pPr>
        <w:spacing w:line="20" w:lineRule="atLeast"/>
        <w:jc w:val="both"/>
        <w:rPr>
          <w:rFonts w:asciiTheme="minorHAnsi" w:hAnsiTheme="minorHAnsi"/>
          <w:b/>
          <w:bCs/>
          <w:sz w:val="24"/>
          <w:szCs w:val="24"/>
        </w:rPr>
      </w:pPr>
      <w:r>
        <w:rPr>
          <w:rFonts w:asciiTheme="minorHAnsi" w:hAnsiTheme="minorHAnsi"/>
          <w:b/>
          <w:bCs/>
          <w:sz w:val="24"/>
          <w:szCs w:val="24"/>
        </w:rPr>
        <w:t xml:space="preserve">Tale provvedimento è finalizzato a </w:t>
      </w:r>
      <w:r w:rsidR="00B908B3" w:rsidRPr="002E6FDB">
        <w:rPr>
          <w:rFonts w:asciiTheme="minorHAnsi" w:hAnsiTheme="minorHAnsi"/>
          <w:b/>
          <w:bCs/>
          <w:sz w:val="24"/>
          <w:szCs w:val="24"/>
        </w:rPr>
        <w:t xml:space="preserve"> favorire la natalità,  sostenere la genitorialità e  promuovere l’occupazione, in particolare femminile,</w:t>
      </w:r>
      <w:r>
        <w:rPr>
          <w:rFonts w:asciiTheme="minorHAnsi" w:hAnsiTheme="minorHAnsi"/>
          <w:b/>
          <w:bCs/>
          <w:sz w:val="24"/>
          <w:szCs w:val="24"/>
        </w:rPr>
        <w:t xml:space="preserve"> ed </w:t>
      </w:r>
      <w:r w:rsidR="00B908B3" w:rsidRPr="002E6FDB">
        <w:rPr>
          <w:rFonts w:asciiTheme="minorHAnsi" w:hAnsiTheme="minorHAnsi"/>
          <w:b/>
          <w:bCs/>
          <w:sz w:val="24"/>
          <w:szCs w:val="24"/>
        </w:rPr>
        <w:t xml:space="preserve"> il Governo è delegato ad adottare, entro dodici mesi dalla data di entrata in vigore della legge, uno o più decreti legislativi per riordinare, semplificare e potenziare le misure a sostegno dei figli a carico attraverso l’assegno unico e universale. </w:t>
      </w:r>
    </w:p>
    <w:p w14:paraId="2109F5FD" w14:textId="288A5BE5" w:rsidR="00D802BE" w:rsidRDefault="00D802BE" w:rsidP="002E6FDB">
      <w:pPr>
        <w:spacing w:line="20" w:lineRule="atLeast"/>
        <w:jc w:val="both"/>
        <w:rPr>
          <w:rFonts w:asciiTheme="minorHAnsi" w:hAnsiTheme="minorHAnsi" w:cstheme="minorHAnsi"/>
          <w:b/>
          <w:bCs/>
          <w:sz w:val="24"/>
          <w:szCs w:val="24"/>
        </w:rPr>
      </w:pPr>
      <w:r>
        <w:rPr>
          <w:rFonts w:asciiTheme="minorHAnsi" w:hAnsiTheme="minorHAnsi"/>
          <w:b/>
          <w:bCs/>
          <w:sz w:val="24"/>
          <w:szCs w:val="24"/>
        </w:rPr>
        <w:t xml:space="preserve">Nel quadro di una ulteriore attenzione alla ripresa di politiche volte a riconoscere la famiglia quale destinataria di specifici benefici, con il </w:t>
      </w:r>
      <w:r w:rsidR="00B908B3" w:rsidRPr="002E6FDB">
        <w:rPr>
          <w:rFonts w:asciiTheme="minorHAnsi" w:hAnsiTheme="minorHAnsi" w:cstheme="minorHAnsi"/>
          <w:b/>
          <w:bCs/>
          <w:sz w:val="24"/>
          <w:szCs w:val="24"/>
        </w:rPr>
        <w:t>DECRETO-LEGGE 08/06/ 2021 , n. 79</w:t>
      </w:r>
      <w:r>
        <w:rPr>
          <w:rFonts w:asciiTheme="minorHAnsi" w:hAnsiTheme="minorHAnsi" w:cstheme="minorHAnsi"/>
          <w:b/>
          <w:bCs/>
          <w:sz w:val="24"/>
          <w:szCs w:val="24"/>
        </w:rPr>
        <w:t xml:space="preserve"> (convertito in </w:t>
      </w:r>
      <w:r w:rsidRPr="002E6FDB">
        <w:rPr>
          <w:rFonts w:asciiTheme="minorHAnsi" w:hAnsiTheme="minorHAnsi"/>
          <w:b/>
          <w:bCs/>
          <w:sz w:val="24"/>
          <w:szCs w:val="24"/>
        </w:rPr>
        <w:t>LEGGE 30/07/2021, n. 112</w:t>
      </w:r>
      <w:r>
        <w:rPr>
          <w:rFonts w:asciiTheme="minorHAnsi" w:hAnsiTheme="minorHAnsi"/>
          <w:b/>
          <w:bCs/>
          <w:sz w:val="24"/>
          <w:szCs w:val="24"/>
        </w:rPr>
        <w:t>)</w:t>
      </w:r>
      <w:r w:rsidR="00B908B3" w:rsidRPr="002E6FDB">
        <w:rPr>
          <w:rFonts w:asciiTheme="minorHAnsi" w:hAnsiTheme="minorHAnsi" w:cstheme="minorHAnsi"/>
          <w:b/>
          <w:bCs/>
          <w:sz w:val="24"/>
          <w:szCs w:val="24"/>
        </w:rPr>
        <w:t xml:space="preserve">, </w:t>
      </w:r>
      <w:r w:rsidR="003F6A55">
        <w:rPr>
          <w:rFonts w:asciiTheme="minorHAnsi" w:hAnsiTheme="minorHAnsi" w:cstheme="minorHAnsi"/>
          <w:b/>
          <w:bCs/>
          <w:sz w:val="24"/>
          <w:szCs w:val="24"/>
        </w:rPr>
        <w:t>“</w:t>
      </w:r>
      <w:r w:rsidR="00B908B3" w:rsidRPr="002E6FDB">
        <w:rPr>
          <w:rFonts w:asciiTheme="minorHAnsi" w:hAnsiTheme="minorHAnsi" w:cstheme="minorHAnsi"/>
          <w:b/>
          <w:bCs/>
          <w:sz w:val="24"/>
          <w:szCs w:val="24"/>
        </w:rPr>
        <w:t>Misure urgenti in materia di assegno temporaneo per figli minori</w:t>
      </w:r>
      <w:r w:rsidR="003F6A55">
        <w:rPr>
          <w:rFonts w:asciiTheme="minorHAnsi" w:hAnsiTheme="minorHAnsi" w:cstheme="minorHAnsi"/>
          <w:b/>
          <w:bCs/>
          <w:sz w:val="24"/>
          <w:szCs w:val="24"/>
        </w:rPr>
        <w:t>”</w:t>
      </w:r>
      <w:r>
        <w:rPr>
          <w:rFonts w:asciiTheme="minorHAnsi" w:hAnsiTheme="minorHAnsi" w:cstheme="minorHAnsi"/>
          <w:b/>
          <w:bCs/>
          <w:sz w:val="24"/>
          <w:szCs w:val="24"/>
        </w:rPr>
        <w:t>, n</w:t>
      </w:r>
      <w:r w:rsidR="00B908B3" w:rsidRPr="002E6FDB">
        <w:rPr>
          <w:rFonts w:asciiTheme="minorHAnsi" w:hAnsiTheme="minorHAnsi" w:cstheme="minorHAnsi"/>
          <w:b/>
          <w:bCs/>
          <w:sz w:val="24"/>
          <w:szCs w:val="24"/>
        </w:rPr>
        <w:t xml:space="preserve">elle more dell’adozione dei  decreti legislativi attuativi Legge 46/2021, sono </w:t>
      </w:r>
      <w:r>
        <w:rPr>
          <w:rFonts w:asciiTheme="minorHAnsi" w:hAnsiTheme="minorHAnsi" w:cstheme="minorHAnsi"/>
          <w:b/>
          <w:bCs/>
          <w:sz w:val="24"/>
          <w:szCs w:val="24"/>
        </w:rPr>
        <w:t>state i</w:t>
      </w:r>
      <w:r w:rsidR="00B908B3" w:rsidRPr="002E6FDB">
        <w:rPr>
          <w:rFonts w:asciiTheme="minorHAnsi" w:hAnsiTheme="minorHAnsi" w:cstheme="minorHAnsi"/>
          <w:b/>
          <w:bCs/>
          <w:sz w:val="24"/>
          <w:szCs w:val="24"/>
        </w:rPr>
        <w:t>ntrodotte misure immediate per  sostenere la genitorialità e favorire la natalità</w:t>
      </w:r>
      <w:r>
        <w:rPr>
          <w:rFonts w:asciiTheme="minorHAnsi" w:hAnsiTheme="minorHAnsi" w:cstheme="minorHAnsi"/>
          <w:b/>
          <w:bCs/>
          <w:sz w:val="24"/>
          <w:szCs w:val="24"/>
        </w:rPr>
        <w:t>.</w:t>
      </w:r>
    </w:p>
    <w:p w14:paraId="1DBC93FE" w14:textId="1BE53288" w:rsidR="00B908B3" w:rsidRPr="00D802BE" w:rsidRDefault="00B908B3" w:rsidP="002E6FDB">
      <w:pPr>
        <w:spacing w:line="20" w:lineRule="atLeast"/>
        <w:jc w:val="both"/>
        <w:rPr>
          <w:rFonts w:asciiTheme="minorHAnsi" w:hAnsiTheme="minorHAnsi" w:cstheme="minorHAnsi"/>
          <w:b/>
          <w:bCs/>
          <w:sz w:val="24"/>
          <w:szCs w:val="24"/>
        </w:rPr>
      </w:pPr>
      <w:r w:rsidRPr="002E6FDB">
        <w:rPr>
          <w:rFonts w:asciiTheme="minorHAnsi" w:hAnsiTheme="minorHAnsi" w:cstheme="minorHAnsi"/>
          <w:b/>
          <w:bCs/>
          <w:sz w:val="24"/>
          <w:szCs w:val="24"/>
        </w:rPr>
        <w:t xml:space="preserve">Viene riconosciuto  un «assegno temporaneo per figli minori» dal 1 luglio al 31 dicembre 2021 </w:t>
      </w:r>
      <w:r w:rsidRPr="00D802BE">
        <w:rPr>
          <w:rFonts w:asciiTheme="minorHAnsi" w:hAnsiTheme="minorHAnsi" w:cstheme="minorHAnsi"/>
          <w:b/>
          <w:bCs/>
          <w:sz w:val="24"/>
          <w:szCs w:val="24"/>
        </w:rPr>
        <w:t xml:space="preserve">(ISEE inferiore a 50.000,00 euro), </w:t>
      </w:r>
      <w:r w:rsidRPr="00D802BE">
        <w:rPr>
          <w:rFonts w:asciiTheme="minorHAnsi" w:hAnsiTheme="minorHAnsi" w:cstheme="minorHAnsi"/>
          <w:b/>
          <w:bCs/>
          <w:sz w:val="24"/>
          <w:szCs w:val="24"/>
          <w:shd w:val="clear" w:color="auto" w:fill="FFFFFF"/>
        </w:rPr>
        <w:t xml:space="preserve"> pari a </w:t>
      </w:r>
      <w:r w:rsidRPr="00D802BE">
        <w:rPr>
          <w:rStyle w:val="Enfasigrassetto"/>
          <w:rFonts w:asciiTheme="minorHAnsi" w:hAnsiTheme="minorHAnsi" w:cstheme="minorHAnsi"/>
          <w:sz w:val="24"/>
          <w:szCs w:val="24"/>
          <w:shd w:val="clear" w:color="auto" w:fill="FFFFFF"/>
        </w:rPr>
        <w:t>1.056 euro per nucleo</w:t>
      </w:r>
      <w:r w:rsidRPr="00D802BE">
        <w:rPr>
          <w:rFonts w:asciiTheme="minorHAnsi" w:hAnsiTheme="minorHAnsi" w:cstheme="minorHAnsi"/>
          <w:b/>
          <w:bCs/>
          <w:sz w:val="24"/>
          <w:szCs w:val="24"/>
          <w:shd w:val="clear" w:color="auto" w:fill="FFFFFF"/>
        </w:rPr>
        <w:t> e </w:t>
      </w:r>
      <w:r w:rsidRPr="00D802BE">
        <w:rPr>
          <w:rStyle w:val="Enfasigrassetto"/>
          <w:rFonts w:asciiTheme="minorHAnsi" w:hAnsiTheme="minorHAnsi" w:cstheme="minorHAnsi"/>
          <w:sz w:val="24"/>
          <w:szCs w:val="24"/>
          <w:shd w:val="clear" w:color="auto" w:fill="FFFFFF"/>
        </w:rPr>
        <w:t>674 euro per figlio. E’ compatibile con  RdC.</w:t>
      </w:r>
      <w:r w:rsidRPr="00D802BE">
        <w:rPr>
          <w:rFonts w:asciiTheme="minorHAnsi" w:hAnsiTheme="minorHAnsi" w:cstheme="minorHAnsi"/>
          <w:b/>
          <w:bCs/>
          <w:sz w:val="24"/>
          <w:szCs w:val="24"/>
        </w:rPr>
        <w:t xml:space="preserve">  e eventuali  misure per figli a carico da Regione o Comuni.</w:t>
      </w:r>
    </w:p>
    <w:p w14:paraId="4906CACB" w14:textId="77777777" w:rsidR="00C207AE" w:rsidRPr="002E6FDB" w:rsidRDefault="00C207AE" w:rsidP="002E6FDB">
      <w:pPr>
        <w:spacing w:line="20" w:lineRule="atLeast"/>
        <w:jc w:val="both"/>
        <w:rPr>
          <w:rFonts w:asciiTheme="minorHAnsi" w:hAnsiTheme="minorHAnsi" w:cstheme="minorHAnsi"/>
          <w:b/>
          <w:bCs/>
          <w:sz w:val="24"/>
          <w:szCs w:val="24"/>
        </w:rPr>
      </w:pPr>
      <w:r w:rsidRPr="002E6FDB">
        <w:rPr>
          <w:rStyle w:val="Enfasigrassetto"/>
          <w:rFonts w:asciiTheme="minorHAnsi" w:hAnsiTheme="minorHAnsi" w:cstheme="minorHAnsi"/>
          <w:color w:val="333333"/>
          <w:sz w:val="24"/>
          <w:szCs w:val="24"/>
          <w:shd w:val="clear" w:color="auto" w:fill="FFFFFF"/>
        </w:rPr>
        <w:t>E’ compatibile con  RdC.</w:t>
      </w:r>
    </w:p>
    <w:p w14:paraId="1883B49B" w14:textId="4ABFE0FA" w:rsidR="00C207AE" w:rsidRPr="002E6FDB" w:rsidRDefault="00AF754B" w:rsidP="002E6FDB">
      <w:pPr>
        <w:spacing w:line="20" w:lineRule="atLeast"/>
        <w:jc w:val="both"/>
        <w:rPr>
          <w:rFonts w:asciiTheme="minorHAnsi" w:hAnsiTheme="minorHAnsi"/>
          <w:b/>
          <w:bCs/>
          <w:sz w:val="24"/>
          <w:szCs w:val="24"/>
        </w:rPr>
      </w:pPr>
      <w:r>
        <w:rPr>
          <w:rFonts w:asciiTheme="minorHAnsi" w:hAnsiTheme="minorHAnsi"/>
          <w:b/>
          <w:bCs/>
          <w:sz w:val="24"/>
          <w:szCs w:val="24"/>
        </w:rPr>
        <w:t xml:space="preserve">Con il </w:t>
      </w:r>
      <w:r w:rsidR="00C207AE" w:rsidRPr="002E6FDB">
        <w:rPr>
          <w:rFonts w:asciiTheme="minorHAnsi" w:hAnsiTheme="minorHAnsi"/>
          <w:b/>
          <w:bCs/>
          <w:sz w:val="24"/>
          <w:szCs w:val="24"/>
        </w:rPr>
        <w:t>DECRETO LEGISLATIVO 21/12/2021, n. 230</w:t>
      </w:r>
      <w:r w:rsidR="00DF0A50">
        <w:rPr>
          <w:rFonts w:asciiTheme="minorHAnsi" w:hAnsiTheme="minorHAnsi"/>
          <w:b/>
          <w:bCs/>
          <w:sz w:val="24"/>
          <w:szCs w:val="24"/>
        </w:rPr>
        <w:t xml:space="preserve">, </w:t>
      </w:r>
      <w:r w:rsidR="00C207AE" w:rsidRPr="002E6FDB">
        <w:rPr>
          <w:rFonts w:asciiTheme="minorHAnsi" w:hAnsiTheme="minorHAnsi"/>
          <w:b/>
          <w:bCs/>
          <w:sz w:val="24"/>
          <w:szCs w:val="24"/>
        </w:rPr>
        <w:t>Istituzione dell’assegno unico e universale per i figli a carico, in attuazione della delega conferita al Governo ai sensi della legge 1° aprile 2021, n. 46</w:t>
      </w:r>
      <w:r>
        <w:rPr>
          <w:rFonts w:asciiTheme="minorHAnsi" w:hAnsiTheme="minorHAnsi"/>
          <w:b/>
          <w:bCs/>
          <w:sz w:val="24"/>
          <w:szCs w:val="24"/>
        </w:rPr>
        <w:t xml:space="preserve">, è stato disposto che a </w:t>
      </w:r>
      <w:r w:rsidR="00C207AE" w:rsidRPr="002E6FDB">
        <w:rPr>
          <w:rFonts w:asciiTheme="minorHAnsi" w:hAnsiTheme="minorHAnsi"/>
          <w:b/>
          <w:bCs/>
          <w:sz w:val="24"/>
          <w:szCs w:val="24"/>
        </w:rPr>
        <w:t xml:space="preserve"> decorrere dal 1° marzo 2022 è istituito l’assegno unico e universale per i figli a carico, che costituisce un beneficio economico attribuito, su base mensile, per il periodo compreso tra marzo di ciascun anno e febbraio dell’anno successivo, ai nuclei familiari sulla base della condizione economica del nucleo, in base all’indicatore della situazione economica equivalente (ISEE) </w:t>
      </w:r>
    </w:p>
    <w:p w14:paraId="32DCBFED" w14:textId="452B3737" w:rsidR="00C207AE" w:rsidRPr="002E6FDB" w:rsidRDefault="00AF754B" w:rsidP="002E6FDB">
      <w:pPr>
        <w:spacing w:line="20" w:lineRule="atLeast"/>
        <w:jc w:val="both"/>
        <w:rPr>
          <w:rFonts w:asciiTheme="minorHAnsi" w:hAnsiTheme="minorHAnsi"/>
          <w:b/>
          <w:bCs/>
          <w:sz w:val="24"/>
          <w:szCs w:val="24"/>
        </w:rPr>
      </w:pPr>
      <w:r>
        <w:rPr>
          <w:rFonts w:asciiTheme="minorHAnsi" w:hAnsiTheme="minorHAnsi"/>
          <w:b/>
          <w:bCs/>
          <w:sz w:val="24"/>
          <w:szCs w:val="24"/>
        </w:rPr>
        <w:t xml:space="preserve">Infine con la </w:t>
      </w:r>
      <w:r w:rsidR="00C207AE" w:rsidRPr="002E6FDB">
        <w:rPr>
          <w:rFonts w:asciiTheme="minorHAnsi" w:hAnsiTheme="minorHAnsi"/>
          <w:b/>
          <w:bCs/>
          <w:sz w:val="24"/>
          <w:szCs w:val="24"/>
        </w:rPr>
        <w:t>LEGGE 07/04/2022, n. 32,  Deleghe al Governo per il sostegno e la valorizzazione della famiglia</w:t>
      </w:r>
      <w:r>
        <w:rPr>
          <w:rFonts w:asciiTheme="minorHAnsi" w:hAnsiTheme="minorHAnsi"/>
          <w:b/>
          <w:bCs/>
          <w:sz w:val="24"/>
          <w:szCs w:val="24"/>
        </w:rPr>
        <w:t xml:space="preserve">, </w:t>
      </w:r>
      <w:bookmarkStart w:id="6" w:name="_Hlk102207342"/>
      <w:r w:rsidR="00C207AE" w:rsidRPr="002E6FDB">
        <w:rPr>
          <w:rFonts w:asciiTheme="minorHAnsi" w:hAnsiTheme="minorHAnsi"/>
          <w:b/>
          <w:bCs/>
          <w:sz w:val="24"/>
          <w:szCs w:val="24"/>
        </w:rPr>
        <w:t xml:space="preserve"> </w:t>
      </w:r>
      <w:r>
        <w:rPr>
          <w:rFonts w:asciiTheme="minorHAnsi" w:hAnsiTheme="minorHAnsi"/>
          <w:b/>
          <w:bCs/>
          <w:sz w:val="24"/>
          <w:szCs w:val="24"/>
        </w:rPr>
        <w:t xml:space="preserve">lo stesso è tenuto  a disporre specifici decreti legislativi </w:t>
      </w:r>
      <w:r w:rsidR="00C207AE" w:rsidRPr="002E6FDB">
        <w:rPr>
          <w:rFonts w:asciiTheme="minorHAnsi" w:hAnsiTheme="minorHAnsi"/>
          <w:b/>
          <w:bCs/>
          <w:sz w:val="24"/>
          <w:szCs w:val="24"/>
        </w:rPr>
        <w:t xml:space="preserve"> per l’adozione, il riordino e  potenziamento di disposizioni volte a sostenere la genitorialità e la funzione sociale ed educativa delle famiglie, per contrastare la denatalità,  valorizzare la crescita armoniosa e inclusiva dei bambini e dei giovani,  sostenere l’indipendenza e l’autonomia finanziaria dei giovani nonché  favorire la conciliazione della vita familiare con il lavoro di entrambi i genitori e sostenere, in particolare, il lavoro femminile</w:t>
      </w:r>
      <w:bookmarkEnd w:id="6"/>
      <w:r w:rsidR="00C207AE" w:rsidRPr="002E6FDB">
        <w:rPr>
          <w:rFonts w:asciiTheme="minorHAnsi" w:hAnsiTheme="minorHAnsi"/>
          <w:b/>
          <w:bCs/>
          <w:sz w:val="24"/>
          <w:szCs w:val="24"/>
        </w:rPr>
        <w:t>.</w:t>
      </w:r>
    </w:p>
    <w:p w14:paraId="0531AB16" w14:textId="77777777" w:rsidR="005D15AA" w:rsidRPr="009211CC" w:rsidRDefault="005D15AA" w:rsidP="005D15AA">
      <w:pPr>
        <w:pStyle w:val="Titolo1"/>
        <w:rPr>
          <w:rFonts w:asciiTheme="minorHAnsi" w:hAnsiTheme="minorHAnsi" w:cstheme="minorHAnsi"/>
          <w:szCs w:val="24"/>
        </w:rPr>
      </w:pPr>
      <w:r w:rsidRPr="009211CC">
        <w:rPr>
          <w:rFonts w:asciiTheme="minorHAnsi" w:hAnsiTheme="minorHAnsi" w:cstheme="minorHAnsi"/>
          <w:szCs w:val="24"/>
        </w:rPr>
        <w:t xml:space="preserve">OSSERVAZIONI </w:t>
      </w:r>
    </w:p>
    <w:p w14:paraId="5D7D0EA8" w14:textId="720C4235" w:rsidR="005D15AA" w:rsidRPr="00AF754B" w:rsidRDefault="005D15AA" w:rsidP="005D15AA">
      <w:pPr>
        <w:tabs>
          <w:tab w:val="left" w:pos="0"/>
          <w:tab w:val="right" w:pos="7335"/>
        </w:tabs>
        <w:jc w:val="both"/>
        <w:rPr>
          <w:rFonts w:asciiTheme="minorHAnsi" w:hAnsiTheme="minorHAnsi" w:cstheme="minorHAnsi"/>
          <w:b/>
          <w:bCs/>
          <w:sz w:val="24"/>
          <w:szCs w:val="24"/>
        </w:rPr>
      </w:pPr>
      <w:r w:rsidRPr="00AF754B">
        <w:rPr>
          <w:rFonts w:asciiTheme="minorHAnsi" w:hAnsiTheme="minorHAnsi" w:cstheme="minorHAnsi"/>
          <w:b/>
          <w:bCs/>
          <w:sz w:val="24"/>
          <w:szCs w:val="24"/>
        </w:rPr>
        <w:t xml:space="preserve">Nel corso dei </w:t>
      </w:r>
      <w:r w:rsidR="003F6A55">
        <w:rPr>
          <w:rFonts w:asciiTheme="minorHAnsi" w:hAnsiTheme="minorHAnsi" w:cstheme="minorHAnsi"/>
          <w:b/>
          <w:bCs/>
          <w:sz w:val="24"/>
          <w:szCs w:val="24"/>
        </w:rPr>
        <w:t xml:space="preserve">cinquanta </w:t>
      </w:r>
      <w:r w:rsidRPr="00AF754B">
        <w:rPr>
          <w:rFonts w:asciiTheme="minorHAnsi" w:hAnsiTheme="minorHAnsi" w:cstheme="minorHAnsi"/>
          <w:b/>
          <w:bCs/>
          <w:sz w:val="24"/>
          <w:szCs w:val="24"/>
        </w:rPr>
        <w:t xml:space="preserve">  anni circa che hanno caratterizzato le politiche familiari, il riferimento finale è costituito da quanto disposto dal legislatore  costituzionale, che ha determinato  con la legge costituzionale n. 3/01 il riconoscimento della famiglia quale primo ambito della sussidiarietà orizzontale, e con </w:t>
      </w:r>
      <w:r w:rsidR="003F6A55">
        <w:rPr>
          <w:rFonts w:asciiTheme="minorHAnsi" w:hAnsiTheme="minorHAnsi" w:cstheme="minorHAnsi"/>
          <w:b/>
          <w:bCs/>
          <w:sz w:val="24"/>
          <w:szCs w:val="24"/>
        </w:rPr>
        <w:t xml:space="preserve">la legge </w:t>
      </w:r>
      <w:r w:rsidR="00E720AF">
        <w:rPr>
          <w:rFonts w:asciiTheme="minorHAnsi" w:hAnsiTheme="minorHAnsi" w:cstheme="minorHAnsi"/>
          <w:b/>
          <w:bCs/>
          <w:sz w:val="24"/>
          <w:szCs w:val="24"/>
        </w:rPr>
        <w:t xml:space="preserve">328/2000 che  all’art. 16  ha tracciato </w:t>
      </w:r>
      <w:r w:rsidRPr="00AF754B">
        <w:rPr>
          <w:rFonts w:asciiTheme="minorHAnsi" w:hAnsiTheme="minorHAnsi" w:cstheme="minorHAnsi"/>
          <w:b/>
          <w:bCs/>
          <w:sz w:val="24"/>
          <w:szCs w:val="24"/>
        </w:rPr>
        <w:t xml:space="preserve"> l’avvio </w:t>
      </w:r>
      <w:r w:rsidR="00E720AF">
        <w:rPr>
          <w:rFonts w:asciiTheme="minorHAnsi" w:hAnsiTheme="minorHAnsi" w:cstheme="minorHAnsi"/>
          <w:b/>
          <w:bCs/>
          <w:sz w:val="24"/>
          <w:szCs w:val="24"/>
        </w:rPr>
        <w:t xml:space="preserve"> e le linee portanti </w:t>
      </w:r>
      <w:r w:rsidRPr="00AF754B">
        <w:rPr>
          <w:rFonts w:asciiTheme="minorHAnsi" w:hAnsiTheme="minorHAnsi" w:cstheme="minorHAnsi"/>
          <w:b/>
          <w:bCs/>
          <w:sz w:val="24"/>
          <w:szCs w:val="24"/>
        </w:rPr>
        <w:t>di decise politiche familiari</w:t>
      </w:r>
      <w:r w:rsidR="00E720AF">
        <w:rPr>
          <w:rFonts w:asciiTheme="minorHAnsi" w:hAnsiTheme="minorHAnsi" w:cstheme="minorHAnsi"/>
          <w:b/>
          <w:bCs/>
          <w:sz w:val="24"/>
          <w:szCs w:val="24"/>
        </w:rPr>
        <w:t>, confermate nel primo piano nazionale degli interventi e dei servizi sociali del maggio 2001.</w:t>
      </w:r>
    </w:p>
    <w:p w14:paraId="21A82E8E" w14:textId="016542FF" w:rsidR="005D15AA" w:rsidRPr="00AF754B" w:rsidRDefault="005D15AA" w:rsidP="003F6A55">
      <w:pPr>
        <w:tabs>
          <w:tab w:val="left" w:pos="0"/>
          <w:tab w:val="right" w:pos="7335"/>
        </w:tabs>
        <w:jc w:val="both"/>
        <w:rPr>
          <w:rFonts w:asciiTheme="minorHAnsi" w:hAnsiTheme="minorHAnsi" w:cstheme="minorHAnsi"/>
          <w:b/>
          <w:bCs/>
          <w:sz w:val="24"/>
          <w:szCs w:val="24"/>
        </w:rPr>
      </w:pPr>
      <w:r w:rsidRPr="00AF754B">
        <w:rPr>
          <w:rFonts w:asciiTheme="minorHAnsi" w:hAnsiTheme="minorHAnsi" w:cstheme="minorHAnsi"/>
          <w:b/>
          <w:bCs/>
          <w:sz w:val="24"/>
          <w:szCs w:val="24"/>
        </w:rPr>
        <w:lastRenderedPageBreak/>
        <w:t xml:space="preserve">Pertanto  </w:t>
      </w:r>
      <w:r w:rsidR="00AF754B">
        <w:rPr>
          <w:rFonts w:asciiTheme="minorHAnsi" w:hAnsiTheme="minorHAnsi" w:cstheme="minorHAnsi"/>
          <w:b/>
          <w:bCs/>
          <w:sz w:val="24"/>
          <w:szCs w:val="24"/>
        </w:rPr>
        <w:t>è</w:t>
      </w:r>
      <w:r w:rsidRPr="00AF754B">
        <w:rPr>
          <w:rFonts w:asciiTheme="minorHAnsi" w:hAnsiTheme="minorHAnsi" w:cstheme="minorHAnsi"/>
          <w:b/>
          <w:bCs/>
          <w:sz w:val="24"/>
          <w:szCs w:val="24"/>
        </w:rPr>
        <w:t xml:space="preserve">  sempre più evidente la scelta di individuare la famiglia quale interlocutore e referente privilegiato per la realizzazione degli interventi di carattere socio</w:t>
      </w:r>
      <w:r w:rsidRPr="00AF754B">
        <w:rPr>
          <w:rFonts w:asciiTheme="minorHAnsi" w:hAnsiTheme="minorHAnsi" w:cstheme="minorHAnsi"/>
          <w:b/>
          <w:bCs/>
          <w:sz w:val="24"/>
          <w:szCs w:val="24"/>
        </w:rPr>
        <w:noBreakHyphen/>
        <w:t>assistenziale, e anche per tutto il complesso degli interventi comunque rivolti alla "persona".</w:t>
      </w:r>
    </w:p>
    <w:p w14:paraId="4C0ECA2A" w14:textId="222E0DBB" w:rsidR="005D15AA" w:rsidRPr="00AF754B" w:rsidRDefault="005D15AA" w:rsidP="003F6A55">
      <w:pPr>
        <w:tabs>
          <w:tab w:val="left" w:pos="0"/>
          <w:tab w:val="right" w:pos="7353"/>
        </w:tabs>
        <w:jc w:val="both"/>
        <w:rPr>
          <w:rFonts w:asciiTheme="minorHAnsi" w:hAnsiTheme="minorHAnsi" w:cstheme="minorHAnsi"/>
          <w:b/>
          <w:bCs/>
          <w:sz w:val="24"/>
          <w:szCs w:val="24"/>
        </w:rPr>
      </w:pPr>
      <w:r w:rsidRPr="00AF754B">
        <w:rPr>
          <w:rFonts w:asciiTheme="minorHAnsi" w:hAnsiTheme="minorHAnsi" w:cstheme="minorHAnsi"/>
          <w:b/>
          <w:bCs/>
          <w:sz w:val="24"/>
          <w:szCs w:val="24"/>
        </w:rPr>
        <w:t xml:space="preserve">La "persona" stessa, peraltro, </w:t>
      </w:r>
      <w:r w:rsidR="00AF754B">
        <w:rPr>
          <w:rFonts w:asciiTheme="minorHAnsi" w:hAnsiTheme="minorHAnsi" w:cstheme="minorHAnsi"/>
          <w:b/>
          <w:bCs/>
          <w:sz w:val="24"/>
          <w:szCs w:val="24"/>
        </w:rPr>
        <w:t>è</w:t>
      </w:r>
      <w:r w:rsidRPr="00AF754B">
        <w:rPr>
          <w:rFonts w:asciiTheme="minorHAnsi" w:hAnsiTheme="minorHAnsi" w:cstheme="minorHAnsi"/>
          <w:b/>
          <w:bCs/>
          <w:sz w:val="24"/>
          <w:szCs w:val="24"/>
        </w:rPr>
        <w:t xml:space="preserve"> stata sia intesa nella sua propria individualità, ma anche individuata ed inserita nel contesto familiare.</w:t>
      </w:r>
    </w:p>
    <w:p w14:paraId="6E6E7928" w14:textId="77777777" w:rsidR="005D15AA" w:rsidRPr="00AF754B" w:rsidRDefault="005D15AA" w:rsidP="003F6A55">
      <w:pPr>
        <w:tabs>
          <w:tab w:val="left" w:pos="0"/>
          <w:tab w:val="right" w:pos="7353"/>
        </w:tabs>
        <w:jc w:val="both"/>
        <w:rPr>
          <w:rFonts w:asciiTheme="minorHAnsi" w:hAnsiTheme="minorHAnsi" w:cstheme="minorHAnsi"/>
          <w:b/>
          <w:bCs/>
          <w:sz w:val="24"/>
          <w:szCs w:val="24"/>
        </w:rPr>
      </w:pPr>
      <w:r w:rsidRPr="00AF754B">
        <w:rPr>
          <w:rFonts w:asciiTheme="minorHAnsi" w:hAnsiTheme="minorHAnsi" w:cstheme="minorHAnsi"/>
          <w:b/>
          <w:bCs/>
          <w:sz w:val="24"/>
          <w:szCs w:val="24"/>
        </w:rPr>
        <w:t>Tale scelta ha portato ad intendere  la famiglia, anche alla luce di quanto sancito dalla Costituzione, quale organizzazione sociale primaria di riferimento, che ha una sua specificità anche in termini economici, così che come  il riferimento di base per il calcolo del minimo vitale deve essere commisurato alla potenzialità economica espressa dal "nucleo" familiare, così la stessa famiglia diventa il riferimento fondamentale  per la determinazione della situazione economica equivalente (ISEE) per l’accesso ai servizi sociali.</w:t>
      </w:r>
    </w:p>
    <w:p w14:paraId="1F2AF3D0" w14:textId="1409EB2B" w:rsidR="005D15AA" w:rsidRDefault="005D15AA" w:rsidP="003F6A55">
      <w:pPr>
        <w:tabs>
          <w:tab w:val="left" w:pos="0"/>
          <w:tab w:val="right" w:pos="7353"/>
        </w:tabs>
        <w:jc w:val="both"/>
        <w:rPr>
          <w:rFonts w:asciiTheme="minorHAnsi" w:hAnsiTheme="minorHAnsi" w:cstheme="minorHAnsi"/>
          <w:b/>
          <w:bCs/>
          <w:sz w:val="24"/>
          <w:szCs w:val="24"/>
        </w:rPr>
      </w:pPr>
      <w:r w:rsidRPr="00AF754B">
        <w:rPr>
          <w:rFonts w:asciiTheme="minorHAnsi" w:hAnsiTheme="minorHAnsi" w:cstheme="minorHAnsi"/>
          <w:b/>
          <w:bCs/>
          <w:sz w:val="24"/>
          <w:szCs w:val="24"/>
        </w:rPr>
        <w:t xml:space="preserve">La connotazione della famiglia quale riferimento funzionale </w:t>
      </w:r>
      <w:r w:rsidR="00AF754B">
        <w:rPr>
          <w:rFonts w:asciiTheme="minorHAnsi" w:hAnsiTheme="minorHAnsi" w:cstheme="minorHAnsi"/>
          <w:b/>
          <w:bCs/>
          <w:sz w:val="24"/>
          <w:szCs w:val="24"/>
        </w:rPr>
        <w:t>è</w:t>
      </w:r>
      <w:r w:rsidRPr="00AF754B">
        <w:rPr>
          <w:rFonts w:asciiTheme="minorHAnsi" w:hAnsiTheme="minorHAnsi" w:cstheme="minorHAnsi"/>
          <w:b/>
          <w:bCs/>
          <w:sz w:val="24"/>
          <w:szCs w:val="24"/>
        </w:rPr>
        <w:t xml:space="preserve"> altresì implicito nella definizione degli interventi e dei rapporti interpersonali, e in quanto tale la famiglia stessa viene ad essere considerata una risorsa anche in termini di interventi preventivi e terapeutici in presenza di condizioni di disagio.</w:t>
      </w:r>
    </w:p>
    <w:p w14:paraId="5B8F7FAD" w14:textId="0709D298" w:rsidR="00450F74" w:rsidRPr="00AF754B" w:rsidRDefault="00450F74" w:rsidP="003F6A55">
      <w:pPr>
        <w:tabs>
          <w:tab w:val="left" w:pos="0"/>
          <w:tab w:val="right" w:pos="7353"/>
        </w:tabs>
        <w:jc w:val="both"/>
        <w:rPr>
          <w:rFonts w:asciiTheme="minorHAnsi" w:hAnsiTheme="minorHAnsi" w:cstheme="minorHAnsi"/>
          <w:b/>
          <w:bCs/>
          <w:sz w:val="24"/>
          <w:szCs w:val="24"/>
        </w:rPr>
      </w:pPr>
      <w:r>
        <w:rPr>
          <w:rFonts w:asciiTheme="minorHAnsi" w:hAnsiTheme="minorHAnsi" w:cstheme="minorHAnsi"/>
          <w:b/>
          <w:bCs/>
          <w:sz w:val="24"/>
          <w:szCs w:val="24"/>
        </w:rPr>
        <w:t>In tele contesto con la legge n. 205/2015 è stata introdotta la figura, in seno alla famigl</w:t>
      </w:r>
      <w:r w:rsidR="001E756A">
        <w:rPr>
          <w:rFonts w:asciiTheme="minorHAnsi" w:hAnsiTheme="minorHAnsi" w:cstheme="minorHAnsi"/>
          <w:b/>
          <w:bCs/>
          <w:sz w:val="24"/>
          <w:szCs w:val="24"/>
        </w:rPr>
        <w:t>i</w:t>
      </w:r>
      <w:r>
        <w:rPr>
          <w:rFonts w:asciiTheme="minorHAnsi" w:hAnsiTheme="minorHAnsi" w:cstheme="minorHAnsi"/>
          <w:b/>
          <w:bCs/>
          <w:sz w:val="24"/>
          <w:szCs w:val="24"/>
        </w:rPr>
        <w:t>a del caregiver”.</w:t>
      </w:r>
    </w:p>
    <w:p w14:paraId="4DD824D7" w14:textId="6338C07E" w:rsidR="005D15AA" w:rsidRDefault="005D15AA" w:rsidP="003F6A55">
      <w:pPr>
        <w:tabs>
          <w:tab w:val="left" w:pos="0"/>
          <w:tab w:val="right" w:pos="7345"/>
        </w:tabs>
        <w:jc w:val="both"/>
        <w:rPr>
          <w:rFonts w:asciiTheme="minorHAnsi" w:hAnsiTheme="minorHAnsi" w:cstheme="minorHAnsi"/>
          <w:b/>
          <w:bCs/>
          <w:sz w:val="24"/>
          <w:szCs w:val="24"/>
        </w:rPr>
      </w:pPr>
      <w:r w:rsidRPr="00AF754B">
        <w:rPr>
          <w:rFonts w:asciiTheme="minorHAnsi" w:hAnsiTheme="minorHAnsi" w:cstheme="minorHAnsi"/>
          <w:b/>
          <w:bCs/>
          <w:sz w:val="24"/>
          <w:szCs w:val="24"/>
        </w:rPr>
        <w:t xml:space="preserve">Sotto tale aspetto </w:t>
      </w:r>
      <w:r w:rsidR="00AF754B">
        <w:rPr>
          <w:rFonts w:asciiTheme="minorHAnsi" w:hAnsiTheme="minorHAnsi" w:cstheme="minorHAnsi"/>
          <w:b/>
          <w:bCs/>
          <w:sz w:val="24"/>
          <w:szCs w:val="24"/>
        </w:rPr>
        <w:t>è</w:t>
      </w:r>
      <w:r w:rsidRPr="00AF754B">
        <w:rPr>
          <w:rFonts w:asciiTheme="minorHAnsi" w:hAnsiTheme="minorHAnsi" w:cstheme="minorHAnsi"/>
          <w:b/>
          <w:bCs/>
          <w:sz w:val="24"/>
          <w:szCs w:val="24"/>
        </w:rPr>
        <w:t xml:space="preserve"> evidente la necessità di potenziare gli interventi di assistenza sociale e psicologica a "sostegno" della famiglia, e proprio per tale motivo </w:t>
      </w:r>
      <w:r w:rsidR="00EF1C44">
        <w:rPr>
          <w:rFonts w:asciiTheme="minorHAnsi" w:hAnsiTheme="minorHAnsi" w:cstheme="minorHAnsi"/>
          <w:b/>
          <w:bCs/>
          <w:sz w:val="24"/>
          <w:szCs w:val="24"/>
        </w:rPr>
        <w:t>è</w:t>
      </w:r>
      <w:r w:rsidRPr="00AF754B">
        <w:rPr>
          <w:rFonts w:asciiTheme="minorHAnsi" w:hAnsiTheme="minorHAnsi" w:cstheme="minorHAnsi"/>
          <w:b/>
          <w:bCs/>
          <w:sz w:val="24"/>
          <w:szCs w:val="24"/>
        </w:rPr>
        <w:t xml:space="preserve"> andata emergendo una domanda crescente in termini di servizi di "terapia" familiare, considerando la famiglia stessa un organismo che nel suo complesso va salvaguardato e tutelato.</w:t>
      </w:r>
    </w:p>
    <w:p w14:paraId="37AF2E7A" w14:textId="39CD1B6C" w:rsidR="005D15AA" w:rsidRDefault="005D15AA" w:rsidP="003F6A55">
      <w:pPr>
        <w:tabs>
          <w:tab w:val="left" w:pos="0"/>
          <w:tab w:val="right" w:pos="7345"/>
        </w:tabs>
        <w:jc w:val="both"/>
        <w:rPr>
          <w:rFonts w:asciiTheme="minorHAnsi" w:hAnsiTheme="minorHAnsi" w:cstheme="minorHAnsi"/>
          <w:b/>
          <w:bCs/>
          <w:sz w:val="24"/>
          <w:szCs w:val="24"/>
        </w:rPr>
      </w:pPr>
      <w:r w:rsidRPr="00AF754B">
        <w:rPr>
          <w:rFonts w:asciiTheme="minorHAnsi" w:hAnsiTheme="minorHAnsi" w:cstheme="minorHAnsi"/>
          <w:b/>
          <w:bCs/>
          <w:sz w:val="24"/>
          <w:szCs w:val="24"/>
        </w:rPr>
        <w:t xml:space="preserve">Rimane peraltro tuttora aperto il quadro del finanziamento degli interventi e dei servizi rivolti alla famiglia,  e in tale prospettiva </w:t>
      </w:r>
      <w:r w:rsidR="00AA1C32">
        <w:rPr>
          <w:rFonts w:asciiTheme="minorHAnsi" w:hAnsiTheme="minorHAnsi" w:cstheme="minorHAnsi"/>
          <w:b/>
          <w:bCs/>
          <w:sz w:val="24"/>
          <w:szCs w:val="24"/>
        </w:rPr>
        <w:t xml:space="preserve">si ritiene che sia </w:t>
      </w:r>
      <w:r w:rsidRPr="00AF754B">
        <w:rPr>
          <w:rFonts w:asciiTheme="minorHAnsi" w:hAnsiTheme="minorHAnsi" w:cstheme="minorHAnsi"/>
          <w:b/>
          <w:bCs/>
          <w:sz w:val="24"/>
          <w:szCs w:val="24"/>
        </w:rPr>
        <w:t xml:space="preserve"> importante definire e portare avanti un organico piano di intervent</w:t>
      </w:r>
      <w:r w:rsidR="00EF1C44">
        <w:rPr>
          <w:rFonts w:asciiTheme="minorHAnsi" w:hAnsiTheme="minorHAnsi" w:cstheme="minorHAnsi"/>
          <w:b/>
          <w:bCs/>
          <w:sz w:val="24"/>
          <w:szCs w:val="24"/>
        </w:rPr>
        <w:t>i</w:t>
      </w:r>
      <w:r w:rsidRPr="00AF754B">
        <w:rPr>
          <w:rFonts w:asciiTheme="minorHAnsi" w:hAnsiTheme="minorHAnsi" w:cstheme="minorHAnsi"/>
          <w:b/>
          <w:bCs/>
          <w:sz w:val="24"/>
          <w:szCs w:val="24"/>
        </w:rPr>
        <w:t xml:space="preserve"> che passa attraverso la definizione di un “pacchetto famiglia” individuabile attraverso i “LIVEAS familiari”, in cui considerare tutte  quelle politiche di tutele e di  opportunità che di per sé stesse possono costituire il “valore” aggiunto riconosciuto e dato alla famiglia per garantirle lo svolgimento delle proprie funzioni, costituzionalmente riconosciute. </w:t>
      </w:r>
    </w:p>
    <w:p w14:paraId="0C8402DA" w14:textId="77777777" w:rsidR="00CA53D0" w:rsidRDefault="00AA1C32" w:rsidP="003F6A55">
      <w:pPr>
        <w:tabs>
          <w:tab w:val="left" w:pos="0"/>
          <w:tab w:val="right" w:pos="7345"/>
        </w:tabs>
        <w:jc w:val="both"/>
        <w:rPr>
          <w:rFonts w:asciiTheme="minorHAnsi" w:hAnsiTheme="minorHAnsi" w:cstheme="minorHAnsi"/>
          <w:b/>
          <w:bCs/>
          <w:sz w:val="24"/>
          <w:szCs w:val="24"/>
        </w:rPr>
      </w:pPr>
      <w:r>
        <w:rPr>
          <w:rFonts w:asciiTheme="minorHAnsi" w:hAnsiTheme="minorHAnsi" w:cstheme="minorHAnsi"/>
          <w:b/>
          <w:bCs/>
          <w:sz w:val="24"/>
          <w:szCs w:val="24"/>
        </w:rPr>
        <w:t>In tale contesto va potenziato e sviluppato, come era già previsto nella prima legge sui consultori familiari (legge n. 405/1975) la presenza del Servizio Sociale Professionale, al suo interno, con il  ruolo fondamentale dell’Assistente Sociale, fino a prefigurare la figura dell’Assistente Sociale Familiare, quale operatore</w:t>
      </w:r>
      <w:r w:rsidR="00EF1C44">
        <w:rPr>
          <w:rFonts w:asciiTheme="minorHAnsi" w:hAnsiTheme="minorHAnsi" w:cstheme="minorHAnsi"/>
          <w:b/>
          <w:bCs/>
          <w:sz w:val="24"/>
          <w:szCs w:val="24"/>
        </w:rPr>
        <w:t xml:space="preserve"> in grado di svolgere </w:t>
      </w:r>
      <w:r w:rsidR="00B31A18">
        <w:rPr>
          <w:rFonts w:asciiTheme="minorHAnsi" w:hAnsiTheme="minorHAnsi" w:cstheme="minorHAnsi"/>
          <w:b/>
          <w:bCs/>
          <w:sz w:val="24"/>
          <w:szCs w:val="24"/>
        </w:rPr>
        <w:t xml:space="preserve">una fondamentale funzione di segretariato  sociale, di mediatore familiare, di promotore di professionista qualificato in termini di </w:t>
      </w:r>
      <w:r w:rsidR="001E756A">
        <w:rPr>
          <w:rFonts w:asciiTheme="minorHAnsi" w:hAnsiTheme="minorHAnsi" w:cstheme="minorHAnsi"/>
          <w:b/>
          <w:bCs/>
          <w:sz w:val="24"/>
          <w:szCs w:val="24"/>
        </w:rPr>
        <w:t>presa in carico della famiglia, e di assistenza sociale necessaria a far superare condizioni di criticità e di disagio, attivando i servizi a suo sostegno nei vari ambiti di intervento (abitativa, lotta e contrasto alla povertà, assistenza socio-psico-pedagogica, assistenza sanitaria, scolastica, riferita alla concessione di borse di studio ed erogazione gratuita di libri di testo, servizi culturali, servizi per l tempo libero, ecc.</w:t>
      </w:r>
      <w:r w:rsidR="00CA53D0">
        <w:rPr>
          <w:rFonts w:asciiTheme="minorHAnsi" w:hAnsiTheme="minorHAnsi" w:cstheme="minorHAnsi"/>
          <w:b/>
          <w:bCs/>
          <w:sz w:val="24"/>
          <w:szCs w:val="24"/>
        </w:rPr>
        <w:t>)</w:t>
      </w:r>
      <w:r w:rsidR="001E756A">
        <w:rPr>
          <w:rFonts w:asciiTheme="minorHAnsi" w:hAnsiTheme="minorHAnsi" w:cstheme="minorHAnsi"/>
          <w:b/>
          <w:bCs/>
          <w:sz w:val="24"/>
          <w:szCs w:val="24"/>
        </w:rPr>
        <w:t xml:space="preserve">, </w:t>
      </w:r>
      <w:r w:rsidR="00CA53D0">
        <w:rPr>
          <w:rFonts w:asciiTheme="minorHAnsi" w:hAnsiTheme="minorHAnsi" w:cstheme="minorHAnsi"/>
          <w:b/>
          <w:bCs/>
          <w:sz w:val="24"/>
          <w:szCs w:val="24"/>
        </w:rPr>
        <w:t>così da definire con la famiglia interessata un adeguato percorso di promozione ed inclusione sociale.</w:t>
      </w:r>
    </w:p>
    <w:p w14:paraId="293BD5B5" w14:textId="1EB832E5" w:rsidR="00AA1C32" w:rsidRDefault="00CA53D0" w:rsidP="003F6A55">
      <w:pPr>
        <w:tabs>
          <w:tab w:val="left" w:pos="0"/>
          <w:tab w:val="right" w:pos="7345"/>
        </w:tabs>
        <w:jc w:val="both"/>
        <w:rPr>
          <w:rFonts w:asciiTheme="minorHAnsi" w:hAnsiTheme="minorHAnsi" w:cstheme="minorHAnsi"/>
          <w:b/>
          <w:bCs/>
          <w:sz w:val="24"/>
          <w:szCs w:val="24"/>
        </w:rPr>
      </w:pPr>
      <w:r>
        <w:rPr>
          <w:rFonts w:asciiTheme="minorHAnsi" w:hAnsiTheme="minorHAnsi" w:cstheme="minorHAnsi"/>
          <w:b/>
          <w:bCs/>
          <w:sz w:val="24"/>
          <w:szCs w:val="24"/>
        </w:rPr>
        <w:t xml:space="preserve">A tale riguardo si richiama un antico orientamento </w:t>
      </w:r>
      <w:r w:rsidR="001E756A">
        <w:rPr>
          <w:rFonts w:asciiTheme="minorHAnsi" w:hAnsiTheme="minorHAnsi" w:cstheme="minorHAnsi"/>
          <w:b/>
          <w:bCs/>
          <w:sz w:val="24"/>
          <w:szCs w:val="24"/>
        </w:rPr>
        <w:t xml:space="preserve"> </w:t>
      </w:r>
      <w:r>
        <w:rPr>
          <w:rFonts w:asciiTheme="minorHAnsi" w:hAnsiTheme="minorHAnsi" w:cstheme="minorHAnsi"/>
          <w:b/>
          <w:bCs/>
          <w:sz w:val="24"/>
          <w:szCs w:val="24"/>
        </w:rPr>
        <w:t>in Francia che prevede un Assistente sociale ogni 500 famiglie.</w:t>
      </w:r>
    </w:p>
    <w:p w14:paraId="06F8FEB1" w14:textId="194F7165" w:rsidR="001E756A" w:rsidRDefault="001E756A" w:rsidP="003F6A55">
      <w:pPr>
        <w:tabs>
          <w:tab w:val="left" w:pos="0"/>
          <w:tab w:val="right" w:pos="7345"/>
        </w:tabs>
        <w:jc w:val="both"/>
        <w:rPr>
          <w:rFonts w:asciiTheme="minorHAnsi" w:hAnsiTheme="minorHAnsi" w:cstheme="minorHAnsi"/>
          <w:b/>
          <w:bCs/>
          <w:sz w:val="24"/>
          <w:szCs w:val="24"/>
        </w:rPr>
      </w:pPr>
    </w:p>
    <w:p w14:paraId="17BDDFCC" w14:textId="77777777" w:rsidR="001E756A" w:rsidRPr="00AF754B" w:rsidRDefault="001E756A" w:rsidP="003F6A55">
      <w:pPr>
        <w:tabs>
          <w:tab w:val="left" w:pos="0"/>
          <w:tab w:val="right" w:pos="7345"/>
        </w:tabs>
        <w:jc w:val="both"/>
        <w:rPr>
          <w:rFonts w:asciiTheme="minorHAnsi" w:hAnsiTheme="minorHAnsi" w:cstheme="minorHAnsi"/>
          <w:b/>
          <w:bCs/>
          <w:sz w:val="24"/>
          <w:szCs w:val="24"/>
        </w:rPr>
      </w:pPr>
    </w:p>
    <w:p w14:paraId="5696C6A0" w14:textId="77777777" w:rsidR="005D15AA" w:rsidRPr="009211CC" w:rsidRDefault="005D15AA" w:rsidP="005D15AA">
      <w:pPr>
        <w:rPr>
          <w:rFonts w:asciiTheme="minorHAnsi" w:hAnsiTheme="minorHAnsi" w:cstheme="minorHAnsi"/>
          <w:b/>
          <w:sz w:val="24"/>
          <w:szCs w:val="24"/>
        </w:rPr>
      </w:pPr>
    </w:p>
    <w:p w14:paraId="714ECCD3" w14:textId="77777777" w:rsidR="005D15AA" w:rsidRPr="009211CC" w:rsidRDefault="005D15AA" w:rsidP="005D15AA">
      <w:pPr>
        <w:rPr>
          <w:rFonts w:asciiTheme="minorHAnsi" w:hAnsiTheme="minorHAnsi" w:cstheme="minorHAnsi"/>
          <w:b/>
          <w:sz w:val="24"/>
          <w:szCs w:val="24"/>
        </w:rPr>
      </w:pPr>
    </w:p>
    <w:p w14:paraId="7714BFA6" w14:textId="77777777" w:rsidR="005D15AA" w:rsidRDefault="005D15AA" w:rsidP="005D15AA">
      <w:pPr>
        <w:rPr>
          <w:b/>
          <w:sz w:val="24"/>
          <w:szCs w:val="24"/>
        </w:rPr>
      </w:pPr>
    </w:p>
    <w:p w14:paraId="72092D07" w14:textId="77777777" w:rsidR="005D15AA" w:rsidRDefault="005D15AA" w:rsidP="005D15AA">
      <w:pPr>
        <w:rPr>
          <w:b/>
          <w:sz w:val="24"/>
          <w:szCs w:val="24"/>
        </w:rPr>
      </w:pPr>
    </w:p>
    <w:p w14:paraId="65114AC5" w14:textId="77777777" w:rsidR="005D15AA" w:rsidRDefault="005D15AA" w:rsidP="005D15AA">
      <w:pPr>
        <w:rPr>
          <w:b/>
          <w:sz w:val="24"/>
          <w:szCs w:val="24"/>
        </w:rPr>
      </w:pPr>
    </w:p>
    <w:sectPr w:rsidR="005D15AA">
      <w:footerReference w:type="even" r:id="rId19"/>
      <w:footerReference w:type="default" r:id="rId2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C9209" w14:textId="77777777" w:rsidR="003A7E34" w:rsidRDefault="003A7E34">
      <w:r>
        <w:separator/>
      </w:r>
    </w:p>
  </w:endnote>
  <w:endnote w:type="continuationSeparator" w:id="0">
    <w:p w14:paraId="1855FD41" w14:textId="77777777" w:rsidR="003A7E34" w:rsidRDefault="003A7E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4EC634" w14:textId="77777777" w:rsidR="00843C48" w:rsidRDefault="00C90F24" w:rsidP="00CC0920">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16167DFA" w14:textId="77777777" w:rsidR="00843C48" w:rsidRDefault="003A7E34" w:rsidP="00E03345">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63CFC" w14:textId="77777777" w:rsidR="00843C48" w:rsidRDefault="00C90F24" w:rsidP="00CC0920">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21</w:t>
    </w:r>
    <w:r>
      <w:rPr>
        <w:rStyle w:val="Numeropagina"/>
      </w:rPr>
      <w:fldChar w:fldCharType="end"/>
    </w:r>
  </w:p>
  <w:p w14:paraId="09CE6917" w14:textId="77777777" w:rsidR="00843C48" w:rsidRDefault="003A7E34" w:rsidP="00E03345">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B7712F" w14:textId="77777777" w:rsidR="003A7E34" w:rsidRDefault="003A7E34">
      <w:r>
        <w:separator/>
      </w:r>
    </w:p>
  </w:footnote>
  <w:footnote w:type="continuationSeparator" w:id="0">
    <w:p w14:paraId="73FABE88" w14:textId="77777777" w:rsidR="003A7E34" w:rsidRDefault="003A7E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94D4A"/>
    <w:multiLevelType w:val="singleLevel"/>
    <w:tmpl w:val="C570DB42"/>
    <w:lvl w:ilvl="0">
      <w:start w:val="1"/>
      <w:numFmt w:val="decimal"/>
      <w:lvlText w:val="%1"/>
      <w:lvlJc w:val="left"/>
      <w:pPr>
        <w:tabs>
          <w:tab w:val="num" w:pos="360"/>
        </w:tabs>
        <w:ind w:left="360" w:hanging="360"/>
      </w:pPr>
      <w:rPr>
        <w:rFonts w:hint="default"/>
      </w:rPr>
    </w:lvl>
  </w:abstractNum>
  <w:abstractNum w:abstractNumId="1" w15:restartNumberingAfterBreak="0">
    <w:nsid w:val="0D27557D"/>
    <w:multiLevelType w:val="singleLevel"/>
    <w:tmpl w:val="04100001"/>
    <w:lvl w:ilvl="0">
      <w:start w:val="13"/>
      <w:numFmt w:val="bullet"/>
      <w:lvlText w:val=""/>
      <w:lvlJc w:val="left"/>
      <w:pPr>
        <w:tabs>
          <w:tab w:val="num" w:pos="360"/>
        </w:tabs>
        <w:ind w:left="360" w:hanging="360"/>
      </w:pPr>
      <w:rPr>
        <w:rFonts w:ascii="Symbol" w:hAnsi="Symbol" w:hint="default"/>
      </w:rPr>
    </w:lvl>
  </w:abstractNum>
  <w:abstractNum w:abstractNumId="2" w15:restartNumberingAfterBreak="0">
    <w:nsid w:val="0F78277A"/>
    <w:multiLevelType w:val="hybridMultilevel"/>
    <w:tmpl w:val="A47245E4"/>
    <w:lvl w:ilvl="0" w:tplc="29B69C10">
      <w:start w:val="2021"/>
      <w:numFmt w:val="bullet"/>
      <w:lvlText w:val=""/>
      <w:lvlJc w:val="left"/>
      <w:pPr>
        <w:ind w:left="480" w:hanging="360"/>
      </w:pPr>
      <w:rPr>
        <w:rFonts w:ascii="Symbol" w:eastAsia="Times New Roman" w:hAnsi="Symbol" w:cs="Times New Roman" w:hint="default"/>
      </w:rPr>
    </w:lvl>
    <w:lvl w:ilvl="1" w:tplc="04100003" w:tentative="1">
      <w:start w:val="1"/>
      <w:numFmt w:val="bullet"/>
      <w:lvlText w:val="o"/>
      <w:lvlJc w:val="left"/>
      <w:pPr>
        <w:ind w:left="1200" w:hanging="360"/>
      </w:pPr>
      <w:rPr>
        <w:rFonts w:ascii="Courier New" w:hAnsi="Courier New" w:cs="Courier New" w:hint="default"/>
      </w:rPr>
    </w:lvl>
    <w:lvl w:ilvl="2" w:tplc="04100005" w:tentative="1">
      <w:start w:val="1"/>
      <w:numFmt w:val="bullet"/>
      <w:lvlText w:val=""/>
      <w:lvlJc w:val="left"/>
      <w:pPr>
        <w:ind w:left="1920" w:hanging="360"/>
      </w:pPr>
      <w:rPr>
        <w:rFonts w:ascii="Wingdings" w:hAnsi="Wingdings" w:hint="default"/>
      </w:rPr>
    </w:lvl>
    <w:lvl w:ilvl="3" w:tplc="04100001" w:tentative="1">
      <w:start w:val="1"/>
      <w:numFmt w:val="bullet"/>
      <w:lvlText w:val=""/>
      <w:lvlJc w:val="left"/>
      <w:pPr>
        <w:ind w:left="2640" w:hanging="360"/>
      </w:pPr>
      <w:rPr>
        <w:rFonts w:ascii="Symbol" w:hAnsi="Symbol" w:hint="default"/>
      </w:rPr>
    </w:lvl>
    <w:lvl w:ilvl="4" w:tplc="04100003" w:tentative="1">
      <w:start w:val="1"/>
      <w:numFmt w:val="bullet"/>
      <w:lvlText w:val="o"/>
      <w:lvlJc w:val="left"/>
      <w:pPr>
        <w:ind w:left="3360" w:hanging="360"/>
      </w:pPr>
      <w:rPr>
        <w:rFonts w:ascii="Courier New" w:hAnsi="Courier New" w:cs="Courier New" w:hint="default"/>
      </w:rPr>
    </w:lvl>
    <w:lvl w:ilvl="5" w:tplc="04100005" w:tentative="1">
      <w:start w:val="1"/>
      <w:numFmt w:val="bullet"/>
      <w:lvlText w:val=""/>
      <w:lvlJc w:val="left"/>
      <w:pPr>
        <w:ind w:left="4080" w:hanging="360"/>
      </w:pPr>
      <w:rPr>
        <w:rFonts w:ascii="Wingdings" w:hAnsi="Wingdings" w:hint="default"/>
      </w:rPr>
    </w:lvl>
    <w:lvl w:ilvl="6" w:tplc="04100001" w:tentative="1">
      <w:start w:val="1"/>
      <w:numFmt w:val="bullet"/>
      <w:lvlText w:val=""/>
      <w:lvlJc w:val="left"/>
      <w:pPr>
        <w:ind w:left="4800" w:hanging="360"/>
      </w:pPr>
      <w:rPr>
        <w:rFonts w:ascii="Symbol" w:hAnsi="Symbol" w:hint="default"/>
      </w:rPr>
    </w:lvl>
    <w:lvl w:ilvl="7" w:tplc="04100003" w:tentative="1">
      <w:start w:val="1"/>
      <w:numFmt w:val="bullet"/>
      <w:lvlText w:val="o"/>
      <w:lvlJc w:val="left"/>
      <w:pPr>
        <w:ind w:left="5520" w:hanging="360"/>
      </w:pPr>
      <w:rPr>
        <w:rFonts w:ascii="Courier New" w:hAnsi="Courier New" w:cs="Courier New" w:hint="default"/>
      </w:rPr>
    </w:lvl>
    <w:lvl w:ilvl="8" w:tplc="04100005" w:tentative="1">
      <w:start w:val="1"/>
      <w:numFmt w:val="bullet"/>
      <w:lvlText w:val=""/>
      <w:lvlJc w:val="left"/>
      <w:pPr>
        <w:ind w:left="6240" w:hanging="360"/>
      </w:pPr>
      <w:rPr>
        <w:rFonts w:ascii="Wingdings" w:hAnsi="Wingdings" w:hint="default"/>
      </w:rPr>
    </w:lvl>
  </w:abstractNum>
  <w:abstractNum w:abstractNumId="3" w15:restartNumberingAfterBreak="0">
    <w:nsid w:val="2CB13E6D"/>
    <w:multiLevelType w:val="multilevel"/>
    <w:tmpl w:val="30686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F3549A"/>
    <w:multiLevelType w:val="singleLevel"/>
    <w:tmpl w:val="4D482B56"/>
    <w:lvl w:ilvl="0">
      <w:numFmt w:val="bullet"/>
      <w:lvlText w:val="-"/>
      <w:lvlJc w:val="left"/>
      <w:pPr>
        <w:tabs>
          <w:tab w:val="num" w:pos="360"/>
        </w:tabs>
        <w:ind w:left="360" w:hanging="360"/>
      </w:pPr>
      <w:rPr>
        <w:rFonts w:ascii="Times New Roman" w:hAnsi="Times New Roman" w:hint="default"/>
      </w:rPr>
    </w:lvl>
  </w:abstractNum>
  <w:abstractNum w:abstractNumId="5" w15:restartNumberingAfterBreak="0">
    <w:nsid w:val="37796517"/>
    <w:multiLevelType w:val="hybridMultilevel"/>
    <w:tmpl w:val="BACEECDE"/>
    <w:lvl w:ilvl="0" w:tplc="04100001">
      <w:start w:val="3"/>
      <w:numFmt w:val="bullet"/>
      <w:lvlText w:val=""/>
      <w:lvlJc w:val="left"/>
      <w:pPr>
        <w:tabs>
          <w:tab w:val="num" w:pos="720"/>
        </w:tabs>
        <w:ind w:left="720" w:hanging="360"/>
      </w:pPr>
      <w:rPr>
        <w:rFonts w:ascii="Symbol" w:eastAsia="Times New Roman" w:hAnsi="Symbol"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6A30D7D"/>
    <w:multiLevelType w:val="singleLevel"/>
    <w:tmpl w:val="4D482B56"/>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567168DB"/>
    <w:multiLevelType w:val="hybridMultilevel"/>
    <w:tmpl w:val="6ED684A4"/>
    <w:lvl w:ilvl="0" w:tplc="65C4AB62">
      <w:start w:val="2021"/>
      <w:numFmt w:val="bullet"/>
      <w:lvlText w:val=""/>
      <w:lvlJc w:val="left"/>
      <w:pPr>
        <w:ind w:left="480" w:hanging="360"/>
      </w:pPr>
      <w:rPr>
        <w:rFonts w:ascii="Symbol" w:eastAsia="Times New Roman" w:hAnsi="Symbol" w:cs="Times New Roman" w:hint="default"/>
      </w:rPr>
    </w:lvl>
    <w:lvl w:ilvl="1" w:tplc="04100003" w:tentative="1">
      <w:start w:val="1"/>
      <w:numFmt w:val="bullet"/>
      <w:lvlText w:val="o"/>
      <w:lvlJc w:val="left"/>
      <w:pPr>
        <w:ind w:left="1200" w:hanging="360"/>
      </w:pPr>
      <w:rPr>
        <w:rFonts w:ascii="Courier New" w:hAnsi="Courier New" w:cs="Courier New" w:hint="default"/>
      </w:rPr>
    </w:lvl>
    <w:lvl w:ilvl="2" w:tplc="04100005" w:tentative="1">
      <w:start w:val="1"/>
      <w:numFmt w:val="bullet"/>
      <w:lvlText w:val=""/>
      <w:lvlJc w:val="left"/>
      <w:pPr>
        <w:ind w:left="1920" w:hanging="360"/>
      </w:pPr>
      <w:rPr>
        <w:rFonts w:ascii="Wingdings" w:hAnsi="Wingdings" w:hint="default"/>
      </w:rPr>
    </w:lvl>
    <w:lvl w:ilvl="3" w:tplc="04100001" w:tentative="1">
      <w:start w:val="1"/>
      <w:numFmt w:val="bullet"/>
      <w:lvlText w:val=""/>
      <w:lvlJc w:val="left"/>
      <w:pPr>
        <w:ind w:left="2640" w:hanging="360"/>
      </w:pPr>
      <w:rPr>
        <w:rFonts w:ascii="Symbol" w:hAnsi="Symbol" w:hint="default"/>
      </w:rPr>
    </w:lvl>
    <w:lvl w:ilvl="4" w:tplc="04100003" w:tentative="1">
      <w:start w:val="1"/>
      <w:numFmt w:val="bullet"/>
      <w:lvlText w:val="o"/>
      <w:lvlJc w:val="left"/>
      <w:pPr>
        <w:ind w:left="3360" w:hanging="360"/>
      </w:pPr>
      <w:rPr>
        <w:rFonts w:ascii="Courier New" w:hAnsi="Courier New" w:cs="Courier New" w:hint="default"/>
      </w:rPr>
    </w:lvl>
    <w:lvl w:ilvl="5" w:tplc="04100005" w:tentative="1">
      <w:start w:val="1"/>
      <w:numFmt w:val="bullet"/>
      <w:lvlText w:val=""/>
      <w:lvlJc w:val="left"/>
      <w:pPr>
        <w:ind w:left="4080" w:hanging="360"/>
      </w:pPr>
      <w:rPr>
        <w:rFonts w:ascii="Wingdings" w:hAnsi="Wingdings" w:hint="default"/>
      </w:rPr>
    </w:lvl>
    <w:lvl w:ilvl="6" w:tplc="04100001" w:tentative="1">
      <w:start w:val="1"/>
      <w:numFmt w:val="bullet"/>
      <w:lvlText w:val=""/>
      <w:lvlJc w:val="left"/>
      <w:pPr>
        <w:ind w:left="4800" w:hanging="360"/>
      </w:pPr>
      <w:rPr>
        <w:rFonts w:ascii="Symbol" w:hAnsi="Symbol" w:hint="default"/>
      </w:rPr>
    </w:lvl>
    <w:lvl w:ilvl="7" w:tplc="04100003" w:tentative="1">
      <w:start w:val="1"/>
      <w:numFmt w:val="bullet"/>
      <w:lvlText w:val="o"/>
      <w:lvlJc w:val="left"/>
      <w:pPr>
        <w:ind w:left="5520" w:hanging="360"/>
      </w:pPr>
      <w:rPr>
        <w:rFonts w:ascii="Courier New" w:hAnsi="Courier New" w:cs="Courier New" w:hint="default"/>
      </w:rPr>
    </w:lvl>
    <w:lvl w:ilvl="8" w:tplc="04100005" w:tentative="1">
      <w:start w:val="1"/>
      <w:numFmt w:val="bullet"/>
      <w:lvlText w:val=""/>
      <w:lvlJc w:val="left"/>
      <w:pPr>
        <w:ind w:left="6240" w:hanging="360"/>
      </w:pPr>
      <w:rPr>
        <w:rFonts w:ascii="Wingdings" w:hAnsi="Wingdings" w:hint="default"/>
      </w:rPr>
    </w:lvl>
  </w:abstractNum>
  <w:abstractNum w:abstractNumId="8" w15:restartNumberingAfterBreak="0">
    <w:nsid w:val="66CF5801"/>
    <w:multiLevelType w:val="multilevel"/>
    <w:tmpl w:val="B94AD422"/>
    <w:lvl w:ilvl="0">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6417745"/>
    <w:multiLevelType w:val="singleLevel"/>
    <w:tmpl w:val="4D482B56"/>
    <w:lvl w:ilvl="0">
      <w:numFmt w:val="bullet"/>
      <w:lvlText w:val="-"/>
      <w:lvlJc w:val="left"/>
      <w:pPr>
        <w:tabs>
          <w:tab w:val="num" w:pos="360"/>
        </w:tabs>
        <w:ind w:left="360" w:hanging="360"/>
      </w:pPr>
      <w:rPr>
        <w:rFonts w:ascii="Times New Roman" w:hAnsi="Times New Roman" w:hint="default"/>
      </w:rPr>
    </w:lvl>
  </w:abstractNum>
  <w:abstractNum w:abstractNumId="10" w15:restartNumberingAfterBreak="0">
    <w:nsid w:val="7EA56739"/>
    <w:multiLevelType w:val="hybridMultilevel"/>
    <w:tmpl w:val="39EA4584"/>
    <w:lvl w:ilvl="0" w:tplc="FFFFFFFF">
      <w:start w:val="3"/>
      <w:numFmt w:val="bullet"/>
      <w:lvlText w:val=""/>
      <w:lvlJc w:val="left"/>
      <w:pPr>
        <w:tabs>
          <w:tab w:val="num" w:pos="720"/>
        </w:tabs>
        <w:ind w:left="720" w:hanging="360"/>
      </w:pPr>
      <w:rPr>
        <w:rFonts w:ascii="Symbol" w:eastAsia="Times New Roman" w:hAnsi="Symbol"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9"/>
  </w:num>
  <w:num w:numId="3">
    <w:abstractNumId w:val="8"/>
  </w:num>
  <w:num w:numId="4">
    <w:abstractNumId w:val="0"/>
  </w:num>
  <w:num w:numId="5">
    <w:abstractNumId w:val="1"/>
  </w:num>
  <w:num w:numId="6">
    <w:abstractNumId w:val="4"/>
  </w:num>
  <w:num w:numId="7">
    <w:abstractNumId w:val="5"/>
  </w:num>
  <w:num w:numId="8">
    <w:abstractNumId w:val="10"/>
  </w:num>
  <w:num w:numId="9">
    <w:abstractNumId w:val="3"/>
  </w:num>
  <w:num w:numId="10">
    <w:abstractNumId w:val="2"/>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6C9"/>
    <w:rsid w:val="00003438"/>
    <w:rsid w:val="000176E7"/>
    <w:rsid w:val="000246B5"/>
    <w:rsid w:val="000B0539"/>
    <w:rsid w:val="000C735C"/>
    <w:rsid w:val="000D0138"/>
    <w:rsid w:val="00105B78"/>
    <w:rsid w:val="00161B61"/>
    <w:rsid w:val="001812B9"/>
    <w:rsid w:val="00187A93"/>
    <w:rsid w:val="001B1C19"/>
    <w:rsid w:val="001C1FA6"/>
    <w:rsid w:val="001E40E2"/>
    <w:rsid w:val="001E756A"/>
    <w:rsid w:val="002148C3"/>
    <w:rsid w:val="00233A22"/>
    <w:rsid w:val="00250418"/>
    <w:rsid w:val="002671EF"/>
    <w:rsid w:val="002C2ED4"/>
    <w:rsid w:val="002D0D84"/>
    <w:rsid w:val="002E5B8B"/>
    <w:rsid w:val="002E6FDB"/>
    <w:rsid w:val="00313DDC"/>
    <w:rsid w:val="003259BC"/>
    <w:rsid w:val="00357780"/>
    <w:rsid w:val="003A7E34"/>
    <w:rsid w:val="003E17F4"/>
    <w:rsid w:val="003F233F"/>
    <w:rsid w:val="003F6A55"/>
    <w:rsid w:val="00416E58"/>
    <w:rsid w:val="00450F74"/>
    <w:rsid w:val="00464105"/>
    <w:rsid w:val="004B5E74"/>
    <w:rsid w:val="004C5EF3"/>
    <w:rsid w:val="004F465F"/>
    <w:rsid w:val="005147FA"/>
    <w:rsid w:val="005211A2"/>
    <w:rsid w:val="005212AC"/>
    <w:rsid w:val="00573A69"/>
    <w:rsid w:val="00586C68"/>
    <w:rsid w:val="005C09F3"/>
    <w:rsid w:val="005D15AA"/>
    <w:rsid w:val="005D2B98"/>
    <w:rsid w:val="005E1735"/>
    <w:rsid w:val="0065013F"/>
    <w:rsid w:val="00657762"/>
    <w:rsid w:val="00660087"/>
    <w:rsid w:val="006B1D61"/>
    <w:rsid w:val="006F5DB6"/>
    <w:rsid w:val="007216C9"/>
    <w:rsid w:val="0072454F"/>
    <w:rsid w:val="0074025F"/>
    <w:rsid w:val="0076251B"/>
    <w:rsid w:val="007667DC"/>
    <w:rsid w:val="007B0060"/>
    <w:rsid w:val="007B5B3E"/>
    <w:rsid w:val="007D6CFC"/>
    <w:rsid w:val="00816933"/>
    <w:rsid w:val="008203DC"/>
    <w:rsid w:val="00841048"/>
    <w:rsid w:val="008564C7"/>
    <w:rsid w:val="00893C72"/>
    <w:rsid w:val="008D0816"/>
    <w:rsid w:val="008D3C85"/>
    <w:rsid w:val="00915AE1"/>
    <w:rsid w:val="0091622C"/>
    <w:rsid w:val="009211CC"/>
    <w:rsid w:val="00955DEA"/>
    <w:rsid w:val="00961D20"/>
    <w:rsid w:val="0096475C"/>
    <w:rsid w:val="00977783"/>
    <w:rsid w:val="009D19E1"/>
    <w:rsid w:val="009D3C51"/>
    <w:rsid w:val="009D6923"/>
    <w:rsid w:val="009E21D4"/>
    <w:rsid w:val="009E4697"/>
    <w:rsid w:val="00A04C4C"/>
    <w:rsid w:val="00A35165"/>
    <w:rsid w:val="00A9011B"/>
    <w:rsid w:val="00AA1C32"/>
    <w:rsid w:val="00AA2BD8"/>
    <w:rsid w:val="00AA5742"/>
    <w:rsid w:val="00AC106E"/>
    <w:rsid w:val="00AD3B53"/>
    <w:rsid w:val="00AD6CEF"/>
    <w:rsid w:val="00AF754B"/>
    <w:rsid w:val="00B2025F"/>
    <w:rsid w:val="00B26C51"/>
    <w:rsid w:val="00B31A18"/>
    <w:rsid w:val="00B470FB"/>
    <w:rsid w:val="00B653C2"/>
    <w:rsid w:val="00B65D55"/>
    <w:rsid w:val="00B908B3"/>
    <w:rsid w:val="00BD59D0"/>
    <w:rsid w:val="00BE2BE8"/>
    <w:rsid w:val="00C0320B"/>
    <w:rsid w:val="00C07921"/>
    <w:rsid w:val="00C207AE"/>
    <w:rsid w:val="00C22273"/>
    <w:rsid w:val="00C23E27"/>
    <w:rsid w:val="00C541DA"/>
    <w:rsid w:val="00C6297F"/>
    <w:rsid w:val="00C90F24"/>
    <w:rsid w:val="00CA53D0"/>
    <w:rsid w:val="00CD4C1A"/>
    <w:rsid w:val="00CD731A"/>
    <w:rsid w:val="00D01D4C"/>
    <w:rsid w:val="00D35AA2"/>
    <w:rsid w:val="00D36EF5"/>
    <w:rsid w:val="00D600B7"/>
    <w:rsid w:val="00D802BE"/>
    <w:rsid w:val="00D80EA6"/>
    <w:rsid w:val="00D847E1"/>
    <w:rsid w:val="00DF0A50"/>
    <w:rsid w:val="00E720AF"/>
    <w:rsid w:val="00E81F72"/>
    <w:rsid w:val="00E96A06"/>
    <w:rsid w:val="00EB1C1E"/>
    <w:rsid w:val="00EF1C44"/>
    <w:rsid w:val="00EF519E"/>
    <w:rsid w:val="00F23040"/>
    <w:rsid w:val="00F747D9"/>
    <w:rsid w:val="00FE7A8E"/>
    <w:rsid w:val="00FF6ED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53F4B55"/>
  <w15:chartTrackingRefBased/>
  <w15:docId w15:val="{F918F813-5DB2-4687-84E7-09ADAF861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D15AA"/>
    <w:pPr>
      <w:spacing w:after="0" w:line="240" w:lineRule="auto"/>
    </w:pPr>
    <w:rPr>
      <w:rFonts w:ascii="Times New Roman" w:eastAsia="Times New Roman" w:hAnsi="Times New Roman" w:cs="Times New Roman"/>
      <w:sz w:val="20"/>
      <w:szCs w:val="20"/>
      <w:lang w:eastAsia="it-IT"/>
    </w:rPr>
  </w:style>
  <w:style w:type="paragraph" w:styleId="Titolo1">
    <w:name w:val="heading 1"/>
    <w:basedOn w:val="Normale"/>
    <w:next w:val="Normale"/>
    <w:link w:val="Titolo1Carattere"/>
    <w:qFormat/>
    <w:rsid w:val="005D15AA"/>
    <w:pPr>
      <w:keepNext/>
      <w:tabs>
        <w:tab w:val="left" w:pos="0"/>
        <w:tab w:val="right" w:pos="2908"/>
      </w:tabs>
      <w:jc w:val="both"/>
      <w:outlineLvl w:val="0"/>
    </w:pPr>
    <w:rPr>
      <w:b/>
      <w:sz w:val="24"/>
    </w:rPr>
  </w:style>
  <w:style w:type="paragraph" w:styleId="Titolo2">
    <w:name w:val="heading 2"/>
    <w:basedOn w:val="Normale"/>
    <w:next w:val="Normale"/>
    <w:link w:val="Titolo2Carattere"/>
    <w:uiPriority w:val="9"/>
    <w:semiHidden/>
    <w:unhideWhenUsed/>
    <w:qFormat/>
    <w:rsid w:val="0066008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qFormat/>
    <w:rsid w:val="005D15AA"/>
    <w:pPr>
      <w:keepNext/>
      <w:tabs>
        <w:tab w:val="left" w:pos="0"/>
        <w:tab w:val="right" w:pos="2908"/>
      </w:tabs>
      <w:jc w:val="both"/>
      <w:outlineLvl w:val="2"/>
    </w:pPr>
    <w:rPr>
      <w:sz w:val="24"/>
    </w:rPr>
  </w:style>
  <w:style w:type="paragraph" w:styleId="Titolo4">
    <w:name w:val="heading 4"/>
    <w:basedOn w:val="Normale"/>
    <w:next w:val="Normale"/>
    <w:link w:val="Titolo4Carattere"/>
    <w:uiPriority w:val="9"/>
    <w:semiHidden/>
    <w:unhideWhenUsed/>
    <w:qFormat/>
    <w:rsid w:val="00660087"/>
    <w:pPr>
      <w:keepNext/>
      <w:keepLines/>
      <w:spacing w:before="40"/>
      <w:outlineLvl w:val="3"/>
    </w:pPr>
    <w:rPr>
      <w:rFonts w:asciiTheme="majorHAnsi" w:eastAsiaTheme="majorEastAsia" w:hAnsiTheme="majorHAnsi" w:cstheme="majorBidi"/>
      <w:i/>
      <w:iCs/>
      <w:color w:val="2F5496" w:themeColor="accent1" w:themeShade="BF"/>
    </w:rPr>
  </w:style>
  <w:style w:type="paragraph" w:styleId="Titolo5">
    <w:name w:val="heading 5"/>
    <w:basedOn w:val="Normale"/>
    <w:next w:val="Normale"/>
    <w:link w:val="Titolo5Carattere"/>
    <w:qFormat/>
    <w:rsid w:val="005D15AA"/>
    <w:pPr>
      <w:keepNext/>
      <w:outlineLvl w:val="4"/>
    </w:pPr>
    <w:rPr>
      <w:b/>
      <w:sz w:val="24"/>
    </w:rPr>
  </w:style>
  <w:style w:type="paragraph" w:styleId="Titolo6">
    <w:name w:val="heading 6"/>
    <w:basedOn w:val="Normale"/>
    <w:next w:val="Normale"/>
    <w:link w:val="Titolo6Carattere"/>
    <w:qFormat/>
    <w:rsid w:val="005D15AA"/>
    <w:pPr>
      <w:spacing w:before="240" w:after="60"/>
      <w:outlineLvl w:val="5"/>
    </w:pPr>
    <w:rPr>
      <w:b/>
      <w:bCs/>
      <w:sz w:val="22"/>
      <w:szCs w:val="22"/>
    </w:rPr>
  </w:style>
  <w:style w:type="paragraph" w:styleId="Titolo9">
    <w:name w:val="heading 9"/>
    <w:basedOn w:val="Normale"/>
    <w:next w:val="Normale"/>
    <w:link w:val="Titolo9Carattere"/>
    <w:qFormat/>
    <w:rsid w:val="005D15AA"/>
    <w:pPr>
      <w:keepNext/>
      <w:jc w:val="both"/>
      <w:outlineLvl w:val="8"/>
    </w:pPr>
    <w:rPr>
      <w:b/>
      <w:sz w:val="24"/>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5D15AA"/>
    <w:rPr>
      <w:rFonts w:ascii="Times New Roman" w:eastAsia="Times New Roman" w:hAnsi="Times New Roman" w:cs="Times New Roman"/>
      <w:b/>
      <w:sz w:val="24"/>
      <w:szCs w:val="20"/>
      <w:lang w:eastAsia="it-IT"/>
    </w:rPr>
  </w:style>
  <w:style w:type="character" w:customStyle="1" w:styleId="Titolo3Carattere">
    <w:name w:val="Titolo 3 Carattere"/>
    <w:basedOn w:val="Carpredefinitoparagrafo"/>
    <w:link w:val="Titolo3"/>
    <w:rsid w:val="005D15AA"/>
    <w:rPr>
      <w:rFonts w:ascii="Times New Roman" w:eastAsia="Times New Roman" w:hAnsi="Times New Roman" w:cs="Times New Roman"/>
      <w:sz w:val="24"/>
      <w:szCs w:val="20"/>
      <w:lang w:eastAsia="it-IT"/>
    </w:rPr>
  </w:style>
  <w:style w:type="character" w:customStyle="1" w:styleId="Titolo5Carattere">
    <w:name w:val="Titolo 5 Carattere"/>
    <w:basedOn w:val="Carpredefinitoparagrafo"/>
    <w:link w:val="Titolo5"/>
    <w:rsid w:val="005D15AA"/>
    <w:rPr>
      <w:rFonts w:ascii="Times New Roman" w:eastAsia="Times New Roman" w:hAnsi="Times New Roman" w:cs="Times New Roman"/>
      <w:b/>
      <w:sz w:val="24"/>
      <w:szCs w:val="20"/>
      <w:lang w:eastAsia="it-IT"/>
    </w:rPr>
  </w:style>
  <w:style w:type="character" w:customStyle="1" w:styleId="Titolo6Carattere">
    <w:name w:val="Titolo 6 Carattere"/>
    <w:basedOn w:val="Carpredefinitoparagrafo"/>
    <w:link w:val="Titolo6"/>
    <w:rsid w:val="005D15AA"/>
    <w:rPr>
      <w:rFonts w:ascii="Times New Roman" w:eastAsia="Times New Roman" w:hAnsi="Times New Roman" w:cs="Times New Roman"/>
      <w:b/>
      <w:bCs/>
      <w:lang w:eastAsia="it-IT"/>
    </w:rPr>
  </w:style>
  <w:style w:type="character" w:customStyle="1" w:styleId="Titolo9Carattere">
    <w:name w:val="Titolo 9 Carattere"/>
    <w:basedOn w:val="Carpredefinitoparagrafo"/>
    <w:link w:val="Titolo9"/>
    <w:rsid w:val="005D15AA"/>
    <w:rPr>
      <w:rFonts w:ascii="Times New Roman" w:eastAsia="Times New Roman" w:hAnsi="Times New Roman" w:cs="Times New Roman"/>
      <w:b/>
      <w:sz w:val="24"/>
      <w:szCs w:val="20"/>
      <w:u w:val="single"/>
      <w:lang w:eastAsia="it-IT"/>
    </w:rPr>
  </w:style>
  <w:style w:type="paragraph" w:styleId="Corpotesto">
    <w:name w:val="Body Text"/>
    <w:basedOn w:val="Normale"/>
    <w:link w:val="CorpotestoCarattere"/>
    <w:rsid w:val="005D15AA"/>
    <w:rPr>
      <w:rFonts w:ascii="Courier New" w:hAnsi="Courier New"/>
      <w:b/>
      <w:noProof/>
      <w:u w:val="single"/>
    </w:rPr>
  </w:style>
  <w:style w:type="character" w:customStyle="1" w:styleId="CorpotestoCarattere">
    <w:name w:val="Corpo testo Carattere"/>
    <w:basedOn w:val="Carpredefinitoparagrafo"/>
    <w:link w:val="Corpotesto"/>
    <w:rsid w:val="005D15AA"/>
    <w:rPr>
      <w:rFonts w:ascii="Courier New" w:eastAsia="Times New Roman" w:hAnsi="Courier New" w:cs="Times New Roman"/>
      <w:b/>
      <w:noProof/>
      <w:sz w:val="20"/>
      <w:szCs w:val="20"/>
      <w:u w:val="single"/>
      <w:lang w:eastAsia="it-IT"/>
    </w:rPr>
  </w:style>
  <w:style w:type="paragraph" w:styleId="Corpodeltesto3">
    <w:name w:val="Body Text 3"/>
    <w:basedOn w:val="Normale"/>
    <w:link w:val="Corpodeltesto3Carattere"/>
    <w:rsid w:val="005D15AA"/>
    <w:rPr>
      <w:noProof/>
      <w:sz w:val="24"/>
    </w:rPr>
  </w:style>
  <w:style w:type="character" w:customStyle="1" w:styleId="Corpodeltesto3Carattere">
    <w:name w:val="Corpo del testo 3 Carattere"/>
    <w:basedOn w:val="Carpredefinitoparagrafo"/>
    <w:link w:val="Corpodeltesto3"/>
    <w:rsid w:val="005D15AA"/>
    <w:rPr>
      <w:rFonts w:ascii="Times New Roman" w:eastAsia="Times New Roman" w:hAnsi="Times New Roman" w:cs="Times New Roman"/>
      <w:noProof/>
      <w:sz w:val="24"/>
      <w:szCs w:val="20"/>
      <w:lang w:eastAsia="it-IT"/>
    </w:rPr>
  </w:style>
  <w:style w:type="paragraph" w:styleId="Corpodeltesto2">
    <w:name w:val="Body Text 2"/>
    <w:basedOn w:val="Normale"/>
    <w:link w:val="Corpodeltesto2Carattere"/>
    <w:rsid w:val="005D15AA"/>
    <w:pPr>
      <w:tabs>
        <w:tab w:val="left" w:pos="0"/>
        <w:tab w:val="left" w:pos="50"/>
        <w:tab w:val="left" w:pos="9638"/>
        <w:tab w:val="right" w:pos="9871"/>
      </w:tabs>
      <w:jc w:val="both"/>
    </w:pPr>
    <w:rPr>
      <w:noProof/>
      <w:sz w:val="24"/>
    </w:rPr>
  </w:style>
  <w:style w:type="character" w:customStyle="1" w:styleId="Corpodeltesto2Carattere">
    <w:name w:val="Corpo del testo 2 Carattere"/>
    <w:basedOn w:val="Carpredefinitoparagrafo"/>
    <w:link w:val="Corpodeltesto2"/>
    <w:rsid w:val="005D15AA"/>
    <w:rPr>
      <w:rFonts w:ascii="Times New Roman" w:eastAsia="Times New Roman" w:hAnsi="Times New Roman" w:cs="Times New Roman"/>
      <w:noProof/>
      <w:sz w:val="24"/>
      <w:szCs w:val="20"/>
      <w:lang w:eastAsia="it-IT"/>
    </w:rPr>
  </w:style>
  <w:style w:type="paragraph" w:styleId="Rientrocorpodeltesto2">
    <w:name w:val="Body Text Indent 2"/>
    <w:basedOn w:val="Normale"/>
    <w:link w:val="Rientrocorpodeltesto2Carattere"/>
    <w:rsid w:val="005D15AA"/>
    <w:pPr>
      <w:tabs>
        <w:tab w:val="left" w:pos="0"/>
        <w:tab w:val="right" w:pos="7280"/>
      </w:tabs>
      <w:ind w:firstLine="709"/>
      <w:jc w:val="both"/>
    </w:pPr>
    <w:rPr>
      <w:rFonts w:ascii="Arial" w:hAnsi="Arial"/>
      <w:sz w:val="24"/>
    </w:rPr>
  </w:style>
  <w:style w:type="character" w:customStyle="1" w:styleId="Rientrocorpodeltesto2Carattere">
    <w:name w:val="Rientro corpo del testo 2 Carattere"/>
    <w:basedOn w:val="Carpredefinitoparagrafo"/>
    <w:link w:val="Rientrocorpodeltesto2"/>
    <w:rsid w:val="005D15AA"/>
    <w:rPr>
      <w:rFonts w:ascii="Arial" w:eastAsia="Times New Roman" w:hAnsi="Arial" w:cs="Times New Roman"/>
      <w:sz w:val="24"/>
      <w:szCs w:val="20"/>
      <w:lang w:eastAsia="it-IT"/>
    </w:rPr>
  </w:style>
  <w:style w:type="paragraph" w:customStyle="1" w:styleId="Preformattato">
    <w:name w:val="Preformattato"/>
    <w:basedOn w:val="Normale"/>
    <w:rsid w:val="005D15AA"/>
    <w:pPr>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rPr>
  </w:style>
  <w:style w:type="paragraph" w:styleId="Testocommento">
    <w:name w:val="annotation text"/>
    <w:basedOn w:val="Normale"/>
    <w:link w:val="TestocommentoCarattere"/>
    <w:semiHidden/>
    <w:rsid w:val="005D15AA"/>
  </w:style>
  <w:style w:type="character" w:customStyle="1" w:styleId="TestocommentoCarattere">
    <w:name w:val="Testo commento Carattere"/>
    <w:basedOn w:val="Carpredefinitoparagrafo"/>
    <w:link w:val="Testocommento"/>
    <w:semiHidden/>
    <w:rsid w:val="005D15AA"/>
    <w:rPr>
      <w:rFonts w:ascii="Times New Roman" w:eastAsia="Times New Roman" w:hAnsi="Times New Roman" w:cs="Times New Roman"/>
      <w:sz w:val="20"/>
      <w:szCs w:val="20"/>
      <w:lang w:eastAsia="it-IT"/>
    </w:rPr>
  </w:style>
  <w:style w:type="paragraph" w:styleId="PreformattatoHTML">
    <w:name w:val="HTML Preformatted"/>
    <w:basedOn w:val="Normale"/>
    <w:link w:val="PreformattatoHTMLCarattere"/>
    <w:uiPriority w:val="99"/>
    <w:rsid w:val="005D15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PreformattatoHTMLCarattere">
    <w:name w:val="Preformattato HTML Carattere"/>
    <w:basedOn w:val="Carpredefinitoparagrafo"/>
    <w:link w:val="PreformattatoHTML"/>
    <w:uiPriority w:val="99"/>
    <w:rsid w:val="005D15AA"/>
    <w:rPr>
      <w:rFonts w:ascii="Courier New" w:eastAsia="Times New Roman" w:hAnsi="Courier New" w:cs="Courier New"/>
      <w:sz w:val="20"/>
      <w:szCs w:val="20"/>
      <w:lang w:eastAsia="it-IT"/>
    </w:rPr>
  </w:style>
  <w:style w:type="paragraph" w:styleId="Pidipagina">
    <w:name w:val="footer"/>
    <w:basedOn w:val="Normale"/>
    <w:link w:val="PidipaginaCarattere"/>
    <w:rsid w:val="005D15AA"/>
    <w:pPr>
      <w:tabs>
        <w:tab w:val="center" w:pos="4819"/>
        <w:tab w:val="right" w:pos="9638"/>
      </w:tabs>
    </w:pPr>
  </w:style>
  <w:style w:type="character" w:customStyle="1" w:styleId="PidipaginaCarattere">
    <w:name w:val="Piè di pagina Carattere"/>
    <w:basedOn w:val="Carpredefinitoparagrafo"/>
    <w:link w:val="Pidipagina"/>
    <w:rsid w:val="005D15AA"/>
    <w:rPr>
      <w:rFonts w:ascii="Times New Roman" w:eastAsia="Times New Roman" w:hAnsi="Times New Roman" w:cs="Times New Roman"/>
      <w:sz w:val="20"/>
      <w:szCs w:val="20"/>
      <w:lang w:eastAsia="it-IT"/>
    </w:rPr>
  </w:style>
  <w:style w:type="character" w:styleId="Numeropagina">
    <w:name w:val="page number"/>
    <w:basedOn w:val="Carpredefinitoparagrafo"/>
    <w:rsid w:val="005D15AA"/>
  </w:style>
  <w:style w:type="paragraph" w:customStyle="1" w:styleId="Default">
    <w:name w:val="Default"/>
    <w:rsid w:val="005D15AA"/>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character" w:styleId="Collegamentoipertestuale">
    <w:name w:val="Hyperlink"/>
    <w:rsid w:val="005D15AA"/>
    <w:rPr>
      <w:b w:val="0"/>
      <w:bCs w:val="0"/>
      <w:i w:val="0"/>
      <w:iCs w:val="0"/>
      <w:color w:val="0000FF"/>
      <w:u w:val="single"/>
    </w:rPr>
  </w:style>
  <w:style w:type="paragraph" w:styleId="Paragrafoelenco">
    <w:name w:val="List Paragraph"/>
    <w:basedOn w:val="Normale"/>
    <w:uiPriority w:val="34"/>
    <w:qFormat/>
    <w:rsid w:val="000176E7"/>
    <w:pPr>
      <w:ind w:left="720"/>
      <w:contextualSpacing/>
    </w:pPr>
  </w:style>
  <w:style w:type="character" w:customStyle="1" w:styleId="Titolo2Carattere">
    <w:name w:val="Titolo 2 Carattere"/>
    <w:basedOn w:val="Carpredefinitoparagrafo"/>
    <w:link w:val="Titolo2"/>
    <w:uiPriority w:val="9"/>
    <w:semiHidden/>
    <w:rsid w:val="00660087"/>
    <w:rPr>
      <w:rFonts w:asciiTheme="majorHAnsi" w:eastAsiaTheme="majorEastAsia" w:hAnsiTheme="majorHAnsi" w:cstheme="majorBidi"/>
      <w:color w:val="2F5496" w:themeColor="accent1" w:themeShade="BF"/>
      <w:sz w:val="26"/>
      <w:szCs w:val="26"/>
      <w:lang w:eastAsia="it-IT"/>
    </w:rPr>
  </w:style>
  <w:style w:type="character" w:customStyle="1" w:styleId="Titolo4Carattere">
    <w:name w:val="Titolo 4 Carattere"/>
    <w:basedOn w:val="Carpredefinitoparagrafo"/>
    <w:link w:val="Titolo4"/>
    <w:uiPriority w:val="9"/>
    <w:semiHidden/>
    <w:rsid w:val="00660087"/>
    <w:rPr>
      <w:rFonts w:asciiTheme="majorHAnsi" w:eastAsiaTheme="majorEastAsia" w:hAnsiTheme="majorHAnsi" w:cstheme="majorBidi"/>
      <w:i/>
      <w:iCs/>
      <w:color w:val="2F5496" w:themeColor="accent1" w:themeShade="BF"/>
      <w:sz w:val="20"/>
      <w:szCs w:val="20"/>
      <w:lang w:eastAsia="it-IT"/>
    </w:rPr>
  </w:style>
  <w:style w:type="character" w:customStyle="1" w:styleId="storytoolbarreading-time">
    <w:name w:val="story__toolbar__reading-time"/>
    <w:basedOn w:val="Carpredefinitoparagrafo"/>
    <w:rsid w:val="00660087"/>
  </w:style>
  <w:style w:type="paragraph" w:customStyle="1" w:styleId="vf-share-option">
    <w:name w:val="vf-share-option"/>
    <w:basedOn w:val="Normale"/>
    <w:rsid w:val="00660087"/>
    <w:pPr>
      <w:spacing w:before="100" w:beforeAutospacing="1" w:after="100" w:afterAutospacing="1"/>
    </w:pPr>
    <w:rPr>
      <w:sz w:val="24"/>
      <w:szCs w:val="24"/>
    </w:rPr>
  </w:style>
  <w:style w:type="paragraph" w:styleId="NormaleWeb">
    <w:name w:val="Normal (Web)"/>
    <w:basedOn w:val="Normale"/>
    <w:uiPriority w:val="99"/>
    <w:semiHidden/>
    <w:unhideWhenUsed/>
    <w:rsid w:val="00660087"/>
    <w:pPr>
      <w:spacing w:before="100" w:beforeAutospacing="1" w:after="100" w:afterAutospacing="1"/>
    </w:pPr>
    <w:rPr>
      <w:sz w:val="24"/>
      <w:szCs w:val="24"/>
    </w:rPr>
  </w:style>
  <w:style w:type="character" w:customStyle="1" w:styleId="inline-articleauthor">
    <w:name w:val="inline-article__author"/>
    <w:basedOn w:val="Carpredefinitoparagrafo"/>
    <w:rsid w:val="00660087"/>
  </w:style>
  <w:style w:type="character" w:styleId="Enfasigrassetto">
    <w:name w:val="Strong"/>
    <w:basedOn w:val="Carpredefinitoparagrafo"/>
    <w:uiPriority w:val="22"/>
    <w:qFormat/>
    <w:rsid w:val="002D0D84"/>
    <w:rPr>
      <w:b/>
      <w:bCs/>
    </w:rPr>
  </w:style>
  <w:style w:type="table" w:styleId="Grigliatabella">
    <w:name w:val="Table Grid"/>
    <w:basedOn w:val="Tabellanormale"/>
    <w:uiPriority w:val="39"/>
    <w:rsid w:val="00D01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corsivo">
    <w:name w:val="Emphasis"/>
    <w:basedOn w:val="Carpredefinitoparagrafo"/>
    <w:uiPriority w:val="20"/>
    <w:qFormat/>
    <w:rsid w:val="005E173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15150">
      <w:bodyDiv w:val="1"/>
      <w:marLeft w:val="0"/>
      <w:marRight w:val="0"/>
      <w:marTop w:val="0"/>
      <w:marBottom w:val="0"/>
      <w:divBdr>
        <w:top w:val="none" w:sz="0" w:space="0" w:color="auto"/>
        <w:left w:val="none" w:sz="0" w:space="0" w:color="auto"/>
        <w:bottom w:val="none" w:sz="0" w:space="0" w:color="auto"/>
        <w:right w:val="none" w:sz="0" w:space="0" w:color="auto"/>
      </w:divBdr>
    </w:div>
    <w:div w:id="103114763">
      <w:bodyDiv w:val="1"/>
      <w:marLeft w:val="0"/>
      <w:marRight w:val="0"/>
      <w:marTop w:val="0"/>
      <w:marBottom w:val="0"/>
      <w:divBdr>
        <w:top w:val="none" w:sz="0" w:space="0" w:color="auto"/>
        <w:left w:val="none" w:sz="0" w:space="0" w:color="auto"/>
        <w:bottom w:val="none" w:sz="0" w:space="0" w:color="auto"/>
        <w:right w:val="none" w:sz="0" w:space="0" w:color="auto"/>
      </w:divBdr>
      <w:divsChild>
        <w:div w:id="1923835660">
          <w:marLeft w:val="0"/>
          <w:marRight w:val="0"/>
          <w:marTop w:val="0"/>
          <w:marBottom w:val="0"/>
          <w:divBdr>
            <w:top w:val="none" w:sz="0" w:space="0" w:color="auto"/>
            <w:left w:val="none" w:sz="0" w:space="0" w:color="auto"/>
            <w:bottom w:val="none" w:sz="0" w:space="0" w:color="auto"/>
            <w:right w:val="none" w:sz="0" w:space="0" w:color="auto"/>
          </w:divBdr>
          <w:divsChild>
            <w:div w:id="904412650">
              <w:marLeft w:val="0"/>
              <w:marRight w:val="0"/>
              <w:marTop w:val="0"/>
              <w:marBottom w:val="0"/>
              <w:divBdr>
                <w:top w:val="none" w:sz="0" w:space="0" w:color="auto"/>
                <w:left w:val="none" w:sz="0" w:space="0" w:color="auto"/>
                <w:bottom w:val="none" w:sz="0" w:space="0" w:color="auto"/>
                <w:right w:val="none" w:sz="0" w:space="0" w:color="auto"/>
              </w:divBdr>
            </w:div>
            <w:div w:id="1488789162">
              <w:marLeft w:val="0"/>
              <w:marRight w:val="0"/>
              <w:marTop w:val="0"/>
              <w:marBottom w:val="0"/>
              <w:divBdr>
                <w:top w:val="none" w:sz="0" w:space="0" w:color="auto"/>
                <w:left w:val="none" w:sz="0" w:space="0" w:color="auto"/>
                <w:bottom w:val="none" w:sz="0" w:space="0" w:color="auto"/>
                <w:right w:val="none" w:sz="0" w:space="0" w:color="auto"/>
              </w:divBdr>
            </w:div>
          </w:divsChild>
        </w:div>
        <w:div w:id="1381513404">
          <w:marLeft w:val="0"/>
          <w:marRight w:val="0"/>
          <w:marTop w:val="0"/>
          <w:marBottom w:val="0"/>
          <w:divBdr>
            <w:top w:val="single" w:sz="6" w:space="8" w:color="999999"/>
            <w:left w:val="single" w:sz="6" w:space="12" w:color="999999"/>
            <w:bottom w:val="single" w:sz="6" w:space="8" w:color="999999"/>
            <w:right w:val="single" w:sz="6" w:space="12" w:color="999999"/>
          </w:divBdr>
        </w:div>
        <w:div w:id="1708292788">
          <w:marLeft w:val="0"/>
          <w:marRight w:val="0"/>
          <w:marTop w:val="0"/>
          <w:marBottom w:val="0"/>
          <w:divBdr>
            <w:top w:val="none" w:sz="0" w:space="0" w:color="auto"/>
            <w:left w:val="single" w:sz="6" w:space="12" w:color="999999"/>
            <w:bottom w:val="none" w:sz="0" w:space="0" w:color="auto"/>
            <w:right w:val="single" w:sz="6" w:space="0" w:color="999999"/>
          </w:divBdr>
          <w:divsChild>
            <w:div w:id="1030254769">
              <w:marLeft w:val="0"/>
              <w:marRight w:val="0"/>
              <w:marTop w:val="0"/>
              <w:marBottom w:val="0"/>
              <w:divBdr>
                <w:top w:val="none" w:sz="0" w:space="0" w:color="auto"/>
                <w:left w:val="none" w:sz="0" w:space="0" w:color="auto"/>
                <w:bottom w:val="none" w:sz="0" w:space="0" w:color="auto"/>
                <w:right w:val="none" w:sz="0" w:space="0" w:color="auto"/>
              </w:divBdr>
              <w:divsChild>
                <w:div w:id="716049243">
                  <w:marLeft w:val="0"/>
                  <w:marRight w:val="0"/>
                  <w:marTop w:val="0"/>
                  <w:marBottom w:val="0"/>
                  <w:divBdr>
                    <w:top w:val="none" w:sz="0" w:space="0" w:color="auto"/>
                    <w:left w:val="none" w:sz="0" w:space="0" w:color="auto"/>
                    <w:bottom w:val="none" w:sz="0" w:space="0" w:color="auto"/>
                    <w:right w:val="none" w:sz="0" w:space="0" w:color="auto"/>
                  </w:divBdr>
                  <w:divsChild>
                    <w:div w:id="387732089">
                      <w:marLeft w:val="0"/>
                      <w:marRight w:val="0"/>
                      <w:marTop w:val="0"/>
                      <w:marBottom w:val="0"/>
                      <w:divBdr>
                        <w:top w:val="none" w:sz="0" w:space="0" w:color="auto"/>
                        <w:left w:val="none" w:sz="0" w:space="0" w:color="auto"/>
                        <w:bottom w:val="none" w:sz="0" w:space="0" w:color="auto"/>
                        <w:right w:val="none" w:sz="0" w:space="0" w:color="auto"/>
                      </w:divBdr>
                      <w:divsChild>
                        <w:div w:id="757483495">
                          <w:marLeft w:val="0"/>
                          <w:marRight w:val="0"/>
                          <w:marTop w:val="0"/>
                          <w:marBottom w:val="0"/>
                          <w:divBdr>
                            <w:top w:val="none" w:sz="0" w:space="0" w:color="auto"/>
                            <w:left w:val="none" w:sz="0" w:space="0" w:color="auto"/>
                            <w:bottom w:val="none" w:sz="0" w:space="0" w:color="auto"/>
                            <w:right w:val="none" w:sz="0" w:space="0" w:color="auto"/>
                          </w:divBdr>
                          <w:divsChild>
                            <w:div w:id="829753169">
                              <w:marLeft w:val="0"/>
                              <w:marRight w:val="0"/>
                              <w:marTop w:val="0"/>
                              <w:marBottom w:val="0"/>
                              <w:divBdr>
                                <w:top w:val="none" w:sz="0" w:space="0" w:color="auto"/>
                                <w:left w:val="none" w:sz="0" w:space="0" w:color="auto"/>
                                <w:bottom w:val="none" w:sz="0" w:space="0" w:color="auto"/>
                                <w:right w:val="none" w:sz="0" w:space="0" w:color="auto"/>
                              </w:divBdr>
                              <w:divsChild>
                                <w:div w:id="248471557">
                                  <w:marLeft w:val="0"/>
                                  <w:marRight w:val="0"/>
                                  <w:marTop w:val="0"/>
                                  <w:marBottom w:val="0"/>
                                  <w:divBdr>
                                    <w:top w:val="none" w:sz="0" w:space="0" w:color="auto"/>
                                    <w:left w:val="none" w:sz="0" w:space="0" w:color="auto"/>
                                    <w:bottom w:val="none" w:sz="0" w:space="0" w:color="auto"/>
                                    <w:right w:val="none" w:sz="0" w:space="0" w:color="auto"/>
                                  </w:divBdr>
                                  <w:divsChild>
                                    <w:div w:id="149366711">
                                      <w:marLeft w:val="0"/>
                                      <w:marRight w:val="0"/>
                                      <w:marTop w:val="0"/>
                                      <w:marBottom w:val="0"/>
                                      <w:divBdr>
                                        <w:top w:val="none" w:sz="0" w:space="0" w:color="auto"/>
                                        <w:left w:val="none" w:sz="0" w:space="0" w:color="auto"/>
                                        <w:bottom w:val="none" w:sz="0" w:space="0" w:color="auto"/>
                                        <w:right w:val="none" w:sz="0" w:space="0" w:color="auto"/>
                                      </w:divBdr>
                                    </w:div>
                                    <w:div w:id="615478472">
                                      <w:marLeft w:val="0"/>
                                      <w:marRight w:val="0"/>
                                      <w:marTop w:val="0"/>
                                      <w:marBottom w:val="0"/>
                                      <w:divBdr>
                                        <w:top w:val="none" w:sz="0" w:space="0" w:color="auto"/>
                                        <w:left w:val="none" w:sz="0" w:space="0" w:color="auto"/>
                                        <w:bottom w:val="none" w:sz="0" w:space="0" w:color="auto"/>
                                        <w:right w:val="none" w:sz="0" w:space="0" w:color="auto"/>
                                      </w:divBdr>
                                    </w:div>
                                    <w:div w:id="1397506170">
                                      <w:marLeft w:val="0"/>
                                      <w:marRight w:val="0"/>
                                      <w:marTop w:val="0"/>
                                      <w:marBottom w:val="0"/>
                                      <w:divBdr>
                                        <w:top w:val="none" w:sz="0" w:space="0" w:color="auto"/>
                                        <w:left w:val="none" w:sz="0" w:space="0" w:color="auto"/>
                                        <w:bottom w:val="none" w:sz="0" w:space="0" w:color="auto"/>
                                        <w:right w:val="none" w:sz="0" w:space="0" w:color="auto"/>
                                      </w:divBdr>
                                    </w:div>
                                    <w:div w:id="884102884">
                                      <w:marLeft w:val="0"/>
                                      <w:marRight w:val="0"/>
                                      <w:marTop w:val="0"/>
                                      <w:marBottom w:val="0"/>
                                      <w:divBdr>
                                        <w:top w:val="none" w:sz="0" w:space="0" w:color="auto"/>
                                        <w:left w:val="none" w:sz="0" w:space="0" w:color="auto"/>
                                        <w:bottom w:val="none" w:sz="0" w:space="0" w:color="auto"/>
                                        <w:right w:val="none" w:sz="0" w:space="0" w:color="auto"/>
                                      </w:divBdr>
                                    </w:div>
                                    <w:div w:id="2055543049">
                                      <w:marLeft w:val="0"/>
                                      <w:marRight w:val="0"/>
                                      <w:marTop w:val="0"/>
                                      <w:marBottom w:val="0"/>
                                      <w:divBdr>
                                        <w:top w:val="none" w:sz="0" w:space="0" w:color="auto"/>
                                        <w:left w:val="none" w:sz="0" w:space="0" w:color="auto"/>
                                        <w:bottom w:val="none" w:sz="0" w:space="0" w:color="auto"/>
                                        <w:right w:val="none" w:sz="0" w:space="0" w:color="auto"/>
                                      </w:divBdr>
                                    </w:div>
                                    <w:div w:id="123038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9199245">
                      <w:marLeft w:val="0"/>
                      <w:marRight w:val="0"/>
                      <w:marTop w:val="0"/>
                      <w:marBottom w:val="0"/>
                      <w:divBdr>
                        <w:top w:val="none" w:sz="0" w:space="0" w:color="auto"/>
                        <w:left w:val="none" w:sz="0" w:space="0" w:color="auto"/>
                        <w:bottom w:val="none" w:sz="0" w:space="0" w:color="auto"/>
                        <w:right w:val="none" w:sz="0" w:space="0" w:color="auto"/>
                      </w:divBdr>
                      <w:divsChild>
                        <w:div w:id="1353874238">
                          <w:marLeft w:val="0"/>
                          <w:marRight w:val="0"/>
                          <w:marTop w:val="0"/>
                          <w:marBottom w:val="450"/>
                          <w:divBdr>
                            <w:top w:val="none" w:sz="0" w:space="0" w:color="auto"/>
                            <w:left w:val="none" w:sz="0" w:space="0" w:color="auto"/>
                            <w:bottom w:val="none" w:sz="0" w:space="0" w:color="auto"/>
                            <w:right w:val="none" w:sz="0" w:space="0" w:color="auto"/>
                          </w:divBdr>
                          <w:divsChild>
                            <w:div w:id="493960653">
                              <w:marLeft w:val="0"/>
                              <w:marRight w:val="0"/>
                              <w:marTop w:val="0"/>
                              <w:marBottom w:val="0"/>
                              <w:divBdr>
                                <w:top w:val="none" w:sz="0" w:space="0" w:color="auto"/>
                                <w:left w:val="none" w:sz="0" w:space="0" w:color="auto"/>
                                <w:bottom w:val="none" w:sz="0" w:space="0" w:color="auto"/>
                                <w:right w:val="none" w:sz="0" w:space="0" w:color="auto"/>
                              </w:divBdr>
                            </w:div>
                            <w:div w:id="13515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4437303">
      <w:bodyDiv w:val="1"/>
      <w:marLeft w:val="0"/>
      <w:marRight w:val="0"/>
      <w:marTop w:val="0"/>
      <w:marBottom w:val="0"/>
      <w:divBdr>
        <w:top w:val="none" w:sz="0" w:space="0" w:color="auto"/>
        <w:left w:val="none" w:sz="0" w:space="0" w:color="auto"/>
        <w:bottom w:val="none" w:sz="0" w:space="0" w:color="auto"/>
        <w:right w:val="none" w:sz="0" w:space="0" w:color="auto"/>
      </w:divBdr>
      <w:divsChild>
        <w:div w:id="1223559914">
          <w:marLeft w:val="0"/>
          <w:marRight w:val="0"/>
          <w:marTop w:val="0"/>
          <w:marBottom w:val="150"/>
          <w:divBdr>
            <w:top w:val="none" w:sz="0" w:space="0" w:color="auto"/>
            <w:left w:val="none" w:sz="0" w:space="0" w:color="auto"/>
            <w:bottom w:val="none" w:sz="0" w:space="0" w:color="auto"/>
            <w:right w:val="none" w:sz="0" w:space="0" w:color="auto"/>
          </w:divBdr>
        </w:div>
        <w:div w:id="847794928">
          <w:marLeft w:val="0"/>
          <w:marRight w:val="0"/>
          <w:marTop w:val="0"/>
          <w:marBottom w:val="0"/>
          <w:divBdr>
            <w:top w:val="none" w:sz="0" w:space="0" w:color="auto"/>
            <w:left w:val="none" w:sz="0" w:space="0" w:color="auto"/>
            <w:bottom w:val="none" w:sz="0" w:space="0" w:color="auto"/>
            <w:right w:val="none" w:sz="0" w:space="0" w:color="auto"/>
          </w:divBdr>
        </w:div>
        <w:div w:id="56320181">
          <w:marLeft w:val="0"/>
          <w:marRight w:val="0"/>
          <w:marTop w:val="900"/>
          <w:marBottom w:val="900"/>
          <w:divBdr>
            <w:top w:val="none" w:sz="0" w:space="0" w:color="auto"/>
            <w:left w:val="none" w:sz="0" w:space="0" w:color="auto"/>
            <w:bottom w:val="none" w:sz="0" w:space="0" w:color="auto"/>
            <w:right w:val="none" w:sz="0" w:space="0" w:color="auto"/>
          </w:divBdr>
          <w:divsChild>
            <w:div w:id="135483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255365">
      <w:bodyDiv w:val="1"/>
      <w:marLeft w:val="0"/>
      <w:marRight w:val="0"/>
      <w:marTop w:val="0"/>
      <w:marBottom w:val="0"/>
      <w:divBdr>
        <w:top w:val="none" w:sz="0" w:space="0" w:color="auto"/>
        <w:left w:val="none" w:sz="0" w:space="0" w:color="auto"/>
        <w:bottom w:val="none" w:sz="0" w:space="0" w:color="auto"/>
        <w:right w:val="none" w:sz="0" w:space="0" w:color="auto"/>
      </w:divBdr>
    </w:div>
    <w:div w:id="1488084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chart" Target="charts/chart1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10.xm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10" Type="http://schemas.openxmlformats.org/officeDocument/2006/relationships/chart" Target="charts/chart3.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POLOLAZIONE ITALIANA AI CENSIMENTI  NEI DECENNI 1971-2021 (in migliaia)</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Serie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Foglio1!$B$2:$B$7</c:f>
              <c:numCache>
                <c:formatCode>#,##0</c:formatCode>
                <c:ptCount val="6"/>
                <c:pt idx="0">
                  <c:v>54137</c:v>
                </c:pt>
                <c:pt idx="1">
                  <c:v>56557</c:v>
                </c:pt>
                <c:pt idx="2">
                  <c:v>56778</c:v>
                </c:pt>
                <c:pt idx="3">
                  <c:v>56996</c:v>
                </c:pt>
                <c:pt idx="4">
                  <c:v>59433</c:v>
                </c:pt>
                <c:pt idx="5">
                  <c:v>58983</c:v>
                </c:pt>
              </c:numCache>
            </c:numRef>
          </c:val>
          <c:smooth val="0"/>
          <c:extLst>
            <c:ext xmlns:c16="http://schemas.microsoft.com/office/drawing/2014/chart" uri="{C3380CC4-5D6E-409C-BE32-E72D297353CC}">
              <c16:uniqueId val="{00000000-5311-4DB9-B755-1461ADB3DAA9}"/>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Foglio1!$C$2:$C$7</c:f>
              <c:numCache>
                <c:formatCode>General</c:formatCode>
                <c:ptCount val="6"/>
                <c:pt idx="0">
                  <c:v>2.4</c:v>
                </c:pt>
                <c:pt idx="1">
                  <c:v>4.4000000000000004</c:v>
                </c:pt>
                <c:pt idx="2">
                  <c:v>1.8</c:v>
                </c:pt>
                <c:pt idx="3">
                  <c:v>2.8</c:v>
                </c:pt>
              </c:numCache>
            </c:numRef>
          </c:val>
          <c:smooth val="0"/>
          <c:extLst>
            <c:ext xmlns:c16="http://schemas.microsoft.com/office/drawing/2014/chart" uri="{C3380CC4-5D6E-409C-BE32-E72D297353CC}">
              <c16:uniqueId val="{00000001-5311-4DB9-B755-1461ADB3DAA9}"/>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Foglio1!$D$2:$D$7</c:f>
              <c:numCache>
                <c:formatCode>General</c:formatCode>
                <c:ptCount val="6"/>
                <c:pt idx="0">
                  <c:v>2</c:v>
                </c:pt>
                <c:pt idx="1">
                  <c:v>2</c:v>
                </c:pt>
                <c:pt idx="2">
                  <c:v>3</c:v>
                </c:pt>
                <c:pt idx="3">
                  <c:v>5</c:v>
                </c:pt>
              </c:numCache>
            </c:numRef>
          </c:val>
          <c:smooth val="0"/>
          <c:extLst>
            <c:ext xmlns:c16="http://schemas.microsoft.com/office/drawing/2014/chart" uri="{C3380CC4-5D6E-409C-BE32-E72D297353CC}">
              <c16:uniqueId val="{00000002-5311-4DB9-B755-1461ADB3DAA9}"/>
            </c:ext>
          </c:extLst>
        </c:ser>
        <c:dLbls>
          <c:dLblPos val="ctr"/>
          <c:showLegendKey val="0"/>
          <c:showVal val="1"/>
          <c:showCatName val="0"/>
          <c:showSerName val="0"/>
          <c:showPercent val="0"/>
          <c:showBubbleSize val="0"/>
        </c:dLbls>
        <c:smooth val="0"/>
        <c:axId val="1773256543"/>
        <c:axId val="1773264447"/>
      </c:lineChart>
      <c:catAx>
        <c:axId val="1773256543"/>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64447"/>
        <c:crosses val="autoZero"/>
        <c:auto val="1"/>
        <c:lblAlgn val="ctr"/>
        <c:lblOffset val="100"/>
        <c:noMultiLvlLbl val="0"/>
      </c:catAx>
      <c:valAx>
        <c:axId val="1773264447"/>
        <c:scaling>
          <c:orientation val="minMax"/>
        </c:scaling>
        <c:delete val="0"/>
        <c:axPos val="l"/>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565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NUMERO  DELLE FAMIGLIE  NEI DECENNI 1971-2021 (in migliaia)</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Serie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Foglio1!$B$2:$B$7</c:f>
              <c:numCache>
                <c:formatCode>#,##0</c:formatCode>
                <c:ptCount val="6"/>
                <c:pt idx="0">
                  <c:v>15981</c:v>
                </c:pt>
                <c:pt idx="1">
                  <c:v>18632</c:v>
                </c:pt>
                <c:pt idx="2">
                  <c:v>19909</c:v>
                </c:pt>
                <c:pt idx="3">
                  <c:v>21811</c:v>
                </c:pt>
                <c:pt idx="4">
                  <c:v>24512</c:v>
                </c:pt>
                <c:pt idx="5">
                  <c:v>25594</c:v>
                </c:pt>
              </c:numCache>
            </c:numRef>
          </c:val>
          <c:smooth val="0"/>
          <c:extLst>
            <c:ext xmlns:c16="http://schemas.microsoft.com/office/drawing/2014/chart" uri="{C3380CC4-5D6E-409C-BE32-E72D297353CC}">
              <c16:uniqueId val="{00000000-77EB-458C-8E07-CCC903D9F133}"/>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delete val="1"/>
          </c:dLbls>
          <c:cat>
            <c:numRef>
              <c:f>Foglio1!$A$2:$A$7</c:f>
              <c:numCache>
                <c:formatCode>General</c:formatCode>
                <c:ptCount val="6"/>
                <c:pt idx="0">
                  <c:v>1971</c:v>
                </c:pt>
                <c:pt idx="1">
                  <c:v>1981</c:v>
                </c:pt>
                <c:pt idx="2">
                  <c:v>1991</c:v>
                </c:pt>
                <c:pt idx="3">
                  <c:v>2001</c:v>
                </c:pt>
                <c:pt idx="4">
                  <c:v>2011</c:v>
                </c:pt>
                <c:pt idx="5">
                  <c:v>2021</c:v>
                </c:pt>
              </c:numCache>
            </c:numRef>
          </c:cat>
          <c:val>
            <c:numRef>
              <c:f>Foglio1!$C$2:$C$7</c:f>
              <c:numCache>
                <c:formatCode>General</c:formatCode>
                <c:ptCount val="6"/>
                <c:pt idx="0">
                  <c:v>2.4</c:v>
                </c:pt>
                <c:pt idx="1">
                  <c:v>4.4000000000000004</c:v>
                </c:pt>
                <c:pt idx="2">
                  <c:v>1.8</c:v>
                </c:pt>
                <c:pt idx="3">
                  <c:v>2.8</c:v>
                </c:pt>
              </c:numCache>
            </c:numRef>
          </c:val>
          <c:smooth val="0"/>
          <c:extLst>
            <c:ext xmlns:c16="http://schemas.microsoft.com/office/drawing/2014/chart" uri="{C3380CC4-5D6E-409C-BE32-E72D297353CC}">
              <c16:uniqueId val="{00000001-77EB-458C-8E07-CCC903D9F133}"/>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delete val="1"/>
          </c:dLbls>
          <c:cat>
            <c:numRef>
              <c:f>Foglio1!$A$2:$A$7</c:f>
              <c:numCache>
                <c:formatCode>General</c:formatCode>
                <c:ptCount val="6"/>
                <c:pt idx="0">
                  <c:v>1971</c:v>
                </c:pt>
                <c:pt idx="1">
                  <c:v>1981</c:v>
                </c:pt>
                <c:pt idx="2">
                  <c:v>1991</c:v>
                </c:pt>
                <c:pt idx="3">
                  <c:v>2001</c:v>
                </c:pt>
                <c:pt idx="4">
                  <c:v>2011</c:v>
                </c:pt>
                <c:pt idx="5">
                  <c:v>2021</c:v>
                </c:pt>
              </c:numCache>
            </c:numRef>
          </c:cat>
          <c:val>
            <c:numRef>
              <c:f>Foglio1!$D$2:$D$7</c:f>
              <c:numCache>
                <c:formatCode>General</c:formatCode>
                <c:ptCount val="6"/>
                <c:pt idx="0">
                  <c:v>2</c:v>
                </c:pt>
                <c:pt idx="1">
                  <c:v>2</c:v>
                </c:pt>
                <c:pt idx="2">
                  <c:v>3</c:v>
                </c:pt>
                <c:pt idx="3">
                  <c:v>5</c:v>
                </c:pt>
              </c:numCache>
            </c:numRef>
          </c:val>
          <c:smooth val="0"/>
          <c:extLst>
            <c:ext xmlns:c16="http://schemas.microsoft.com/office/drawing/2014/chart" uri="{C3380CC4-5D6E-409C-BE32-E72D297353CC}">
              <c16:uniqueId val="{00000002-77EB-458C-8E07-CCC903D9F133}"/>
            </c:ext>
          </c:extLst>
        </c:ser>
        <c:dLbls>
          <c:dLblPos val="ctr"/>
          <c:showLegendKey val="0"/>
          <c:showVal val="1"/>
          <c:showCatName val="0"/>
          <c:showSerName val="0"/>
          <c:showPercent val="0"/>
          <c:showBubbleSize val="0"/>
        </c:dLbls>
        <c:smooth val="0"/>
        <c:axId val="1773256543"/>
        <c:axId val="1773264447"/>
      </c:lineChart>
      <c:catAx>
        <c:axId val="1773256543"/>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64447"/>
        <c:crosses val="autoZero"/>
        <c:auto val="1"/>
        <c:lblAlgn val="ctr"/>
        <c:lblOffset val="100"/>
        <c:noMultiLvlLbl val="0"/>
      </c:catAx>
      <c:valAx>
        <c:axId val="1773264447"/>
        <c:scaling>
          <c:orientation val="minMax"/>
        </c:scaling>
        <c:delete val="0"/>
        <c:axPos val="l"/>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565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NUMERO  DELLE FAMIGLIE  MONOPARENTALI NEI DECENNI 1971-2021 (in migliaia)</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Serie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Foglio1!$B$2:$B$7</c:f>
              <c:numCache>
                <c:formatCode>#,##0</c:formatCode>
                <c:ptCount val="6"/>
                <c:pt idx="0">
                  <c:v>2061</c:v>
                </c:pt>
                <c:pt idx="1">
                  <c:v>3335</c:v>
                </c:pt>
                <c:pt idx="2">
                  <c:v>4101</c:v>
                </c:pt>
                <c:pt idx="3">
                  <c:v>5421</c:v>
                </c:pt>
                <c:pt idx="4">
                  <c:v>7196</c:v>
                </c:pt>
                <c:pt idx="5">
                  <c:v>8491</c:v>
                </c:pt>
              </c:numCache>
            </c:numRef>
          </c:val>
          <c:smooth val="0"/>
          <c:extLst>
            <c:ext xmlns:c16="http://schemas.microsoft.com/office/drawing/2014/chart" uri="{C3380CC4-5D6E-409C-BE32-E72D297353CC}">
              <c16:uniqueId val="{00000000-5D4B-4327-B641-E61043477C87}"/>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Foglio1!$C$2:$C$7</c:f>
              <c:numCache>
                <c:formatCode>General</c:formatCode>
                <c:ptCount val="6"/>
                <c:pt idx="0">
                  <c:v>2.4</c:v>
                </c:pt>
                <c:pt idx="1">
                  <c:v>4.4000000000000004</c:v>
                </c:pt>
                <c:pt idx="2">
                  <c:v>1.8</c:v>
                </c:pt>
                <c:pt idx="3">
                  <c:v>2.8</c:v>
                </c:pt>
              </c:numCache>
            </c:numRef>
          </c:val>
          <c:smooth val="0"/>
          <c:extLst>
            <c:ext xmlns:c16="http://schemas.microsoft.com/office/drawing/2014/chart" uri="{C3380CC4-5D6E-409C-BE32-E72D297353CC}">
              <c16:uniqueId val="{00000001-5D4B-4327-B641-E61043477C87}"/>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Foglio1!$D$2:$D$7</c:f>
              <c:numCache>
                <c:formatCode>General</c:formatCode>
                <c:ptCount val="6"/>
                <c:pt idx="0">
                  <c:v>2</c:v>
                </c:pt>
                <c:pt idx="1">
                  <c:v>2</c:v>
                </c:pt>
                <c:pt idx="2">
                  <c:v>3</c:v>
                </c:pt>
                <c:pt idx="3">
                  <c:v>5</c:v>
                </c:pt>
              </c:numCache>
            </c:numRef>
          </c:val>
          <c:smooth val="0"/>
          <c:extLst>
            <c:ext xmlns:c16="http://schemas.microsoft.com/office/drawing/2014/chart" uri="{C3380CC4-5D6E-409C-BE32-E72D297353CC}">
              <c16:uniqueId val="{00000002-5D4B-4327-B641-E61043477C87}"/>
            </c:ext>
          </c:extLst>
        </c:ser>
        <c:dLbls>
          <c:dLblPos val="ctr"/>
          <c:showLegendKey val="0"/>
          <c:showVal val="1"/>
          <c:showCatName val="0"/>
          <c:showSerName val="0"/>
          <c:showPercent val="0"/>
          <c:showBubbleSize val="0"/>
        </c:dLbls>
        <c:smooth val="0"/>
        <c:axId val="1773256543"/>
        <c:axId val="1773264447"/>
      </c:lineChart>
      <c:catAx>
        <c:axId val="1773256543"/>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64447"/>
        <c:crosses val="autoZero"/>
        <c:auto val="1"/>
        <c:lblAlgn val="ctr"/>
        <c:lblOffset val="100"/>
        <c:noMultiLvlLbl val="0"/>
      </c:catAx>
      <c:valAx>
        <c:axId val="1773264447"/>
        <c:scaling>
          <c:orientation val="minMax"/>
        </c:scaling>
        <c:delete val="0"/>
        <c:axPos val="l"/>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565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NUMERO  DELLE FAMIGLIE  CON 2 COMPONENTI  NEI DECENNI 1971-2021 </a:t>
            </a:r>
          </a:p>
          <a:p>
            <a:pPr>
              <a:defRPr/>
            </a:pPr>
            <a:r>
              <a:rPr lang="it-IT"/>
              <a:t>(in migliaia)</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Serie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Foglio1!$B$2:$B$7</c:f>
              <c:numCache>
                <c:formatCode>#,##0</c:formatCode>
                <c:ptCount val="6"/>
                <c:pt idx="0">
                  <c:v>3516</c:v>
                </c:pt>
                <c:pt idx="1">
                  <c:v>4397</c:v>
                </c:pt>
                <c:pt idx="2">
                  <c:v>4917</c:v>
                </c:pt>
                <c:pt idx="3">
                  <c:v>5910</c:v>
                </c:pt>
                <c:pt idx="4">
                  <c:v>6732</c:v>
                </c:pt>
                <c:pt idx="5">
                  <c:v>7094</c:v>
                </c:pt>
              </c:numCache>
            </c:numRef>
          </c:val>
          <c:smooth val="0"/>
          <c:extLst>
            <c:ext xmlns:c16="http://schemas.microsoft.com/office/drawing/2014/chart" uri="{C3380CC4-5D6E-409C-BE32-E72D297353CC}">
              <c16:uniqueId val="{00000000-3C18-4879-BB0B-77095BD633C7}"/>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Foglio1!$C$2:$C$7</c:f>
              <c:numCache>
                <c:formatCode>General</c:formatCode>
                <c:ptCount val="6"/>
                <c:pt idx="0">
                  <c:v>2.4</c:v>
                </c:pt>
                <c:pt idx="1">
                  <c:v>4.4000000000000004</c:v>
                </c:pt>
                <c:pt idx="2">
                  <c:v>1.8</c:v>
                </c:pt>
              </c:numCache>
            </c:numRef>
          </c:val>
          <c:smooth val="0"/>
          <c:extLst>
            <c:ext xmlns:c16="http://schemas.microsoft.com/office/drawing/2014/chart" uri="{C3380CC4-5D6E-409C-BE32-E72D297353CC}">
              <c16:uniqueId val="{00000001-3C18-4879-BB0B-77095BD633C7}"/>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Foglio1!$D$2:$D$7</c:f>
              <c:numCache>
                <c:formatCode>General</c:formatCode>
                <c:ptCount val="6"/>
                <c:pt idx="0">
                  <c:v>2</c:v>
                </c:pt>
                <c:pt idx="1">
                  <c:v>2</c:v>
                </c:pt>
                <c:pt idx="2">
                  <c:v>3</c:v>
                </c:pt>
                <c:pt idx="3">
                  <c:v>5</c:v>
                </c:pt>
              </c:numCache>
            </c:numRef>
          </c:val>
          <c:smooth val="0"/>
          <c:extLst>
            <c:ext xmlns:c16="http://schemas.microsoft.com/office/drawing/2014/chart" uri="{C3380CC4-5D6E-409C-BE32-E72D297353CC}">
              <c16:uniqueId val="{00000002-3C18-4879-BB0B-77095BD633C7}"/>
            </c:ext>
          </c:extLst>
        </c:ser>
        <c:dLbls>
          <c:dLblPos val="ctr"/>
          <c:showLegendKey val="0"/>
          <c:showVal val="1"/>
          <c:showCatName val="0"/>
          <c:showSerName val="0"/>
          <c:showPercent val="0"/>
          <c:showBubbleSize val="0"/>
        </c:dLbls>
        <c:smooth val="0"/>
        <c:axId val="1773256543"/>
        <c:axId val="1773264447"/>
      </c:lineChart>
      <c:catAx>
        <c:axId val="1773256543"/>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64447"/>
        <c:crosses val="autoZero"/>
        <c:auto val="1"/>
        <c:lblAlgn val="ctr"/>
        <c:lblOffset val="100"/>
        <c:noMultiLvlLbl val="0"/>
      </c:catAx>
      <c:valAx>
        <c:axId val="1773264447"/>
        <c:scaling>
          <c:orientation val="minMax"/>
        </c:scaling>
        <c:delete val="0"/>
        <c:axPos val="l"/>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565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NUMERO  DELLE FAMIGLIE  CON 3 COMPONENTI  NEI DECENNI 1971-2021 </a:t>
            </a:r>
          </a:p>
          <a:p>
            <a:pPr>
              <a:defRPr/>
            </a:pPr>
            <a:r>
              <a:rPr lang="it-IT"/>
              <a:t>(in</a:t>
            </a:r>
            <a:r>
              <a:rPr lang="it-IT" baseline="0"/>
              <a:t> migliaia)</a:t>
            </a:r>
            <a:endParaRPr lang="it-IT"/>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Serie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Foglio1!$B$2:$B$7</c:f>
              <c:numCache>
                <c:formatCode>#,##0</c:formatCode>
                <c:ptCount val="6"/>
                <c:pt idx="0">
                  <c:v>3580</c:v>
                </c:pt>
                <c:pt idx="1">
                  <c:v>4118</c:v>
                </c:pt>
                <c:pt idx="2">
                  <c:v>4420</c:v>
                </c:pt>
                <c:pt idx="3">
                  <c:v>4711</c:v>
                </c:pt>
                <c:pt idx="4">
                  <c:v>5003</c:v>
                </c:pt>
                <c:pt idx="5">
                  <c:v>4834</c:v>
                </c:pt>
              </c:numCache>
            </c:numRef>
          </c:val>
          <c:smooth val="0"/>
          <c:extLst>
            <c:ext xmlns:c16="http://schemas.microsoft.com/office/drawing/2014/chart" uri="{C3380CC4-5D6E-409C-BE32-E72D297353CC}">
              <c16:uniqueId val="{00000000-22B3-46E4-B25E-D71EB687550E}"/>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Foglio1!$C$2:$C$7</c:f>
              <c:numCache>
                <c:formatCode>General</c:formatCode>
                <c:ptCount val="6"/>
                <c:pt idx="0">
                  <c:v>2.4</c:v>
                </c:pt>
                <c:pt idx="1">
                  <c:v>4.4000000000000004</c:v>
                </c:pt>
                <c:pt idx="2">
                  <c:v>1.8</c:v>
                </c:pt>
              </c:numCache>
            </c:numRef>
          </c:val>
          <c:smooth val="0"/>
          <c:extLst>
            <c:ext xmlns:c16="http://schemas.microsoft.com/office/drawing/2014/chart" uri="{C3380CC4-5D6E-409C-BE32-E72D297353CC}">
              <c16:uniqueId val="{00000001-22B3-46E4-B25E-D71EB687550E}"/>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Foglio1!$D$2:$D$7</c:f>
              <c:numCache>
                <c:formatCode>General</c:formatCode>
                <c:ptCount val="6"/>
                <c:pt idx="0">
                  <c:v>2</c:v>
                </c:pt>
                <c:pt idx="1">
                  <c:v>2</c:v>
                </c:pt>
                <c:pt idx="2">
                  <c:v>3</c:v>
                </c:pt>
                <c:pt idx="3">
                  <c:v>5</c:v>
                </c:pt>
              </c:numCache>
            </c:numRef>
          </c:val>
          <c:smooth val="0"/>
          <c:extLst>
            <c:ext xmlns:c16="http://schemas.microsoft.com/office/drawing/2014/chart" uri="{C3380CC4-5D6E-409C-BE32-E72D297353CC}">
              <c16:uniqueId val="{00000002-22B3-46E4-B25E-D71EB687550E}"/>
            </c:ext>
          </c:extLst>
        </c:ser>
        <c:dLbls>
          <c:dLblPos val="ctr"/>
          <c:showLegendKey val="0"/>
          <c:showVal val="1"/>
          <c:showCatName val="0"/>
          <c:showSerName val="0"/>
          <c:showPercent val="0"/>
          <c:showBubbleSize val="0"/>
        </c:dLbls>
        <c:smooth val="0"/>
        <c:axId val="1773256543"/>
        <c:axId val="1773264447"/>
      </c:lineChart>
      <c:catAx>
        <c:axId val="1773256543"/>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64447"/>
        <c:crosses val="autoZero"/>
        <c:auto val="1"/>
        <c:lblAlgn val="ctr"/>
        <c:lblOffset val="100"/>
        <c:noMultiLvlLbl val="0"/>
      </c:catAx>
      <c:valAx>
        <c:axId val="1773264447"/>
        <c:scaling>
          <c:orientation val="minMax"/>
        </c:scaling>
        <c:delete val="0"/>
        <c:axPos val="l"/>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565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NUMERO  DELLE FAMIGLIE  CON 4 COMPONENTI  NEI DECENNI 1971-2021 </a:t>
            </a:r>
          </a:p>
          <a:p>
            <a:pPr>
              <a:defRPr/>
            </a:pPr>
            <a:r>
              <a:rPr lang="it-IT"/>
              <a:t>(in</a:t>
            </a:r>
            <a:r>
              <a:rPr lang="it-IT" baseline="0"/>
              <a:t> migliaia)</a:t>
            </a:r>
            <a:endParaRPr lang="it-IT"/>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Serie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Foglio1!$B$2:$B$7</c:f>
              <c:numCache>
                <c:formatCode>#,##0</c:formatCode>
                <c:ptCount val="6"/>
                <c:pt idx="0">
                  <c:v>3388</c:v>
                </c:pt>
                <c:pt idx="1">
                  <c:v>4006</c:v>
                </c:pt>
                <c:pt idx="2">
                  <c:v>4220</c:v>
                </c:pt>
                <c:pt idx="3">
                  <c:v>4134</c:v>
                </c:pt>
                <c:pt idx="4">
                  <c:v>4204</c:v>
                </c:pt>
                <c:pt idx="5">
                  <c:v>3878</c:v>
                </c:pt>
              </c:numCache>
            </c:numRef>
          </c:val>
          <c:smooth val="0"/>
          <c:extLst>
            <c:ext xmlns:c16="http://schemas.microsoft.com/office/drawing/2014/chart" uri="{C3380CC4-5D6E-409C-BE32-E72D297353CC}">
              <c16:uniqueId val="{00000000-3B65-4250-8F45-070E678B2163}"/>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Foglio1!$C$2:$C$7</c:f>
              <c:numCache>
                <c:formatCode>General</c:formatCode>
                <c:ptCount val="6"/>
                <c:pt idx="0">
                  <c:v>2.4</c:v>
                </c:pt>
                <c:pt idx="1">
                  <c:v>4.4000000000000004</c:v>
                </c:pt>
                <c:pt idx="2">
                  <c:v>1.8</c:v>
                </c:pt>
              </c:numCache>
            </c:numRef>
          </c:val>
          <c:smooth val="0"/>
          <c:extLst>
            <c:ext xmlns:c16="http://schemas.microsoft.com/office/drawing/2014/chart" uri="{C3380CC4-5D6E-409C-BE32-E72D297353CC}">
              <c16:uniqueId val="{00000001-3B65-4250-8F45-070E678B2163}"/>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Foglio1!$D$2:$D$7</c:f>
              <c:numCache>
                <c:formatCode>General</c:formatCode>
                <c:ptCount val="6"/>
                <c:pt idx="0">
                  <c:v>2</c:v>
                </c:pt>
                <c:pt idx="1">
                  <c:v>2</c:v>
                </c:pt>
                <c:pt idx="2">
                  <c:v>3</c:v>
                </c:pt>
                <c:pt idx="3">
                  <c:v>5</c:v>
                </c:pt>
              </c:numCache>
            </c:numRef>
          </c:val>
          <c:smooth val="0"/>
          <c:extLst>
            <c:ext xmlns:c16="http://schemas.microsoft.com/office/drawing/2014/chart" uri="{C3380CC4-5D6E-409C-BE32-E72D297353CC}">
              <c16:uniqueId val="{00000002-3B65-4250-8F45-070E678B2163}"/>
            </c:ext>
          </c:extLst>
        </c:ser>
        <c:dLbls>
          <c:dLblPos val="ctr"/>
          <c:showLegendKey val="0"/>
          <c:showVal val="1"/>
          <c:showCatName val="0"/>
          <c:showSerName val="0"/>
          <c:showPercent val="0"/>
          <c:showBubbleSize val="0"/>
        </c:dLbls>
        <c:smooth val="0"/>
        <c:axId val="1773256543"/>
        <c:axId val="1773264447"/>
      </c:lineChart>
      <c:catAx>
        <c:axId val="1773256543"/>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64447"/>
        <c:crosses val="autoZero"/>
        <c:auto val="1"/>
        <c:lblAlgn val="ctr"/>
        <c:lblOffset val="100"/>
        <c:noMultiLvlLbl val="0"/>
      </c:catAx>
      <c:valAx>
        <c:axId val="1773264447"/>
        <c:scaling>
          <c:orientation val="minMax"/>
        </c:scaling>
        <c:delete val="0"/>
        <c:axPos val="l"/>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565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NUMERO  DELLE FAMIGLIE  CON 5 COMPONENTI  NEI DECENNI 1971-2021 </a:t>
            </a:r>
          </a:p>
          <a:p>
            <a:pPr>
              <a:defRPr/>
            </a:pPr>
            <a:r>
              <a:rPr lang="it-IT"/>
              <a:t>(in migliaia)</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Serie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Foglio1!$B$2:$B$7</c:f>
              <c:numCache>
                <c:formatCode>#,##0</c:formatCode>
                <c:ptCount val="6"/>
                <c:pt idx="0">
                  <c:v>1866</c:v>
                </c:pt>
                <c:pt idx="1">
                  <c:v>1770</c:v>
                </c:pt>
                <c:pt idx="2">
                  <c:v>1573</c:v>
                </c:pt>
                <c:pt idx="3">
                  <c:v>1265</c:v>
                </c:pt>
                <c:pt idx="4">
                  <c:v>1059</c:v>
                </c:pt>
                <c:pt idx="5">
                  <c:v>997</c:v>
                </c:pt>
              </c:numCache>
            </c:numRef>
          </c:val>
          <c:smooth val="0"/>
          <c:extLst>
            <c:ext xmlns:c16="http://schemas.microsoft.com/office/drawing/2014/chart" uri="{C3380CC4-5D6E-409C-BE32-E72D297353CC}">
              <c16:uniqueId val="{00000000-B51D-43A4-86E9-0EE55FA4724D}"/>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Foglio1!$C$2:$C$7</c:f>
              <c:numCache>
                <c:formatCode>General</c:formatCode>
                <c:ptCount val="6"/>
                <c:pt idx="0">
                  <c:v>2.4</c:v>
                </c:pt>
                <c:pt idx="1">
                  <c:v>4.4000000000000004</c:v>
                </c:pt>
                <c:pt idx="2">
                  <c:v>1.8</c:v>
                </c:pt>
              </c:numCache>
            </c:numRef>
          </c:val>
          <c:smooth val="0"/>
          <c:extLst>
            <c:ext xmlns:c16="http://schemas.microsoft.com/office/drawing/2014/chart" uri="{C3380CC4-5D6E-409C-BE32-E72D297353CC}">
              <c16:uniqueId val="{00000001-B51D-43A4-86E9-0EE55FA4724D}"/>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Foglio1!$D$2:$D$7</c:f>
              <c:numCache>
                <c:formatCode>General</c:formatCode>
                <c:ptCount val="6"/>
                <c:pt idx="0">
                  <c:v>2</c:v>
                </c:pt>
                <c:pt idx="1">
                  <c:v>2</c:v>
                </c:pt>
                <c:pt idx="2">
                  <c:v>3</c:v>
                </c:pt>
                <c:pt idx="3">
                  <c:v>5</c:v>
                </c:pt>
              </c:numCache>
            </c:numRef>
          </c:val>
          <c:smooth val="0"/>
          <c:extLst>
            <c:ext xmlns:c16="http://schemas.microsoft.com/office/drawing/2014/chart" uri="{C3380CC4-5D6E-409C-BE32-E72D297353CC}">
              <c16:uniqueId val="{00000002-B51D-43A4-86E9-0EE55FA4724D}"/>
            </c:ext>
          </c:extLst>
        </c:ser>
        <c:dLbls>
          <c:dLblPos val="ctr"/>
          <c:showLegendKey val="0"/>
          <c:showVal val="1"/>
          <c:showCatName val="0"/>
          <c:showSerName val="0"/>
          <c:showPercent val="0"/>
          <c:showBubbleSize val="0"/>
        </c:dLbls>
        <c:smooth val="0"/>
        <c:axId val="1773256543"/>
        <c:axId val="1773264447"/>
      </c:lineChart>
      <c:catAx>
        <c:axId val="1773256543"/>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64447"/>
        <c:crosses val="autoZero"/>
        <c:auto val="1"/>
        <c:lblAlgn val="ctr"/>
        <c:lblOffset val="100"/>
        <c:noMultiLvlLbl val="0"/>
      </c:catAx>
      <c:valAx>
        <c:axId val="1773264447"/>
        <c:scaling>
          <c:orientation val="minMax"/>
        </c:scaling>
        <c:delete val="0"/>
        <c:axPos val="l"/>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565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NUMERO  DELLE FAMIGLIE  CON 6 &lt; COMPONENTI  NEI DECENNI 1971-2021 </a:t>
            </a:r>
          </a:p>
          <a:p>
            <a:pPr>
              <a:defRPr/>
            </a:pPr>
            <a:r>
              <a:rPr lang="it-IT"/>
              <a:t>(in migliaia)</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Serie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Foglio1!$B$2:$B$7</c:f>
              <c:numCache>
                <c:formatCode>#,##0</c:formatCode>
                <c:ptCount val="6"/>
                <c:pt idx="0">
                  <c:v>1550</c:v>
                </c:pt>
                <c:pt idx="1">
                  <c:v>1006</c:v>
                </c:pt>
                <c:pt idx="2">
                  <c:v>678</c:v>
                </c:pt>
                <c:pt idx="3">
                  <c:v>370</c:v>
                </c:pt>
                <c:pt idx="4">
                  <c:v>319</c:v>
                </c:pt>
                <c:pt idx="5">
                  <c:v>308</c:v>
                </c:pt>
              </c:numCache>
            </c:numRef>
          </c:val>
          <c:smooth val="0"/>
          <c:extLst>
            <c:ext xmlns:c16="http://schemas.microsoft.com/office/drawing/2014/chart" uri="{C3380CC4-5D6E-409C-BE32-E72D297353CC}">
              <c16:uniqueId val="{00000000-6CF3-479F-9C48-0D46739F5949}"/>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Foglio1!$C$2:$C$7</c:f>
              <c:numCache>
                <c:formatCode>General</c:formatCode>
                <c:ptCount val="6"/>
                <c:pt idx="0">
                  <c:v>2.4</c:v>
                </c:pt>
                <c:pt idx="1">
                  <c:v>4.4000000000000004</c:v>
                </c:pt>
                <c:pt idx="2">
                  <c:v>1.8</c:v>
                </c:pt>
              </c:numCache>
            </c:numRef>
          </c:val>
          <c:smooth val="0"/>
          <c:extLst>
            <c:ext xmlns:c16="http://schemas.microsoft.com/office/drawing/2014/chart" uri="{C3380CC4-5D6E-409C-BE32-E72D297353CC}">
              <c16:uniqueId val="{00000001-6CF3-479F-9C48-0D46739F5949}"/>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Foglio1!$D$2:$D$7</c:f>
              <c:numCache>
                <c:formatCode>General</c:formatCode>
                <c:ptCount val="6"/>
                <c:pt idx="0">
                  <c:v>2</c:v>
                </c:pt>
                <c:pt idx="1">
                  <c:v>2</c:v>
                </c:pt>
                <c:pt idx="2">
                  <c:v>3</c:v>
                </c:pt>
                <c:pt idx="3">
                  <c:v>5</c:v>
                </c:pt>
              </c:numCache>
            </c:numRef>
          </c:val>
          <c:smooth val="0"/>
          <c:extLst>
            <c:ext xmlns:c16="http://schemas.microsoft.com/office/drawing/2014/chart" uri="{C3380CC4-5D6E-409C-BE32-E72D297353CC}">
              <c16:uniqueId val="{00000002-6CF3-479F-9C48-0D46739F5949}"/>
            </c:ext>
          </c:extLst>
        </c:ser>
        <c:dLbls>
          <c:dLblPos val="ctr"/>
          <c:showLegendKey val="0"/>
          <c:showVal val="1"/>
          <c:showCatName val="0"/>
          <c:showSerName val="0"/>
          <c:showPercent val="0"/>
          <c:showBubbleSize val="0"/>
        </c:dLbls>
        <c:smooth val="0"/>
        <c:axId val="1773256543"/>
        <c:axId val="1773264447"/>
      </c:lineChart>
      <c:catAx>
        <c:axId val="1773256543"/>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64447"/>
        <c:crosses val="autoZero"/>
        <c:auto val="1"/>
        <c:lblAlgn val="ctr"/>
        <c:lblOffset val="100"/>
        <c:noMultiLvlLbl val="0"/>
      </c:catAx>
      <c:valAx>
        <c:axId val="1773264447"/>
        <c:scaling>
          <c:orientation val="minMax"/>
        </c:scaling>
        <c:delete val="0"/>
        <c:axPos val="l"/>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565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NUMERO  DEI NATI  NEI DECENNI 1971-2021</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Serie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Foglio1!$B$2:$B$7</c:f>
              <c:numCache>
                <c:formatCode>#,##0</c:formatCode>
                <c:ptCount val="6"/>
                <c:pt idx="0">
                  <c:v>906182</c:v>
                </c:pt>
                <c:pt idx="1">
                  <c:v>623103</c:v>
                </c:pt>
                <c:pt idx="2">
                  <c:v>562767</c:v>
                </c:pt>
                <c:pt idx="3">
                  <c:v>535282</c:v>
                </c:pt>
                <c:pt idx="4">
                  <c:v>546607</c:v>
                </c:pt>
                <c:pt idx="5">
                  <c:v>399400</c:v>
                </c:pt>
              </c:numCache>
            </c:numRef>
          </c:val>
          <c:smooth val="0"/>
          <c:extLst>
            <c:ext xmlns:c16="http://schemas.microsoft.com/office/drawing/2014/chart" uri="{C3380CC4-5D6E-409C-BE32-E72D297353CC}">
              <c16:uniqueId val="{00000000-9DED-4BA8-85AE-8F91AEA33952}"/>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Foglio1!$C$2:$C$7</c:f>
              <c:numCache>
                <c:formatCode>General</c:formatCode>
                <c:ptCount val="6"/>
                <c:pt idx="0">
                  <c:v>2.4</c:v>
                </c:pt>
                <c:pt idx="1">
                  <c:v>4.4000000000000004</c:v>
                </c:pt>
                <c:pt idx="2">
                  <c:v>1.8</c:v>
                </c:pt>
                <c:pt idx="3">
                  <c:v>2.8</c:v>
                </c:pt>
              </c:numCache>
            </c:numRef>
          </c:val>
          <c:smooth val="0"/>
          <c:extLst>
            <c:ext xmlns:c16="http://schemas.microsoft.com/office/drawing/2014/chart" uri="{C3380CC4-5D6E-409C-BE32-E72D297353CC}">
              <c16:uniqueId val="{00000001-9DED-4BA8-85AE-8F91AEA33952}"/>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Foglio1!$D$2:$D$7</c:f>
              <c:numCache>
                <c:formatCode>General</c:formatCode>
                <c:ptCount val="6"/>
                <c:pt idx="0">
                  <c:v>2</c:v>
                </c:pt>
                <c:pt idx="1">
                  <c:v>2</c:v>
                </c:pt>
                <c:pt idx="2">
                  <c:v>3</c:v>
                </c:pt>
                <c:pt idx="3">
                  <c:v>5</c:v>
                </c:pt>
              </c:numCache>
            </c:numRef>
          </c:val>
          <c:smooth val="0"/>
          <c:extLst>
            <c:ext xmlns:c16="http://schemas.microsoft.com/office/drawing/2014/chart" uri="{C3380CC4-5D6E-409C-BE32-E72D297353CC}">
              <c16:uniqueId val="{00000002-9DED-4BA8-85AE-8F91AEA33952}"/>
            </c:ext>
          </c:extLst>
        </c:ser>
        <c:dLbls>
          <c:dLblPos val="ctr"/>
          <c:showLegendKey val="0"/>
          <c:showVal val="1"/>
          <c:showCatName val="0"/>
          <c:showSerName val="0"/>
          <c:showPercent val="0"/>
          <c:showBubbleSize val="0"/>
        </c:dLbls>
        <c:smooth val="0"/>
        <c:axId val="1773256543"/>
        <c:axId val="1773264447"/>
      </c:lineChart>
      <c:catAx>
        <c:axId val="1773256543"/>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64447"/>
        <c:crosses val="autoZero"/>
        <c:auto val="1"/>
        <c:lblAlgn val="ctr"/>
        <c:lblOffset val="100"/>
        <c:noMultiLvlLbl val="0"/>
      </c:catAx>
      <c:valAx>
        <c:axId val="1773264447"/>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56543"/>
        <c:crosses val="autoZero"/>
        <c:crossBetween val="between"/>
      </c:valAx>
      <c:spPr>
        <a:noFill/>
        <a:ln w="25400">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NUMERO  DEI MATRIMONI NEI DECENNI 1971-2021 (in migliaia)</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Serie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Foglio1!$B$2:$B$7</c:f>
              <c:numCache>
                <c:formatCode>#,##0</c:formatCode>
                <c:ptCount val="6"/>
                <c:pt idx="0">
                  <c:v>440000</c:v>
                </c:pt>
                <c:pt idx="1">
                  <c:v>306000</c:v>
                </c:pt>
                <c:pt idx="2">
                  <c:v>309000</c:v>
                </c:pt>
                <c:pt idx="3">
                  <c:v>270000</c:v>
                </c:pt>
                <c:pt idx="4">
                  <c:v>205000</c:v>
                </c:pt>
                <c:pt idx="5">
                  <c:v>179000</c:v>
                </c:pt>
              </c:numCache>
            </c:numRef>
          </c:val>
          <c:smooth val="0"/>
          <c:extLst>
            <c:ext xmlns:c16="http://schemas.microsoft.com/office/drawing/2014/chart" uri="{C3380CC4-5D6E-409C-BE32-E72D297353CC}">
              <c16:uniqueId val="{00000000-0391-47F1-9ACE-B11E3A1ED2D0}"/>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Foglio1!$C$2:$C$7</c:f>
              <c:numCache>
                <c:formatCode>General</c:formatCode>
                <c:ptCount val="6"/>
                <c:pt idx="0">
                  <c:v>2.4</c:v>
                </c:pt>
                <c:pt idx="1">
                  <c:v>4.4000000000000004</c:v>
                </c:pt>
                <c:pt idx="2">
                  <c:v>1.8</c:v>
                </c:pt>
                <c:pt idx="3">
                  <c:v>2.8</c:v>
                </c:pt>
              </c:numCache>
            </c:numRef>
          </c:val>
          <c:smooth val="0"/>
          <c:extLst>
            <c:ext xmlns:c16="http://schemas.microsoft.com/office/drawing/2014/chart" uri="{C3380CC4-5D6E-409C-BE32-E72D297353CC}">
              <c16:uniqueId val="{00000001-0391-47F1-9ACE-B11E3A1ED2D0}"/>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Foglio1!$A$2:$A$7</c:f>
              <c:numCache>
                <c:formatCode>General</c:formatCode>
                <c:ptCount val="6"/>
                <c:pt idx="0">
                  <c:v>1971</c:v>
                </c:pt>
                <c:pt idx="1">
                  <c:v>1981</c:v>
                </c:pt>
                <c:pt idx="2">
                  <c:v>1991</c:v>
                </c:pt>
                <c:pt idx="3">
                  <c:v>2001</c:v>
                </c:pt>
                <c:pt idx="4">
                  <c:v>2011</c:v>
                </c:pt>
                <c:pt idx="5">
                  <c:v>2021</c:v>
                </c:pt>
              </c:numCache>
            </c:numRef>
          </c:cat>
          <c:val>
            <c:numRef>
              <c:f>Foglio1!$D$2:$D$7</c:f>
              <c:numCache>
                <c:formatCode>General</c:formatCode>
                <c:ptCount val="6"/>
                <c:pt idx="0">
                  <c:v>2</c:v>
                </c:pt>
                <c:pt idx="1">
                  <c:v>2</c:v>
                </c:pt>
                <c:pt idx="2">
                  <c:v>3</c:v>
                </c:pt>
                <c:pt idx="3">
                  <c:v>5</c:v>
                </c:pt>
              </c:numCache>
            </c:numRef>
          </c:val>
          <c:smooth val="0"/>
          <c:extLst>
            <c:ext xmlns:c16="http://schemas.microsoft.com/office/drawing/2014/chart" uri="{C3380CC4-5D6E-409C-BE32-E72D297353CC}">
              <c16:uniqueId val="{00000002-0391-47F1-9ACE-B11E3A1ED2D0}"/>
            </c:ext>
          </c:extLst>
        </c:ser>
        <c:dLbls>
          <c:dLblPos val="ctr"/>
          <c:showLegendKey val="0"/>
          <c:showVal val="1"/>
          <c:showCatName val="0"/>
          <c:showSerName val="0"/>
          <c:showPercent val="0"/>
          <c:showBubbleSize val="0"/>
        </c:dLbls>
        <c:smooth val="0"/>
        <c:axId val="1773256543"/>
        <c:axId val="1773264447"/>
      </c:lineChart>
      <c:catAx>
        <c:axId val="1773256543"/>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64447"/>
        <c:crosses val="autoZero"/>
        <c:auto val="1"/>
        <c:lblAlgn val="ctr"/>
        <c:lblOffset val="100"/>
        <c:noMultiLvlLbl val="0"/>
      </c:catAx>
      <c:valAx>
        <c:axId val="1773264447"/>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773256543"/>
        <c:crosses val="autoZero"/>
        <c:crossBetween val="between"/>
      </c:valAx>
      <c:spPr>
        <a:noFill/>
        <a:ln w="25400">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it-IT"/>
              <a:t>FONDO NAZIONALE PER</a:t>
            </a:r>
            <a:r>
              <a:rPr lang="it-IT" baseline="0"/>
              <a:t> LA FAMIGLIA - </a:t>
            </a:r>
            <a:r>
              <a:rPr lang="it-IT"/>
              <a:t> ANNI 2007-2021 (in migliaia di euro)</a:t>
            </a:r>
          </a:p>
        </c:rich>
      </c:tx>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it-IT"/>
        </a:p>
      </c:txPr>
    </c:title>
    <c:autoTitleDeleted val="0"/>
    <c:plotArea>
      <c:layout/>
      <c:lineChart>
        <c:grouping val="standard"/>
        <c:varyColors val="0"/>
        <c:ser>
          <c:idx val="0"/>
          <c:order val="0"/>
          <c:tx>
            <c:strRef>
              <c:f>Foglio1!$B$1</c:f>
              <c:strCache>
                <c:ptCount val="1"/>
                <c:pt idx="0">
                  <c:v>Colonna1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it-IT"/>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Foglio1!$A$2:$A$16</c:f>
              <c:numCache>
                <c:formatCode>General</c:formatCode>
                <c:ptCount val="15"/>
                <c:pt idx="0">
                  <c:v>2007</c:v>
                </c:pt>
                <c:pt idx="1">
                  <c:v>2008</c:v>
                </c:pt>
                <c:pt idx="2">
                  <c:v>2009</c:v>
                </c:pt>
                <c:pt idx="3">
                  <c:v>2010</c:v>
                </c:pt>
                <c:pt idx="4">
                  <c:v>2011</c:v>
                </c:pt>
                <c:pt idx="5">
                  <c:v>2012</c:v>
                </c:pt>
                <c:pt idx="6">
                  <c:v>2013</c:v>
                </c:pt>
                <c:pt idx="7">
                  <c:v>2014</c:v>
                </c:pt>
                <c:pt idx="8">
                  <c:v>2015</c:v>
                </c:pt>
                <c:pt idx="9">
                  <c:v>2016</c:v>
                </c:pt>
                <c:pt idx="10">
                  <c:v>2017</c:v>
                </c:pt>
                <c:pt idx="11">
                  <c:v>2018</c:v>
                </c:pt>
                <c:pt idx="12">
                  <c:v>2019</c:v>
                </c:pt>
                <c:pt idx="13">
                  <c:v>2020</c:v>
                </c:pt>
                <c:pt idx="14">
                  <c:v>2021</c:v>
                </c:pt>
              </c:numCache>
            </c:numRef>
          </c:cat>
          <c:val>
            <c:numRef>
              <c:f>Foglio1!$B$2:$B$16</c:f>
              <c:numCache>
                <c:formatCode>#,##0</c:formatCode>
                <c:ptCount val="15"/>
                <c:pt idx="0">
                  <c:v>220000</c:v>
                </c:pt>
                <c:pt idx="1">
                  <c:v>173131</c:v>
                </c:pt>
                <c:pt idx="2">
                  <c:v>238665</c:v>
                </c:pt>
                <c:pt idx="3">
                  <c:v>174288</c:v>
                </c:pt>
                <c:pt idx="4">
                  <c:v>25062</c:v>
                </c:pt>
                <c:pt idx="5">
                  <c:v>10849</c:v>
                </c:pt>
                <c:pt idx="6">
                  <c:v>16921</c:v>
                </c:pt>
                <c:pt idx="7">
                  <c:v>16695</c:v>
                </c:pt>
                <c:pt idx="8">
                  <c:v>20535</c:v>
                </c:pt>
                <c:pt idx="9">
                  <c:v>15168</c:v>
                </c:pt>
                <c:pt idx="10">
                  <c:v>2780</c:v>
                </c:pt>
                <c:pt idx="11">
                  <c:v>4427</c:v>
                </c:pt>
                <c:pt idx="12">
                  <c:v>94000</c:v>
                </c:pt>
                <c:pt idx="13">
                  <c:v>59419</c:v>
                </c:pt>
                <c:pt idx="14">
                  <c:v>96632</c:v>
                </c:pt>
              </c:numCache>
            </c:numRef>
          </c:val>
          <c:smooth val="0"/>
          <c:extLst>
            <c:ext xmlns:c16="http://schemas.microsoft.com/office/drawing/2014/chart" uri="{C3380CC4-5D6E-409C-BE32-E72D297353CC}">
              <c16:uniqueId val="{00000000-8B40-482E-BF02-821AA5B1A8EA}"/>
            </c:ext>
          </c:extLst>
        </c:ser>
        <c:ser>
          <c:idx val="1"/>
          <c:order val="1"/>
          <c:tx>
            <c:strRef>
              <c:f>Foglio1!$C$1</c:f>
              <c:strCache>
                <c:ptCount val="1"/>
                <c:pt idx="0">
                  <c:v>Serie 2</c:v>
                </c:pt>
              </c:strCache>
            </c:strRef>
          </c:tx>
          <c:spPr>
            <a:ln w="34925" cap="rnd">
              <a:solidFill>
                <a:schemeClr val="accent2"/>
              </a:solidFill>
              <a:round/>
            </a:ln>
            <a:effectLst>
              <a:outerShdw blurRad="57150" dist="19050" dir="5400000" algn="ctr" rotWithShape="0">
                <a:srgbClr val="000000">
                  <a:alpha val="63000"/>
                </a:srgbClr>
              </a:outerShdw>
            </a:effectLst>
          </c:spPr>
          <c:marker>
            <c:symbol val="none"/>
          </c:marker>
          <c:dLbls>
            <c:delete val="1"/>
          </c:dLbls>
          <c:cat>
            <c:numRef>
              <c:f>Foglio1!$A$2:$A$16</c:f>
              <c:numCache>
                <c:formatCode>General</c:formatCode>
                <c:ptCount val="15"/>
                <c:pt idx="0">
                  <c:v>2007</c:v>
                </c:pt>
                <c:pt idx="1">
                  <c:v>2008</c:v>
                </c:pt>
                <c:pt idx="2">
                  <c:v>2009</c:v>
                </c:pt>
                <c:pt idx="3">
                  <c:v>2010</c:v>
                </c:pt>
                <c:pt idx="4">
                  <c:v>2011</c:v>
                </c:pt>
                <c:pt idx="5">
                  <c:v>2012</c:v>
                </c:pt>
                <c:pt idx="6">
                  <c:v>2013</c:v>
                </c:pt>
                <c:pt idx="7">
                  <c:v>2014</c:v>
                </c:pt>
                <c:pt idx="8">
                  <c:v>2015</c:v>
                </c:pt>
                <c:pt idx="9">
                  <c:v>2016</c:v>
                </c:pt>
                <c:pt idx="10">
                  <c:v>2017</c:v>
                </c:pt>
                <c:pt idx="11">
                  <c:v>2018</c:v>
                </c:pt>
                <c:pt idx="12">
                  <c:v>2019</c:v>
                </c:pt>
                <c:pt idx="13">
                  <c:v>2020</c:v>
                </c:pt>
                <c:pt idx="14">
                  <c:v>2021</c:v>
                </c:pt>
              </c:numCache>
            </c:numRef>
          </c:cat>
          <c:val>
            <c:numRef>
              <c:f>Foglio1!$C$2:$C$16</c:f>
              <c:numCache>
                <c:formatCode>General</c:formatCode>
                <c:ptCount val="15"/>
                <c:pt idx="0">
                  <c:v>2.4</c:v>
                </c:pt>
                <c:pt idx="1">
                  <c:v>4.4000000000000004</c:v>
                </c:pt>
                <c:pt idx="2">
                  <c:v>1.8</c:v>
                </c:pt>
                <c:pt idx="3">
                  <c:v>2.8</c:v>
                </c:pt>
              </c:numCache>
            </c:numRef>
          </c:val>
          <c:smooth val="0"/>
          <c:extLst>
            <c:ext xmlns:c16="http://schemas.microsoft.com/office/drawing/2014/chart" uri="{C3380CC4-5D6E-409C-BE32-E72D297353CC}">
              <c16:uniqueId val="{00000001-8B40-482E-BF02-821AA5B1A8EA}"/>
            </c:ext>
          </c:extLst>
        </c:ser>
        <c:ser>
          <c:idx val="2"/>
          <c:order val="2"/>
          <c:tx>
            <c:strRef>
              <c:f>Foglio1!$D$1</c:f>
              <c:strCache>
                <c:ptCount val="1"/>
                <c:pt idx="0">
                  <c:v>Serie 3</c:v>
                </c:pt>
              </c:strCache>
            </c:strRef>
          </c:tx>
          <c:spPr>
            <a:ln w="34925" cap="rnd">
              <a:solidFill>
                <a:schemeClr val="accent3"/>
              </a:solidFill>
              <a:round/>
            </a:ln>
            <a:effectLst>
              <a:outerShdw blurRad="57150" dist="19050" dir="5400000" algn="ctr" rotWithShape="0">
                <a:srgbClr val="000000">
                  <a:alpha val="63000"/>
                </a:srgbClr>
              </a:outerShdw>
            </a:effectLst>
          </c:spPr>
          <c:marker>
            <c:symbol val="none"/>
          </c:marker>
          <c:dLbls>
            <c:delete val="1"/>
          </c:dLbls>
          <c:cat>
            <c:numRef>
              <c:f>Foglio1!$A$2:$A$16</c:f>
              <c:numCache>
                <c:formatCode>General</c:formatCode>
                <c:ptCount val="15"/>
                <c:pt idx="0">
                  <c:v>2007</c:v>
                </c:pt>
                <c:pt idx="1">
                  <c:v>2008</c:v>
                </c:pt>
                <c:pt idx="2">
                  <c:v>2009</c:v>
                </c:pt>
                <c:pt idx="3">
                  <c:v>2010</c:v>
                </c:pt>
                <c:pt idx="4">
                  <c:v>2011</c:v>
                </c:pt>
                <c:pt idx="5">
                  <c:v>2012</c:v>
                </c:pt>
                <c:pt idx="6">
                  <c:v>2013</c:v>
                </c:pt>
                <c:pt idx="7">
                  <c:v>2014</c:v>
                </c:pt>
                <c:pt idx="8">
                  <c:v>2015</c:v>
                </c:pt>
                <c:pt idx="9">
                  <c:v>2016</c:v>
                </c:pt>
                <c:pt idx="10">
                  <c:v>2017</c:v>
                </c:pt>
                <c:pt idx="11">
                  <c:v>2018</c:v>
                </c:pt>
                <c:pt idx="12">
                  <c:v>2019</c:v>
                </c:pt>
                <c:pt idx="13">
                  <c:v>2020</c:v>
                </c:pt>
                <c:pt idx="14">
                  <c:v>2021</c:v>
                </c:pt>
              </c:numCache>
            </c:numRef>
          </c:cat>
          <c:val>
            <c:numRef>
              <c:f>Foglio1!$D$2:$D$16</c:f>
              <c:numCache>
                <c:formatCode>General</c:formatCode>
                <c:ptCount val="15"/>
                <c:pt idx="0">
                  <c:v>2</c:v>
                </c:pt>
                <c:pt idx="1">
                  <c:v>2</c:v>
                </c:pt>
                <c:pt idx="2">
                  <c:v>3</c:v>
                </c:pt>
                <c:pt idx="3">
                  <c:v>5</c:v>
                </c:pt>
              </c:numCache>
            </c:numRef>
          </c:val>
          <c:smooth val="0"/>
          <c:extLst>
            <c:ext xmlns:c16="http://schemas.microsoft.com/office/drawing/2014/chart" uri="{C3380CC4-5D6E-409C-BE32-E72D297353CC}">
              <c16:uniqueId val="{00000002-8B40-482E-BF02-821AA5B1A8EA}"/>
            </c:ext>
          </c:extLst>
        </c:ser>
        <c:dLbls>
          <c:dLblPos val="ctr"/>
          <c:showLegendKey val="0"/>
          <c:showVal val="1"/>
          <c:showCatName val="0"/>
          <c:showSerName val="0"/>
          <c:showPercent val="0"/>
          <c:showBubbleSize val="0"/>
        </c:dLbls>
        <c:smooth val="0"/>
        <c:axId val="1158209312"/>
        <c:axId val="1158209728"/>
      </c:lineChart>
      <c:catAx>
        <c:axId val="1158209312"/>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158209728"/>
        <c:crosses val="autoZero"/>
        <c:auto val="1"/>
        <c:lblAlgn val="ctr"/>
        <c:lblOffset val="100"/>
        <c:noMultiLvlLbl val="0"/>
      </c:catAx>
      <c:valAx>
        <c:axId val="1158209728"/>
        <c:scaling>
          <c:orientation val="minMax"/>
        </c:scaling>
        <c:delete val="0"/>
        <c:axPos val="l"/>
        <c:majorGridlines>
          <c:spPr>
            <a:ln w="9525" cap="flat" cmpd="sng" algn="ctr">
              <a:solidFill>
                <a:schemeClr val="lt1">
                  <a:lumMod val="95000"/>
                  <a:alpha val="10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it-IT"/>
          </a:p>
        </c:txPr>
        <c:crossAx val="1158209312"/>
        <c:crosses val="autoZero"/>
        <c:crossBetween val="between"/>
      </c:valAx>
      <c:spPr>
        <a:noFill/>
        <a:ln w="25400">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it-I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3.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4.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5.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6.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7.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8.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9.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10.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11.xml><?xml version="1.0" encoding="utf-8"?>
<cs:chartStyle xmlns:cs="http://schemas.microsoft.com/office/drawing/2012/chartStyle" xmlns:a="http://schemas.openxmlformats.org/drawingml/2006/main" id="233">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9525" cap="flat" cmpd="sng" algn="ctr">
        <a:solidFill>
          <a:schemeClr val="lt1">
            <a:lumMod val="95000"/>
            <a:alpha val="10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74D9D4-4F8E-4519-B232-5B08EC763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993</TotalTime>
  <Pages>1</Pages>
  <Words>9348</Words>
  <Characters>53285</Characters>
  <Application>Microsoft Office Word</Application>
  <DocSecurity>0</DocSecurity>
  <Lines>444</Lines>
  <Paragraphs>125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27</cp:revision>
  <dcterms:created xsi:type="dcterms:W3CDTF">2022-05-17T09:50:00Z</dcterms:created>
  <dcterms:modified xsi:type="dcterms:W3CDTF">2022-06-16T07:33:00Z</dcterms:modified>
</cp:coreProperties>
</file>